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RxNorm Intelligence Explorer</w:t>
        <w:br/>
        <w:t>Version 3 Research &amp; Validation Protocol</w:t>
      </w:r>
    </w:p>
    <w:p>
      <w:pPr>
        <w:pStyle w:val="Heading1"/>
      </w:pPr>
      <w:r>
        <w:t>Purpose</w:t>
      </w:r>
    </w:p>
    <w:p>
      <w:r>
        <w:t>This document integrates Versions 1 and 2 into a comprehensive research, measurement, governance, and validation framework for Medication Readiness Scoring.</w:t>
      </w:r>
    </w:p>
    <w:p>
      <w:pPr>
        <w:pStyle w:val="Heading1"/>
      </w:pPr>
      <w:r>
        <w:t>Part I – Measurement Theory</w:t>
      </w:r>
    </w:p>
    <w:p>
      <w:r>
        <w:t>Readiness constructs are modeled as latent variables measured through observable indicators. Interoperability, Claims, and AI Readiness are conceptual constructs requiring validation.</w:t>
      </w:r>
    </w:p>
    <w:p>
      <w:pPr>
        <w:pStyle w:val="Heading1"/>
      </w:pPr>
      <w:r>
        <w:t>Formal Construct Definitions</w:t>
      </w:r>
    </w:p>
    <w:p>
      <w:r>
        <w:t>Interoperability Readiness, Claims Readiness, and AI Readiness definitions consolidated from V1 and V2.</w:t>
      </w:r>
    </w:p>
    <w:p>
      <w:pPr>
        <w:pStyle w:val="Heading1"/>
      </w:pPr>
      <w:r>
        <w:t>Construct Validity Matrix</w:t>
      </w:r>
    </w:p>
    <w:p>
      <w:r>
        <w:t>Map each indicator to its intended construct and evaluate convergent/discriminant validity through EFA/PCA and expert review.</w:t>
      </w:r>
    </w:p>
    <w:p>
      <w:pPr>
        <w:pStyle w:val="Heading1"/>
      </w:pPr>
      <w:r>
        <w:t>Indicator Catalog</w:t>
      </w:r>
    </w:p>
    <w:p>
      <w:r>
        <w:t>RxNorm identity completeness, relationship density, terminology connectivity, ATC depth, NDC coverage, package completeness, FDA status, CMS utilization, semantic richness, graph connectivity, explainability, source confidence.</w:t>
      </w:r>
    </w:p>
    <w:p>
      <w:pPr>
        <w:pStyle w:val="Heading1"/>
      </w:pPr>
      <w:r>
        <w:t>Indicator Scoring Specifications</w:t>
      </w:r>
    </w:p>
    <w:p>
      <w:r>
        <w:t>All indicators normalized to 0–100 scales. Missingness handling, winsorization, percentile ranking, and z-score normalization documented.</w:t>
      </w:r>
    </w:p>
    <w:p>
      <w:pPr>
        <w:pStyle w:val="Heading1"/>
      </w:pPr>
      <w:r>
        <w:t>Data Dictionary</w:t>
      </w:r>
    </w:p>
    <w:p>
      <w:r>
        <w:t>Definitions for RxCUI, TTY, NDC Count, ATC Depth, Relationship Density, CMS Utilization, FDA Status, Semantic Richness, and Graph Connectivity.</w:t>
      </w:r>
    </w:p>
    <w:p>
      <w:pPr>
        <w:pStyle w:val="Heading1"/>
      </w:pPr>
      <w:r>
        <w:t>Gold Standard Outcome Variables</w:t>
      </w:r>
    </w:p>
    <w:p>
      <w:r>
        <w:t>Define High and Low Readiness examples for each construct. High-readiness drugs exhibit rich identifiers, relationships, utilization, and explainability. Low-readiness drugs exhibit sparse mappings and weak utilization.</w:t>
      </w:r>
    </w:p>
    <w:p>
      <w:pPr>
        <w:pStyle w:val="Heading1"/>
      </w:pPr>
      <w:r>
        <w:t>Benchmark Drug Selection Methodology</w:t>
      </w:r>
    </w:p>
    <w:p>
      <w:r>
        <w:t>Stratified sampling across generic, brand, specialty, biologic, orphan, and high-utilization medications. Target &gt;10,000 medications.</w:t>
      </w:r>
    </w:p>
    <w:p>
      <w:pPr>
        <w:pStyle w:val="Heading1"/>
      </w:pPr>
      <w:r>
        <w:t>Gold Standard Labeling Procedures</w:t>
      </w:r>
    </w:p>
    <w:p>
      <w:r>
        <w:t>Independent expert review, adjudication process, consensus scoring, and documentation of disagreements.</w:t>
      </w:r>
    </w:p>
    <w:p>
      <w:pPr>
        <w:pStyle w:val="Heading1"/>
      </w:pPr>
      <w:r>
        <w:t>PCA Methodology Plan</w:t>
      </w:r>
    </w:p>
    <w:p>
      <w:r>
        <w:t>Use PCA to identify latent dimensions, evaluate eigenvalues &gt;1, scree plots, explained variance, and component stability.</w:t>
      </w:r>
    </w:p>
    <w:p>
      <w:pPr>
        <w:pStyle w:val="Heading1"/>
      </w:pPr>
      <w:r>
        <w:t>EFA Methodology Plan</w:t>
      </w:r>
    </w:p>
    <w:p>
      <w:r>
        <w:t>Use exploratory factor analysis to evaluate construct validity, factor loadings, communalities, and latent structure.</w:t>
      </w:r>
    </w:p>
    <w:p>
      <w:pPr>
        <w:pStyle w:val="Heading1"/>
      </w:pPr>
      <w:r>
        <w:t>Regression Methodology Specifications</w:t>
      </w:r>
    </w:p>
    <w:p>
      <w:r>
        <w:t>Dependent variables include CMS utilization percentile and claims prevalence. Predictors include NDC coverage, relationship density, ATC depth, semantic richness, and identifier completeness.</w:t>
      </w:r>
    </w:p>
    <w:p>
      <w:pPr>
        <w:pStyle w:val="Heading1"/>
      </w:pPr>
      <w:r>
        <w:t>Bootstrap Methodology</w:t>
      </w:r>
    </w:p>
    <w:p>
      <w:r>
        <w:t>Perform 10,000 bootstrap samples to estimate stability, confidence intervals, and ranking robustness.</w:t>
      </w:r>
    </w:p>
    <w:p>
      <w:pPr>
        <w:pStyle w:val="Heading1"/>
      </w:pPr>
      <w:r>
        <w:t>Sensitivity Analysis Methodology</w:t>
      </w:r>
    </w:p>
    <w:p>
      <w:r>
        <w:t>Vary weights ±10–20%, assess rank stability, measure score volatility, and identify dominant indicators.</w:t>
      </w:r>
    </w:p>
    <w:p>
      <w:pPr>
        <w:pStyle w:val="Heading1"/>
      </w:pPr>
      <w:r>
        <w:t>Model Comparison Scorecards</w:t>
      </w:r>
    </w:p>
    <w:p>
      <w:r>
        <w:t>Evaluate Expert Weighting, Correlation Weighting, Regression, PCA, EFA, and AHP across interpretability, predictive performance, stability, and executive usability.</w:t>
      </w:r>
    </w:p>
    <w:p>
      <w:pPr>
        <w:pStyle w:val="Heading1"/>
      </w:pPr>
      <w:r>
        <w:t>Confidence Interval Methodology</w:t>
      </w:r>
    </w:p>
    <w:p>
      <w:r>
        <w:t>Produce confidence intervals around readiness scores using bootstrap resampling and uncertainty propagation.</w:t>
      </w:r>
    </w:p>
    <w:p>
      <w:pPr>
        <w:pStyle w:val="Heading1"/>
      </w:pPr>
      <w:r>
        <w:t>Readiness Score Equations</w:t>
      </w:r>
    </w:p>
    <w:p>
      <w:r>
        <w:t>Readiness Score = Σ(normalized indicator × weight). Multiple weighting systems tested before final model selection.</w:t>
      </w:r>
    </w:p>
    <w:p>
      <w:pPr>
        <w:pStyle w:val="Heading1"/>
      </w:pPr>
      <w:r>
        <w:t>Validation Framework</w:t>
      </w:r>
    </w:p>
    <w:p>
      <w:r>
        <w:t>Face validity, content validity, construct validity, predictive validity, criterion validity, and reliability testing.</w:t>
      </w:r>
    </w:p>
    <w:p>
      <w:pPr>
        <w:pStyle w:val="Heading1"/>
      </w:pPr>
      <w:r>
        <w:t>Reliability Framework</w:t>
      </w:r>
    </w:p>
    <w:p>
      <w:r>
        <w:t>Sensitivity testing, bootstrap testing, temporal stability testing, and cross-validation.</w:t>
      </w:r>
    </w:p>
    <w:p>
      <w:pPr>
        <w:pStyle w:val="Heading1"/>
      </w:pPr>
      <w:r>
        <w:t>Governance Review Process</w:t>
      </w:r>
    </w:p>
    <w:p>
      <w:r>
        <w:t>Annual methodology review board, change management process, version control, documentation requirements, and stakeholder signoff.</w:t>
      </w:r>
    </w:p>
    <w:p>
      <w:pPr>
        <w:pStyle w:val="Heading1"/>
      </w:pPr>
      <w:r>
        <w:t>Versioning Strategy</w:t>
      </w:r>
    </w:p>
    <w:p>
      <w:r>
        <w:t>Version 1: Conceptual Framework. Version 2: Executive Methodology. Version 3: Research &amp; Validation Protocol. Future versions governed by formal review.</w:t>
      </w:r>
    </w:p>
    <w:p>
      <w:pPr>
        <w:pStyle w:val="Heading1"/>
      </w:pPr>
      <w:r>
        <w:t>Future Data Source Roadmap</w:t>
      </w:r>
    </w:p>
    <w:p>
      <w:r>
        <w:t>RxNorm, RxClass, FDA NDC, CMS Part D, DailyMed, OpenFDA, Medicaid utilization, VA Drug Classes, specialty drug databases, and commercial claims.</w:t>
      </w:r>
    </w:p>
    <w:p>
      <w:pPr>
        <w:pStyle w:val="Heading1"/>
      </w:pPr>
      <w:r>
        <w:t>Statistical Assumptions</w:t>
      </w:r>
    </w:p>
    <w:p>
      <w:r>
        <w:t>Indicators represent readiness, source systems remain authoritative, relationships are directionally meaningful, and missingness is manageable.</w:t>
      </w:r>
    </w:p>
    <w:p>
      <w:pPr>
        <w:pStyle w:val="Heading1"/>
      </w:pPr>
      <w:r>
        <w:t>Limitations</w:t>
      </w:r>
    </w:p>
    <w:p>
      <w:r>
        <w:t>Readiness does not measure efficacy. CMS does not represent all populations. Scores depend on source quality and coverage.</w:t>
      </w:r>
    </w:p>
    <w:p>
      <w:pPr>
        <w:pStyle w:val="Heading1"/>
      </w:pPr>
      <w:r>
        <w:t>Publication-Quality Diagram 1</w:t>
      </w:r>
    </w:p>
    <w:p>
      <w:r>
        <w:t>Observable Indicators → Latent Construct → Composite Score → Confidence Assessment</w:t>
      </w:r>
    </w:p>
    <w:p>
      <w:pPr>
        <w:pStyle w:val="Heading1"/>
      </w:pPr>
      <w:r>
        <w:t>Publication-Quality Diagram 2</w:t>
      </w:r>
    </w:p>
    <w:p>
      <w:r>
        <w:t>Medication → RxNorm → ATC → NDC → Claims Analytics → AI Intelligence</w:t>
      </w:r>
    </w:p>
    <w:p>
      <w:pPr>
        <w:pStyle w:val="Heading1"/>
      </w:pPr>
      <w:r>
        <w:t>Appendix A</w:t>
      </w:r>
    </w:p>
    <w:p>
      <w:r>
        <w:t>Full Indicator Inventory</w:t>
      </w:r>
    </w:p>
    <w:p>
      <w:pPr>
        <w:pStyle w:val="Heading1"/>
      </w:pPr>
      <w:r>
        <w:t>Appendix B</w:t>
      </w:r>
    </w:p>
    <w:p>
      <w:r>
        <w:t>Construct Mapping Tables</w:t>
      </w:r>
    </w:p>
    <w:p>
      <w:pPr>
        <w:pStyle w:val="Heading1"/>
      </w:pPr>
      <w:r>
        <w:t>Appendix C</w:t>
      </w:r>
    </w:p>
    <w:p>
      <w:r>
        <w:t>Validation Workflow</w:t>
      </w:r>
    </w:p>
    <w:p>
      <w:pPr>
        <w:pStyle w:val="Heading1"/>
      </w:pPr>
      <w:r>
        <w:t>Appendix D</w:t>
      </w:r>
    </w:p>
    <w:p>
      <w:r>
        <w:t>Model Comparison Framework</w:t>
      </w:r>
    </w:p>
    <w:p>
      <w:pPr>
        <w:pStyle w:val="Heading1"/>
      </w:pPr>
      <w:r>
        <w:t>Appendix E</w:t>
      </w:r>
    </w:p>
    <w:p>
      <w:r>
        <w:t>Research Roadmap and Implementation Plan</w:t>
      </w:r>
    </w:p>
    <w:p>
      <w:pPr>
        <w:pStyle w:val="Heading1"/>
      </w:pPr>
      <w:r>
        <w:t>Recommended Next Phase</w:t>
      </w:r>
    </w:p>
    <w:p>
      <w:r>
        <w:t>Build benchmarking dataset, execute all six methodologies, compare empirical performance, select final scoring framework, and publish methodology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