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RxNorm Intelligence Explorer</w:t>
        <w:br/>
        <w:t>Version 4 Statistical Analysis Plan (SAP)</w:t>
      </w:r>
    </w:p>
    <w:p>
      <w:pPr>
        <w:pStyle w:val="Heading1"/>
      </w:pPr>
      <w:r>
        <w:t>Purpose</w:t>
      </w:r>
    </w:p>
    <w:p>
      <w:r>
        <w:t>Operational blueprint for empirical validation and model selection of Medication Readiness Scores.</w:t>
      </w:r>
    </w:p>
    <w:p>
      <w:pPr>
        <w:pStyle w:val="Heading1"/>
      </w:pPr>
      <w:r>
        <w:t>1. Benchmark Dataset Schema</w:t>
      </w:r>
    </w:p>
    <w:p>
      <w:r>
        <w:t>Core fields: Drug_Name, RxCUI, TTY, Relationship_Count, ATC_Depth, NDC_Count, FDA_Status, CMS_Claim_Count, CMS_Percentile, Semantic_Richness, Graph_Degree, Source_Confidence.</w:t>
      </w:r>
    </w:p>
    <w:p>
      <w:pPr>
        <w:pStyle w:val="Heading1"/>
      </w:pPr>
      <w:r>
        <w:t>2. Variable-Level Definitions</w:t>
      </w:r>
    </w:p>
    <w:p>
      <w:r>
        <w:t>Define every predictor, outcome, transformation, allowable range, and source system.</w:t>
      </w:r>
    </w:p>
    <w:p>
      <w:pPr>
        <w:pStyle w:val="Heading1"/>
      </w:pPr>
      <w:r>
        <w:t>3. Missing Data Handling Rules</w:t>
      </w:r>
    </w:p>
    <w:p>
      <w:r>
        <w:t>Assess missingness mechanism; use indicator flags, imputation rules, exclusion thresholds, and missingness reporting.</w:t>
      </w:r>
    </w:p>
    <w:p>
      <w:pPr>
        <w:pStyle w:val="Heading1"/>
      </w:pPr>
      <w:r>
        <w:t>4. Feature Engineering Specifications</w:t>
      </w:r>
    </w:p>
    <w:p>
      <w:r>
        <w:t>Log transforms, percentile ranks, z-scores, winsorization, normalization to 0–100 scales, composite feature generation.</w:t>
      </w:r>
    </w:p>
    <w:p>
      <w:pPr>
        <w:pStyle w:val="Heading1"/>
      </w:pPr>
      <w:r>
        <w:t>5. PCA Execution Parameters</w:t>
      </w:r>
    </w:p>
    <w:p>
      <w:r>
        <w:t>Standardized inputs, eigenvalue &gt;1 rule, scree plot review, cumulative variance targets, component stability testing.</w:t>
      </w:r>
    </w:p>
    <w:p>
      <w:pPr>
        <w:pStyle w:val="Heading1"/>
      </w:pPr>
      <w:r>
        <w:t>6. EFA Execution Parameters</w:t>
      </w:r>
    </w:p>
    <w:p>
      <w:r>
        <w:t>Principal axis factoring, oblique rotation, factor loading thresholds, cross-loading criteria, construct interpretation rules.</w:t>
      </w:r>
    </w:p>
    <w:p>
      <w:pPr>
        <w:pStyle w:val="Heading1"/>
      </w:pPr>
      <w:r>
        <w:t>7. Regression Model Formulas</w:t>
      </w:r>
    </w:p>
    <w:p>
      <w:r>
        <w:t>Outcome = β0 + β1(NDC Coverage)+β2(Relationship Density)+β3(ATC Depth)+β4(Semantic Richness)+β5(Source Confidence)+ε.</w:t>
      </w:r>
    </w:p>
    <w:p>
      <w:pPr>
        <w:pStyle w:val="Heading1"/>
      </w:pPr>
      <w:r>
        <w:t>8. AHP Survey Instrument</w:t>
      </w:r>
    </w:p>
    <w:p>
      <w:r>
        <w:t>Pairwise comparisons of indicators by SMEs; consistency ratio evaluation; consensus weighting process.</w:t>
      </w:r>
    </w:p>
    <w:p>
      <w:pPr>
        <w:pStyle w:val="Heading1"/>
      </w:pPr>
      <w:r>
        <w:t>9. Bootstrap Simulation Design</w:t>
      </w:r>
    </w:p>
    <w:p>
      <w:r>
        <w:t>10,000 resamples; estimate score stability, rank stability, confidence intervals, and uncertainty.</w:t>
      </w:r>
    </w:p>
    <w:p>
      <w:pPr>
        <w:pStyle w:val="Heading1"/>
      </w:pPr>
      <w:r>
        <w:t>10. Sensitivity Analysis Thresholds</w:t>
      </w:r>
    </w:p>
    <w:p>
      <w:r>
        <w:t>Vary weights ±10%, ±20%, ±30%; evaluate ranking volatility and score robustness.</w:t>
      </w:r>
    </w:p>
    <w:p>
      <w:pPr>
        <w:pStyle w:val="Heading1"/>
      </w:pPr>
      <w:r>
        <w:t>11. Model Selection Criteria</w:t>
      </w:r>
    </w:p>
    <w:p>
      <w:r>
        <w:t>Interpretability, predictive performance, stability, reproducibility, executive explainability, operational feasibility.</w:t>
      </w:r>
    </w:p>
    <w:p>
      <w:pPr>
        <w:pStyle w:val="Heading1"/>
      </w:pPr>
      <w:r>
        <w:t>12. Confidence Interval Methodology</w:t>
      </w:r>
    </w:p>
    <w:p>
      <w:r>
        <w:t>Bootstrap-derived intervals, percentile intervals, uncertainty reporting by score and rank.</w:t>
      </w:r>
    </w:p>
    <w:p>
      <w:pPr>
        <w:pStyle w:val="Heading1"/>
      </w:pPr>
      <w:r>
        <w:t>13. Drug Ranking Methodology</w:t>
      </w:r>
    </w:p>
    <w:p>
      <w:r>
        <w:t>Percentile-based ranking, tier assignment, rank stability assessment, confidence-adjusted rankings.</w:t>
      </w:r>
    </w:p>
    <w:p>
      <w:pPr>
        <w:pStyle w:val="Heading1"/>
      </w:pPr>
      <w:r>
        <w:t>14. Score Calibration Procedures</w:t>
      </w:r>
    </w:p>
    <w:p>
      <w:r>
        <w:t>Map raw scores to 0–100 scale, establish readiness tiers, calibrate against benchmark drugs.</w:t>
      </w:r>
    </w:p>
    <w:p>
      <w:pPr>
        <w:pStyle w:val="Heading1"/>
      </w:pPr>
      <w:r>
        <w:t>15. Production Deployment Methodology</w:t>
      </w:r>
    </w:p>
    <w:p>
      <w:r>
        <w:t>Monthly data refresh, version-controlled scoring engine, monitoring, drift detection, and governance review.</w:t>
      </w:r>
    </w:p>
    <w:p>
      <w:pPr>
        <w:pStyle w:val="Heading1"/>
      </w:pPr>
      <w:r>
        <w:t>16. Statistical Decision Framework</w:t>
      </w:r>
    </w:p>
    <w:p>
      <w:r>
        <w:t>Compare Expert, Correlation, Regression, PCA, EFA, and AHP models side-by-side before final adoption.</w:t>
      </w:r>
    </w:p>
    <w:p>
      <w:pPr>
        <w:pStyle w:val="Heading1"/>
      </w:pPr>
      <w:r>
        <w:t>17. Deliverables</w:t>
      </w:r>
    </w:p>
    <w:p>
      <w:r>
        <w:t>Validated readiness framework, benchmark dataset, weighting methodology comparison, final production scoring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