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2384bb7" w14:textId="32384bb7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PCD</w:t>
      </w:r>
    </w:p>
    <w:p/>
    <w:p>
      <w:pPr>
        <w:pStyle w:val="Subtitle"/>
      </w:pPr>
      <w:r>
        <w:t>Subtitle </w:t>
      </w:r>
    </w:p>
    <w:p>
      <w:pPr>
        <w:pStyle w:val="Style1"/>
      </w:pPr>
      <w:r>
        <w:t>2016/08/11 11:31:27</w:t>
      </w:r>
    </w:p>
    <w:p/>
    <w:p/>
    <w:p>
      <w:pPr>
        <w:pStyle w:val="Style1"/>
      </w:pPr>
      <w:r>
        <w:t>HL7 Version 2.6</w:t>
      </w:r>
    </w:p>
    <w:p>
      <w:pPr>
        <w:pStyle w:val="Style1"/>
      </w:pPr>
      <w:r>
        <w:t>Document Version 1.0</w:t>
      </w:r>
    </w:p>
    <w:p>
      <w:pPr>
        <w:pStyle w:val="Style1"/>
      </w:pPr>
      <w:r>
        <w:t>Default org name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This document is the implementation guide for Transaction PCD-01 of the IHE Patient Care Device Technical Framework, which is used to transmit patient care device data between systems. Transaction PCD-01 is used by the Device Observation Reporter and Device Observation Consumer Actors. Note that these actor names are linked to abstract functions rather than to physical devices; a 365 Device Observation Reporter may be implemented in a freestanding system or it may be implemented in the Patient Care Device itself.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altChunk r:id="rId21"/>
    <w:altChunk r:id="rId22"/>
    <w:altChunk r:id="rId23"/>
    <w:altChunk r:id="rId24"/>
    <w:p>
      <w:pPr>
        <w:pStyle w:val="Heading2"/>
      </w:pPr>
      <w:r>
        <w:t>Segments and Field Descriptions</w:t>
      </w:r>
    </w:p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p>
      <w:pPr>
        <w:pStyle w:val="Heading2"/>
      </w:pPr>
      <w:r>
        <w:t>Datatypes</w:t>
      </w:r>
    </w:p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p>
      <w:pPr>
        <w:pStyle w:val="Heading2"/>
      </w:pPr>
      <w:r>
        <w:t>Value Sets</w:t>
      </w:r>
    </w:p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