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2"/>
          <w:szCs w:val="32"/>
          <w:u w:val="single"/>
        </w:rPr>
        <w:t xml:space="preserve">LAUDO DE AVALIAÇÃO NEUROPSICOLÓGICA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De acordo com a Resolução de Elaboração de Documentos-CFP 006/2019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IDENTIFICAÇÃO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1.1. Identificação do Laudo</w:t>
      </w:r>
    </w:p>
    <w:p>
      <w:pPr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Autora: </w:t>
      </w:r>
      <w:r>
        <w:rPr>
          <w:rFonts w:ascii="Arial" w:cs="Arial" w:eastAsia="Arial" w:hAnsi="Arial"/>
          <w:sz w:val="24"/>
          <w:szCs w:val="24"/>
        </w:rPr>
        <w:t xml:space="preserve">Jacqueline Oliveira Caires (CRP 09/6017)</w:t>
      </w:r>
    </w:p>
    <w:p>
      <w:pPr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Interessado: </w:t>
      </w:r>
      <w:r>
        <w:rPr>
          <w:rFonts w:ascii="Arial" w:cs="Arial" w:eastAsia="Arial" w:hAnsi="Arial"/>
          <w:sz w:val="24"/>
          <w:szCs w:val="24"/>
        </w:rPr>
        <w:t xml:space="preserve">Familiares</w:t>
      </w:r>
    </w:p>
    <w:p>
      <w:pPr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Finalidade: </w:t>
      </w:r>
      <w:r>
        <w:rPr>
          <w:rFonts w:ascii="Arial" w:cs="Arial" w:eastAsia="Arial" w:hAnsi="Arial"/>
          <w:sz w:val="24"/>
          <w:szCs w:val="24"/>
        </w:rPr>
        <w:t xml:space="preserve">Averiguação das capacidades cognitivas para auxílio diagnóstico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1.2. Identificação do Paciente</w:t>
      </w:r>
    </w:p>
    <w:p>
      <w:pPr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Nome: </w:t>
      </w:r>
      <w:r>
        <w:rPr>
          <w:rFonts w:ascii="Arial" w:cs="Arial" w:eastAsia="Arial" w:hAnsi="Arial"/>
          <w:sz w:val="24"/>
          <w:szCs w:val="24"/>
        </w:rPr>
        <w:t xml:space="preserve">Maria Clara Daher Costa e Silva</w:t>
      </w:r>
    </w:p>
    <w:p>
      <w:pPr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Sexo: </w:t>
      </w:r>
      <w:r>
        <w:rPr>
          <w:rFonts w:ascii="Arial" w:cs="Arial" w:eastAsia="Arial" w:hAnsi="Arial"/>
          <w:sz w:val="24"/>
          <w:szCs w:val="24"/>
        </w:rPr>
        <w:t xml:space="preserve">Feminino</w:t>
      </w:r>
    </w:p>
    <w:p>
      <w:pPr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de nascimento: </w:t>
      </w:r>
      <w:r>
        <w:rPr>
          <w:rFonts w:ascii="Arial" w:cs="Arial" w:eastAsia="Arial" w:hAnsi="Arial"/>
          <w:sz w:val="24"/>
          <w:szCs w:val="24"/>
        </w:rPr>
        <w:t xml:space="preserve">24/04/2011</w:t>
      </w:r>
    </w:p>
    <w:p>
      <w:pPr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Idade: </w:t>
      </w:r>
      <w:r>
        <w:rPr>
          <w:rFonts w:ascii="Arial" w:cs="Arial" w:eastAsia="Arial" w:hAnsi="Arial"/>
          <w:sz w:val="24"/>
          <w:szCs w:val="24"/>
        </w:rPr>
        <w:t xml:space="preserve">14 anos e 8 meses</w:t>
      </w:r>
    </w:p>
    <w:p>
      <w:pPr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Filiação: </w:t>
      </w:r>
      <w:r>
        <w:rPr>
          <w:rFonts w:ascii="Arial" w:cs="Arial" w:eastAsia="Arial" w:hAnsi="Arial"/>
          <w:sz w:val="24"/>
          <w:szCs w:val="24"/>
        </w:rPr>
        <w:t xml:space="preserve">João Paulo Vaz Costa e Silva e Pollyana Lucena Daher</w:t>
      </w:r>
    </w:p>
    <w:p>
      <w:pPr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Escolaridade: </w:t>
      </w:r>
      <w:r>
        <w:rPr>
          <w:rFonts w:ascii="Arial" w:cs="Arial" w:eastAsia="Arial" w:hAnsi="Arial"/>
          <w:sz w:val="24"/>
          <w:szCs w:val="24"/>
        </w:rPr>
        <w:t xml:space="preserve">8º ano do ensino fundamental</w:t>
      </w:r>
    </w:p>
    <w:p>
      <w:pPr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Escola: </w:t>
      </w:r>
      <w:r>
        <w:rPr>
          <w:rFonts w:ascii="Arial" w:cs="Arial" w:eastAsia="Arial" w:hAnsi="Arial"/>
          <w:sz w:val="24"/>
          <w:szCs w:val="24"/>
        </w:rPr>
        <w:t xml:space="preserve">=== a preencher ===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DESCRIÇÃO DA DEMANDA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Motivo do Encaminhamento</w:t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A paciente Maria Clara veio encaminhada para avaliação neuropsicológica em razão de dificuldades persistentes no contexto escolar, bem como prejuízos na interação social, especialmente no relacionamento com a irmã e com algumas colegas. A avaliação teve como objetivo analisar o perfil cognitivo, atencional, emocional e social da paciente, buscando compreender seu funcionamento global e subsidiar orientações clínicas e escolares adequadas.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PROCEDIMENTOS</w:t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Para esta avaliação foram realizadas: uma sessão de anamnese, 05 sessões de testagem com o(a) paciente e uma sessão de devolutiva com sua mãe.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Anamnese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Escala Wechsler de Inteligência para Crianças – Quarta Edição (WISC-IV): </w:t>
      </w:r>
      <w:r>
        <w:rPr>
          <w:rFonts w:ascii="Arial" w:cs="Arial" w:eastAsia="Arial" w:hAnsi="Arial"/>
          <w:sz w:val="24"/>
          <w:szCs w:val="24"/>
        </w:rPr>
        <w:t xml:space="preserve">utilizada para avaliar o funcionamento intelectual global, os índices fatoriais e fornecer indicadores sobre o perfil cognitivo.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Bateria Psicológica para Avaliação da Atenção – Segunda Edição (BPA-2): </w:t>
      </w:r>
      <w:r>
        <w:rPr>
          <w:rFonts w:ascii="Arial" w:cs="Arial" w:eastAsia="Arial" w:hAnsi="Arial"/>
          <w:sz w:val="24"/>
          <w:szCs w:val="24"/>
        </w:rPr>
        <w:t xml:space="preserve">avalia a capacidade geral de atenção, incluindo atenção concentrada, alternada, dividida e atenção global.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Teste dos Cinco Dígitos – FDT: </w:t>
      </w:r>
      <w:r>
        <w:rPr>
          <w:rFonts w:ascii="Arial" w:cs="Arial" w:eastAsia="Arial" w:hAnsi="Arial"/>
          <w:sz w:val="24"/>
          <w:szCs w:val="24"/>
        </w:rPr>
        <w:t xml:space="preserve">investiga a velocidade de processamento, controle inibitório, alternância e flexibilidade cognitiva.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Teste de Aprendizagem Auditivo-Verbal de Rey – RAVLT: </w:t>
      </w:r>
      <w:r>
        <w:rPr>
          <w:rFonts w:ascii="Arial" w:cs="Arial" w:eastAsia="Arial" w:hAnsi="Arial"/>
          <w:sz w:val="24"/>
          <w:szCs w:val="24"/>
        </w:rPr>
        <w:t xml:space="preserve">avalia memória verbal episódica, aquisição, retenção, recuperação e resistência à interferência.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Escala para Transtorno de Déficit de Atenção e Hiperatividade (E-TDAH): </w:t>
      </w:r>
      <w:r>
        <w:rPr>
          <w:rFonts w:ascii="Arial" w:cs="Arial" w:eastAsia="Arial" w:hAnsi="Arial"/>
          <w:sz w:val="24"/>
          <w:szCs w:val="24"/>
        </w:rPr>
        <w:t xml:space="preserve">questionário para identificação de sintomas de desatenção, impulsividade, hiperatividade, regulação emocional e comportamento adaptativo.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Screen for Child Anxiety Related Emotional Disorders – SCARED: </w:t>
      </w:r>
      <w:r>
        <w:rPr>
          <w:rFonts w:ascii="Arial" w:cs="Arial" w:eastAsia="Arial" w:hAnsi="Arial"/>
          <w:sz w:val="24"/>
          <w:szCs w:val="24"/>
        </w:rPr>
        <w:t xml:space="preserve">avalia sintomas ansiosos, incluindo ansiedade generalizada, de separação, fobia social e somatizações.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Escala de Responsividade Social – Segunda Edição (SRS-2): </w:t>
      </w:r>
      <w:r>
        <w:rPr>
          <w:rFonts w:ascii="Arial" w:cs="Arial" w:eastAsia="Arial" w:hAnsi="Arial"/>
          <w:sz w:val="24"/>
          <w:szCs w:val="24"/>
        </w:rPr>
        <w:t xml:space="preserve">rastreia dificuldades em comunicação social, cognição social, padrões restritos e repetitivos e comportamentos associados ao espectro autista.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Inventário de Personalidade de Eysenck para Jovens – EPQ-J: </w:t>
      </w:r>
      <w:r>
        <w:rPr>
          <w:rFonts w:ascii="Arial" w:cs="Arial" w:eastAsia="Arial" w:hAnsi="Arial"/>
          <w:sz w:val="24"/>
          <w:szCs w:val="24"/>
        </w:rPr>
        <w:t xml:space="preserve">aplicado para mensurar traços de personalidade relacionados a psicoticismo, extroversão, neuroticismo e sinceridade.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ANÁLISE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História Pessoal</w:t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A gestação de Maria Clara ocorreu quando a mãe tinha 19 anos de idade e transcorreu sem intercorrências clínicas graves. A mãe relatou manutenção de sono regular ao longo da gestação, negando doenças infectocontagiosas, acidentes ou uso de medicamentos para prevenção de aborto. As atividades maternas concentravam-se predominantemente na frequência à faculdade e em compromissos sociais. História Perinatal: Maria Clara nasceu com 39 semanas de gestação, por parto cesáreo, sem complicações. Desenvolvimento Motor: Maria Clara apresentou atrasos no desenvolvimento motor quando comparada a outras crianças da mesma idade. É destra e não pratica atividades esportivas, restrição associada ao diagnóstico de epilepsia. Desenvolvimento Linguístico: O desenvolvimento da linguagem inicial não foi marcado por dificuldades significativas. Atualmente apresenta boa dicção e pronúncia, porém com tendência a repetir o mesmo assunto com frequência. Desenvolvimento Socioemocional: Na primeira infância, gostava de contato físico, aceitava colo e apresentava sorriso social adequado. Apresenta dificuldade em manter amizades, preferindo relacionar-se com adultos. É descrita como nervosa, irritável, ingênua, carinhosa, tímida, preocupada e desatenta. Histórico Médico: Diagnóstico de epilepsia e acompanhamento psiquiátrico em razão de alterações de humor. Faz uso de Etoxin, Lamotrigina 100 mg e ESC (5 gotas antes de dormir). Sono e Alimentação: Sono de aproximadamente 9 horas por noite. Alimentação adequada para a idade. Histórico Educacional: Retenção escolar no 1º ano do ensino fundamental, dificuldades acadêmicas persistentes, especialmente em matemática. Recebe aulas particulares desde o 4º ano.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ANÁLISE QUALITATIVA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Capacidade Cognitiva Global – WISC-IV</w:t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A paciente obteve, a partir da escala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WISC IV</w:t>
      </w:r>
      <w:r>
        <w:rPr>
          <w:rFonts w:ascii="Arial" w:cs="Arial" w:eastAsia="Arial" w:hAnsi="Arial"/>
          <w:sz w:val="24"/>
          <w:szCs w:val="24"/>
        </w:rPr>
        <w:t xml:space="preserve">, QI Total (QIT = 61), ficando na classificação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Extremamente Baixo</w:t>
      </w:r>
      <w:r>
        <w:rPr>
          <w:rFonts w:ascii="Arial" w:cs="Arial" w:eastAsia="Arial" w:hAnsi="Arial"/>
          <w:sz w:val="24"/>
          <w:szCs w:val="24"/>
        </w:rPr>
        <w:t xml:space="preserve">, com idade cognitiva estimada de 8 anos e 6 meses. Em relação aos índices fatoriais: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Compreensão Verbal (ICV) – 84 – Média Inferior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Organização Perceptual (IOP) – 61 – Extremamente Baixo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Memória Operacional (IMO) – 52 – Extremamente Baixo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Velocidade de Processamento (IVP) – 68 – Extremamente Baixo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Desempenho no WISC-IV</w:t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[ Gráfico WISC-IV – Índices de QIs ]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/>
      </w:r>
    </w:p>
    <w:p>
      <w:r>
        <w:t xml:space="preserve"/>
      </w:r>
    </w:p>
    <w:p>
      <w:pPr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Interpretação: </w:t>
      </w:r>
      <w:r>
        <w:rPr>
          <w:rFonts w:ascii="Arial" w:cs="Arial" w:eastAsia="Arial" w:hAnsi="Arial"/>
          <w:sz w:val="24"/>
          <w:szCs w:val="24"/>
        </w:rPr>
        <w:t xml:space="preserve">A avaliação neuropsicológica de Maria Clara, por meio da Escala Wechsler de Inteligência para Crianças – Quarta Edição (WISC-IV), evidencia perfil cognitivo globalmente rebaixado, com prejuízos significativos em múltiplos índices, especialmente na memória operacional, organização perceptual e velocidade de processamento. O Índice de Compreensão Verbal (ICV = 84) situou-se na faixa média inferior; o Índice de Organização Perceptual (IOP = 61) foi extremamente baixo; a Memória Operacional (IMO = 52) apresentou classificação extremamente baixa; e a Velocidade de Processamento (IVP = 68) também se situou na faixa extremamente baixa. O QIT = 61 reflete funcionamento intelectual significativamente inferior ao esperado para a idade.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Subescalas WISC-IV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Função Executiva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1000"/>
        <w:gridCol w:w="1100"/>
        <w:gridCol w:w="1738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Testes Utilizados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Escore Máximo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Escore Médio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Escore Mínimo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Escore Obtido</w:t>
            </w:r>
          </w:p>
        </w:tc>
        <w:tc>
          <w:tcPr>
            <w:tcW w:type="dxa" w:w="1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Classificação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Semelhanças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39-44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17-29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1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Média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Conceitos Figurativos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15-20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Média Inferior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Compreensão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41-42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20-29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1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Média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Raciocínio Matricial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18-26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Limítrofe</w:t>
            </w:r>
          </w:p>
        </w:tc>
      </w:tr>
    </w:tbl>
    <w:p>
      <w:r>
        <w:t xml:space="preserve"/>
      </w:r>
    </w:p>
    <w:p>
      <w:pPr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Interpretação: </w:t>
      </w:r>
      <w:r>
        <w:rPr>
          <w:rFonts w:ascii="Arial" w:cs="Arial" w:eastAsia="Arial" w:hAnsi="Arial"/>
          <w:sz w:val="24"/>
          <w:szCs w:val="24"/>
        </w:rPr>
        <w:t xml:space="preserve">O desempenho em Semelhanças e Compreensão, classificados na faixa média, indica capacidade preservada de abstração verbal e julgamento social. Contudo, Conceitos Figurativos em média inferior e Raciocínio Matricial limítrofe evidenciam fragilidades na formação de conceitos não verbais e no raciocínio lógico-visual, refletindo heterogeneidade no funcionamento executivo.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Linguagem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1000"/>
        <w:gridCol w:w="1100"/>
        <w:gridCol w:w="1738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Testes Utilizados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Escore Máximo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Escore Médio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Escore Mínimo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Escore Obtido</w:t>
            </w:r>
          </w:p>
        </w:tc>
        <w:tc>
          <w:tcPr>
            <w:tcW w:type="dxa" w:w="1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Classificação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Semelhanças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39-44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17-29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1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Média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Vocabulário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51-68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24-38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1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Limítrofe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Compreensão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41-42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20-29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1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Média</w:t>
            </w:r>
          </w:p>
        </w:tc>
      </w:tr>
    </w:tbl>
    <w:p>
      <w:r>
        <w:t xml:space="preserve"/>
      </w:r>
    </w:p>
    <w:p>
      <w:pPr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Interpretação: </w:t>
      </w:r>
      <w:r>
        <w:rPr>
          <w:rFonts w:ascii="Arial" w:cs="Arial" w:eastAsia="Arial" w:hAnsi="Arial"/>
          <w:sz w:val="24"/>
          <w:szCs w:val="24"/>
        </w:rPr>
        <w:t xml:space="preserve">As habilidades linguísticas revelam desempenho heterogêneo: abstração verbal e julgamento social preservados (Semelhanças e Compreensão na média), enquanto o vocabulário situa-se na faixa limítrofe, indicando repertório lexical reduzido e limitações na definição semântica de palavras.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Gnosias e Praxias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1000"/>
        <w:gridCol w:w="1100"/>
        <w:gridCol w:w="1738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Testes Utilizados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Escore Máximo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Escore Médio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Escore Mínimo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Escore Obtido</w:t>
            </w:r>
          </w:p>
        </w:tc>
        <w:tc>
          <w:tcPr>
            <w:tcW w:type="dxa" w:w="1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Classificação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Raciocínio Matricial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18-26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Limítrofe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Cubos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60-68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19-36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Extremamente Baixo</w:t>
            </w:r>
          </w:p>
        </w:tc>
      </w:tr>
    </w:tbl>
    <w:p>
      <w:r>
        <w:t xml:space="preserve"/>
      </w:r>
    </w:p>
    <w:p>
      <w:pPr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Interpretação: </w:t>
      </w:r>
      <w:r>
        <w:rPr>
          <w:rFonts w:ascii="Arial" w:cs="Arial" w:eastAsia="Arial" w:hAnsi="Arial"/>
          <w:sz w:val="24"/>
          <w:szCs w:val="24"/>
        </w:rPr>
        <w:t xml:space="preserve">Os resultados indicam prejuízos significativos nas habilidades visuoespaciais e construtivas. O subteste Cubos, classificado como extremamente baixo, evidencia comprometimento relevante na organização visuoespacial, planejamento construtivo e coordenação visomotora.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Memória e Aprendizagem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1000"/>
        <w:gridCol w:w="1100"/>
        <w:gridCol w:w="1738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Testes Utilizados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Escore Máximo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Escore Médio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Escore Mínimo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Escore Obtido</w:t>
            </w:r>
          </w:p>
        </w:tc>
        <w:tc>
          <w:tcPr>
            <w:tcW w:type="dxa" w:w="1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Classificação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Seq. Núm. e Letras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25-30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13-19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Extremamente Baixo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Dígitos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27-32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12-17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Limítrofe</w:t>
            </w:r>
          </w:p>
        </w:tc>
      </w:tr>
    </w:tbl>
    <w:p>
      <w:r>
        <w:t xml:space="preserve"/>
      </w:r>
    </w:p>
    <w:p>
      <w:pPr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Interpretação: </w:t>
      </w:r>
      <w:r>
        <w:rPr>
          <w:rFonts w:ascii="Arial" w:cs="Arial" w:eastAsia="Arial" w:hAnsi="Arial"/>
          <w:sz w:val="24"/>
          <w:szCs w:val="24"/>
        </w:rPr>
        <w:t xml:space="preserve">A memória operacional apresenta comprometimento expressivo. Sequência de Números e Letras situa-se na faixa extremamente baixa, indicando dificuldade grave em reter e manipular informações simultâneas. Dígitos na faixa limítrofe reflete capacidade reduzida de atenção auditiva e memória imediata.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BPA-2 – BATERIA PSICOLÓGICA PARA AVALIAÇÃO DA ATENÇÃO</w:t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A Bateria Psicológica para Avaliação da Atenção-2 (BPA-2) mensura a capacidade geral de atenção, avaliando individualmente: Atenção Concentrada (AC), Atenção Dividida (AD) e Atenção Alternada (AA).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1600"/>
        <w:gridCol w:w="2738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Atenção BPA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Pontos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Percentil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Classificação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Atenção Concentrada – AC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Inferior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Atenção Dividida – AD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Inferior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Atenção Alternada – AA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Inferior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Atenção Geral – AG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Inferior</w:t>
            </w:r>
          </w:p>
        </w:tc>
      </w:tr>
    </w:tbl>
    <w:p>
      <w:r>
        <w:t xml:space="preserve"/>
      </w:r>
    </w:p>
    <w:p>
      <w:pPr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Interpretação: </w:t>
      </w:r>
      <w:r>
        <w:rPr>
          <w:rFonts w:ascii="Arial" w:cs="Arial" w:eastAsia="Arial" w:hAnsi="Arial"/>
          <w:sz w:val="24"/>
          <w:szCs w:val="24"/>
        </w:rPr>
        <w:t xml:space="preserve">Os resultados indicam comprometimento global do funcionamento atencional, com desempenho inferior em todos os componentes avaliados. A atenção concentrada, dividida e alternada situam-se na faixa inferior, refletindo dificuldades significativas em sustentar, distribuir e flexibilizar o foco atencional.</w:t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[ Gráfico BPA-2 – Resultados da avaliação da atenção ]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RAVLT – REY AUDITORY VERBAL LEARNING TEST</w:t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O RAVLT avalia a memória verbal, a capacidade de aprendizado auditivo e a retenção de informações ao longo do tempo (Lezak et al., 2004).</w:t>
      </w:r>
    </w:p>
    <w:p>
      <w:r>
        <w:t xml:space="preserve"/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[ Gráfico RAVLT – Resultados ]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700"/>
        <w:gridCol w:w="700"/>
        <w:gridCol w:w="700"/>
        <w:gridCol w:w="700"/>
        <w:gridCol w:w="700"/>
        <w:gridCol w:w="700"/>
        <w:gridCol w:w="700"/>
        <w:gridCol w:w="700"/>
        <w:gridCol w:w="650"/>
        <w:gridCol w:w="700"/>
        <w:gridCol w:w="750"/>
        <w:gridCol w:w="750"/>
        <w:gridCol w:w="750"/>
      </w:tblGrid>
      <w:tr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Desempenho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A7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I.P.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I.R.</w:t>
            </w:r>
          </w:p>
        </w:tc>
      </w:tr>
      <w:tr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Esperado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0,88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0,9</w:t>
            </w:r>
          </w:p>
        </w:tc>
      </w:tr>
      <w:tr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Mínimo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0,89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0,73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0,8</w:t>
            </w:r>
          </w:p>
        </w:tc>
      </w:tr>
      <w:tr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Obtido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0,75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0,67</w:t>
            </w:r>
          </w:p>
        </w:tc>
        <w:tc>
          <w:tcPr>
            <w:tcW w:type="dxa" w:w="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0,8</w:t>
            </w:r>
          </w:p>
        </w:tc>
      </w:tr>
    </w:tbl>
    <w:p>
      <w:r>
        <w:t xml:space="preserve"/>
      </w:r>
    </w:p>
    <w:p>
      <w:pPr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Interpretação: </w:t>
      </w:r>
      <w:r>
        <w:rPr>
          <w:rFonts w:ascii="Arial" w:cs="Arial" w:eastAsia="Arial" w:hAnsi="Arial"/>
          <w:sz w:val="24"/>
          <w:szCs w:val="24"/>
        </w:rPr>
        <w:t xml:space="preserve">Maria Clara apresentou curva de aprendizagem pouco ascendente e baixo ganho progressivo ao longo das repetições. Na evocação tardia (A7 = 6), o desempenho foi inferior ao mínimo esperado, evidenciando esquecimento acelerado. O reconhecimento comprometido (R = 7) indica dificuldades nos processos de recuperação facilitada. Os índices derivados confirmam prejuízos significativos na codificação, armazenamento e evocação verbal.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FDT – TESTE DOS CINCO DÍGITOS</w:t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O FDT avalia processos automáticos (baixa demanda executiva) e controlados (inibição, alternância, flexibilidade cognitiva), relacionados aos circuitos pré-frontais e frontoestriatais.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900"/>
        <w:gridCol w:w="1200"/>
        <w:gridCol w:w="2738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Processo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Tempo Médio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Tempo Obtido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Erros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Desempenho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Classificação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Leitura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23,3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37,44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Indicativo de Déficit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Contagem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68,91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Indicativo de Déficit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Escolha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47,8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Indicativo de Déficit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Alternância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56,9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235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Indicativo de Déficit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Inibição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23,8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89,56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Indicativo de Déficit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Flexibilidade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33,6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197,56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Indicativo de Déficit</w:t>
            </w:r>
          </w:p>
        </w:tc>
      </w:tr>
    </w:tbl>
    <w:p>
      <w:r>
        <w:t xml:space="preserve"/>
      </w:r>
    </w:p>
    <w:p>
      <w:pPr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Interpretação: </w:t>
      </w:r>
      <w:r>
        <w:rPr>
          <w:rFonts w:ascii="Arial" w:cs="Arial" w:eastAsia="Arial" w:hAnsi="Arial"/>
          <w:sz w:val="24"/>
          <w:szCs w:val="24"/>
        </w:rPr>
        <w:t xml:space="preserve">O desempenho de Maria Clara no FDT revela comprometimento global e acentuado das funções executivas, com prejuízos significativos em todos os processos avaliados. Observa-se lentificação cognitiva importante, dificuldades severas de controle inibitório, flexibilidade cognitiva e alternância de atenção, associadas a elevado índice de erros. Esse padrão é compatível com quadros que envolvem disfunção executiva significativa.</w:t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[ Gráfico FDT – Processos Automáticos ]</w:t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[ Gráfico FDT – Processos Controlados ]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E-TDAH-PAIS</w:t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A Escala E-TDAH identifica manifestações comportamentais e emocionais associadas ao TDAH a partir da percepção dos pais ou responsáveis (Benczik, 2005).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1300"/>
        <w:gridCol w:w="1300"/>
        <w:gridCol w:w="2238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Escala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Pontos Brutos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Percentil</w:t>
            </w:r>
          </w:p>
        </w:tc>
        <w:tc>
          <w:tcPr>
            <w:tcW w:type="dxa" w:w="2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Classificação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Fator 1 – Regulação Emocional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33,03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90,3</w:t>
            </w:r>
          </w:p>
        </w:tc>
        <w:tc>
          <w:tcPr>
            <w:tcW w:type="dxa" w:w="2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Superior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Fator 2 – Hiperatividade/Impulsividade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24,88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16,1</w:t>
            </w:r>
          </w:p>
        </w:tc>
        <w:tc>
          <w:tcPr>
            <w:tcW w:type="dxa" w:w="2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Inferior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Fator 3 – Comportamento Adaptativo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35,10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81,7</w:t>
            </w:r>
          </w:p>
        </w:tc>
        <w:tc>
          <w:tcPr>
            <w:tcW w:type="dxa" w:w="2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Média Superior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Fator 4 – Atenção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22,05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68,0</w:t>
            </w:r>
          </w:p>
        </w:tc>
        <w:tc>
          <w:tcPr>
            <w:tcW w:type="dxa" w:w="2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Média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ESCORE GERAL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116,3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68,5</w:t>
            </w:r>
          </w:p>
        </w:tc>
        <w:tc>
          <w:tcPr>
            <w:tcW w:type="dxa" w:w="2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Média</w:t>
            </w:r>
          </w:p>
        </w:tc>
      </w:tr>
    </w:tbl>
    <w:p>
      <w:r>
        <w:t xml:space="preserve"/>
      </w:r>
    </w:p>
    <w:p>
      <w:pPr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Interpretação: </w:t>
      </w:r>
      <w:r>
        <w:rPr>
          <w:rFonts w:ascii="Arial" w:cs="Arial" w:eastAsia="Arial" w:hAnsi="Arial"/>
          <w:sz w:val="24"/>
          <w:szCs w:val="24"/>
        </w:rPr>
        <w:t xml:space="preserve">Os resultados indicam dificuldades emocionais e adaptativas significativas. O Fator 1 – Regulação Emocional situou-se em classificação superior, indicando presença significativa de dificuldades na modulação das emoções. O Fator 3 – Comportamento Adaptativo em média superior aponta dificuldades no cumprimento de regras e organização do comportamento. O Escore Geral médio sugere funcionamento global dentro dos limites esperados, com prejuízos específicos clinicamente relevantes.</w:t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[ Gráfico E-TDAH – Resultados ]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SCARED – SCREEN FOR CHILD ANXIETY RELATED EMOTIONAL DISORDERS</w:t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O SCARED rastreia sintomas ansiosos: pânico, ansiedade generalizada, ansiedade de separação, fobia social e evitação escolar (Birmaher et al., 1999).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SCARED – Autorrelato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500"/>
        <w:gridCol w:w="1300"/>
        <w:gridCol w:w="2738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Escala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Pontos Brutos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Média / Nota de Corte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Percentil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Classificação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Pânico/Sintomas Somáticos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5,34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97,07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Superior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Ansiedade Generalizada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8,87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71,35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Média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Ansiedade Separação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4,78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93,00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Superior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Fobia Social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5,46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78,63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Média Superior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Evitação Escolar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1,24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73,50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Média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25,69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93,38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Superior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SCARED – Mãe / Responsável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500"/>
        <w:gridCol w:w="1300"/>
        <w:gridCol w:w="2738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Escala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Pontos Brutos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Média / Nota de Corte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Percentil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Classificação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Pânico/Sintomas Somáticos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57,69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Não Clínico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Ansiedade Generalizada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50,00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Não Clínico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Ansiedade Separação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31,25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Clínico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Fobia Social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100,00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Clínico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Evitação Escolar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87,50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Clínico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60,98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Clínico</w:t>
            </w:r>
          </w:p>
        </w:tc>
      </w:tr>
    </w:tbl>
    <w:p>
      <w:r>
        <w:t xml:space="preserve"/>
      </w:r>
    </w:p>
    <w:p>
      <w:pPr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Interpretação: </w:t>
      </w:r>
      <w:r>
        <w:rPr>
          <w:rFonts w:ascii="Arial" w:cs="Arial" w:eastAsia="Arial" w:hAnsi="Arial"/>
          <w:sz w:val="24"/>
          <w:szCs w:val="24"/>
        </w:rPr>
        <w:t xml:space="preserve">No autorrelato, Maria Clara apresentou níveis elevados de ansiedade, com classificação superior no Total Geral. Observam-se pontuações superiores em Pânico/Sintomas Somáticos e Ansiedade de Separação. No relato materno, observam-se classificações clínicas em Ansiedade de Separação, Fobia Social e Evitação Escolar. A comparação entre autorrelato e relato materno evidencia convergência parcial, indicando que parcela significativa do sofrimento ansioso ocorre de forma internalizada.</w:t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[ Gráfico SCARED – Resultados ]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EPQ-J – INVENTÁRIO DE PERSONALIDADE DE EYSENCK PARA JOVENS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2000"/>
        <w:gridCol w:w="2238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Dimensão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Resultado Bruto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Percentil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Classificação</w:t>
            </w:r>
          </w:p>
        </w:tc>
        <w:tc>
          <w:tcPr>
            <w:tcW w:type="dxa" w:w="2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Psicoticismo (P)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Alto</w:t>
            </w:r>
          </w:p>
        </w:tc>
        <w:tc>
          <w:tcPr>
            <w:tcW w:type="dxa" w:w="2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Extroversão (E)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Baixo</w:t>
            </w:r>
          </w:p>
        </w:tc>
        <w:tc>
          <w:tcPr>
            <w:tcW w:type="dxa" w:w="2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Neuroticismo (N)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Alto</w:t>
            </w:r>
          </w:p>
        </w:tc>
        <w:tc>
          <w:tcPr>
            <w:tcW w:type="dxa" w:w="2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Sinceridade (S)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Médio</w:t>
            </w:r>
          </w:p>
        </w:tc>
        <w:tc>
          <w:tcPr>
            <w:tcW w:type="dxa" w:w="22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p>
      <w:pPr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Interpretação: </w:t>
      </w:r>
      <w:r>
        <w:rPr>
          <w:rFonts w:ascii="Arial" w:cs="Arial" w:eastAsia="Arial" w:hAnsi="Arial"/>
          <w:sz w:val="24"/>
          <w:szCs w:val="24"/>
        </w:rPr>
        <w:t xml:space="preserve">O perfil revela combinação de introversão acentuada (Extroversão baixo), instabilidade emocional elevada (Neuroticismo alto) e rigidez comportamental (Psicoticismo alto), configurando padrão de vulnerabilidade para quadros ansiosos. A Sinceridade média reforça a confiabilidade do perfil obtido.</w:t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[ Gráfico EPQ-J – Resultados dos percentis ]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SRS-2 – ESCALA DE RESPONSIVIDADE SOCIAL</w:t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A SRS-2 avalia aspectos da interação social e comportamentos associados ao espectro autista (Constantino &amp; Gruber, 2012).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1300"/>
        <w:gridCol w:w="2738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Fator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Pontos Brutos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T-Score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Percentil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Classificação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Percepção Social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92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Nível Leve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Cognição Social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99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Nível Moderado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Comunicação Social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94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Nível Moderado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Motivação Social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Nível Leve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Padrões Restritos e Repetitivos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86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Nível Leve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Comunicação e Interação Social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Nível Moderado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Pontuação SRS-2 Total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Nível Moderado</w:t>
            </w:r>
          </w:p>
        </w:tc>
      </w:tr>
    </w:tbl>
    <w:p>
      <w:r>
        <w:t xml:space="preserve"/>
      </w:r>
    </w:p>
    <w:p>
      <w:pPr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Interpretação: </w:t>
      </w:r>
      <w:r>
        <w:rPr>
          <w:rFonts w:ascii="Arial" w:cs="Arial" w:eastAsia="Arial" w:hAnsi="Arial"/>
          <w:sz w:val="24"/>
          <w:szCs w:val="24"/>
        </w:rPr>
        <w:t xml:space="preserve">Embora os resultados indiquem dificuldades no funcionamento social, tais achados devem ser analisados à luz do funcionamento intelectual global e do quadro neurológico associado. As dificuldades sociais identificadas mostram-se compatíveis com o nível intelectual global e com os efeitos neurocognitivos da epilepsia, não sendo observados prejuízos qualitativos específicos que sustentem diagnóstico de TEA.</w:t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[ Gráfico SRS-2 – Resultados ]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CONCLUSÃO</w:t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A avaliação neuropsicológica de Maria Clara Daher Costa e Silva revelou perfil cognitivo e emocional caracterizado por funcionamento intelectual global significativamente rebaixado, associado a prejuízos importantes nos domínios atencional, executivo, mnésico e adaptativo, além de sintomas ansiosos clinicamente relevantes. O funcionamento cognitivo é compatível com Deficiência Intelectual, com impacto direto no desempenho acadêmico e na adaptação às demandas sociais, agravado pela presença de epilepsia. Ressalta-se que o ser humano possui uma natureza dinâmica; não definitiva e não cristalizada. Sendo assim, os resultados aqui expostos dizem respeito ao funcionamento das funções cognitivas no momento presente, podendo haver alterações posteriores dependendo das contingências ambientais vivenciadas e/ou dos acompanhamentos recebidos.</w:t>
      </w:r>
    </w:p>
    <w:p>
      <w:r>
        <w:t xml:space="preserve"/>
      </w:r>
    </w:p>
    <w:p>
      <w:pPr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Sugestões de Conduta (Encaminhamentos):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Acompanhamento neurológico contínuo, com monitoramento regular do quadro de epilepsia, ajustes terapêuticos e avaliação periódica dos possíveis impactos cognitivos e comportamentais das crises e da medicação em uso.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Encaminhamento para acompanhamento psicológico com foco em intervenção cognitivo-comportamental adaptada ao nível intelectual, visando manejo da ansiedade, regulação emocional e fortalecimento de habilidades sociais.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Acompanhamento psicopedagógico especializado, direcionado às dificuldades acadêmicas persistentes, especialmente em matemática e organização do estudo.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Intervenção fonoaudiológica continuada, com reavaliação dos objetivos terapêuticos, considerando fala lenta e arrastada, dificuldades de atenção à linguagem oral e repetição de temas.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Avaliação e acompanhamento em Terapia Ocupacional, com foco em habilidades adaptativas, coordenação motora, organização da rotina e autonomia funcional.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Orientação à família com psicoeducação sobre Deficiência Intelectual e epilepsia, ajuste de expectativas, manejo comportamental e reforço positivo.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Adaptações escolares: flexibilização curricular, tempo ampliado, instruções claras e segmentadas, uso de recursos visuais e acompanhamento pedagógico individualizado.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 EQUIPE MULTIDISCIPLINAR</w:t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A Avaliação Neuropsicológica, quando bem fundamentada, é essencial para direcionar a reabilitação cognitiva e fornecer subsídios para outros profissionais em suas respectivas áreas de atuação. Dessa forma, a anamnese é realizada de forma detalhada, e por se tratar de um documento sigiloso, seu conteúdo só deve ser compartilhado, fotocopiado ou discutido com terceiros mediante autorização por escrito dos pais ou responsáveis.</w:t>
      </w:r>
    </w:p>
    <w:p>
      <w:r>
        <w:t xml:space="preserve"/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É importante que o documento seja lido na íntegra, e não apenas a conclusão, para que se compreenda plenamente o raciocínio clínico utilizado ao longo de todo o processo avaliativo. Ressalta-se que o uso das informações contidas na Avaliação Neuropsicológica deve seguir princípios éticos, preservando e protegendo a integridade socioemocional da paciente, evitando qualquer exposição a situações de constrangimento ou discriminação.</w:t>
      </w:r>
    </w:p>
    <w:p>
      <w:r>
        <w:t xml:space="preserve"/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Com a devida autorização por escrito dos pais, coloco-me à disposição para esclarecimentos e discussões sobre o exame, podendo ser contatada pelo e-mail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drajacquelinecaires@gmail.com</w:t>
      </w:r>
      <w:r>
        <w:rPr>
          <w:rFonts w:ascii="Arial" w:cs="Arial" w:eastAsia="Arial" w:hAnsi="Arial"/>
          <w:sz w:val="24"/>
          <w:szCs w:val="24"/>
        </w:rPr>
        <w:t xml:space="preserve"> ou pelo telefone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(64) 99201-2782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r>
        <w:t xml:space="preserve"/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Goiânia, 15 de janeiro de 2026</w:t>
      </w:r>
    </w:p>
    <w:p>
      <w:r>
        <w:t xml:space="preserve"/>
      </w:r>
    </w:p>
    <w:p>
      <w:pPr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Jacqueline O. Caires</w:t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Neuropsicóloga – CRP09/6017</w:t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Analista do Comportamento</w:t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Especialista em Saúde Mental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Importante ressaltar que este documento:</w:t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1. Não deve ser utilizado para fins diferentes daqueles especificados no item de identificação do documento.</w:t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2. Possui caráter sigiloso e extrajudicial, não cabendo à psicóloga a responsabilidade pelo seu uso indevido ou pela entrega do laudo sem autorização adequada.</w:t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3. A análise isolada deste laudo não possui valor diagnóstico se não for considerada em conjunto com dados clínicos, epistemológicos, exames de neuroimagem e laboratoriais adicionais referentes ao paciente.</w:t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4. Esta avaliação está em conformidade com as Resoluções CRP 09/2018 e 06/2019. Em conformidade com o Código de Ética Profissional, este exame deve ser tratado como confidencial.</w:t>
      </w:r>
    </w:p>
    <w:p>
      <w:r>
        <w:t xml:space="preserve"/>
      </w:r>
    </w:p>
    <w:p>
      <w:pPr>
        <w:jc w:val="both"/>
      </w:pPr>
      <w:r>
        <w:rPr>
          <w:rFonts w:ascii="Arial" w:cs="Arial" w:eastAsia="Arial" w:hAnsi="Arial"/>
          <w:sz w:val="24"/>
          <w:szCs w:val="24"/>
        </w:rPr>
        <w:t xml:space="preserve">Ressalta-se que o ser humano possui uma natureza dinâmica; não definitiva e não cristalizada. Sendo assim, os resultados aqui expostos dizem respeito ao funcionamento das funções cognitivas, como também, da personalidade, humor e afetividade do(a) paciente no momento presente, podendo haver alterações posteriores, dependendo das contingências ambientais vivenciadas e/ou do(s) acompanhamento(s) recebido(s).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REFERÊNCIAS BIBLIOGRÁFICAS</w:t>
      </w:r>
    </w:p>
    <w:p>
      <w:pPr>
        <w:spacing w:after="100"/>
        <w:jc w:val="both"/>
      </w:pPr>
      <w:r>
        <w:rPr>
          <w:rFonts w:ascii="Arial" w:cs="Arial" w:eastAsia="Arial" w:hAnsi="Arial"/>
          <w:sz w:val="24"/>
          <w:szCs w:val="24"/>
        </w:rPr>
        <w:t xml:space="preserve">CONSELHO FEDERAL DE PSICOLOGIA (CFP). Resolução nº 6, de 29 de março de 2019. Brasília: CFP, 2019.</w:t>
      </w:r>
    </w:p>
    <w:p>
      <w:pPr>
        <w:spacing w:after="100"/>
        <w:jc w:val="both"/>
      </w:pPr>
      <w:r>
        <w:rPr>
          <w:rFonts w:ascii="Arial" w:cs="Arial" w:eastAsia="Arial" w:hAnsi="Arial"/>
          <w:sz w:val="24"/>
          <w:szCs w:val="24"/>
        </w:rPr>
        <w:t xml:space="preserve">WECHSLER, D. WISC-IV – Escala de Inteligência Wechsler para Crianças – Quarta Edição. São Paulo: Pearson, 2013.</w:t>
      </w:r>
    </w:p>
    <w:p>
      <w:pPr>
        <w:spacing w:after="100"/>
        <w:jc w:val="both"/>
      </w:pPr>
      <w:r>
        <w:rPr>
          <w:rFonts w:ascii="Arial" w:cs="Arial" w:eastAsia="Arial" w:hAnsi="Arial"/>
          <w:sz w:val="24"/>
          <w:szCs w:val="24"/>
        </w:rPr>
        <w:t xml:space="preserve">RUEDA, F. J. M. Bateria Psicológica para Avaliação da Atenção – BPA-2. São Paulo: Vetor Editora, 2013.</w:t>
      </w:r>
    </w:p>
    <w:p>
      <w:pPr>
        <w:spacing w:after="100"/>
        <w:jc w:val="both"/>
      </w:pPr>
      <w:r>
        <w:rPr>
          <w:rFonts w:ascii="Arial" w:cs="Arial" w:eastAsia="Arial" w:hAnsi="Arial"/>
          <w:sz w:val="24"/>
          <w:szCs w:val="24"/>
        </w:rPr>
        <w:t xml:space="preserve">LEZAK, M. D.; HOWIESON, D. B.; BIGLER, E. D.; TRANEL, D. Neuropsychological Assessment. 5. ed. New York: Oxford University Press, 2012.</w:t>
      </w:r>
    </w:p>
    <w:p>
      <w:pPr>
        <w:spacing w:after="100"/>
        <w:jc w:val="both"/>
      </w:pPr>
      <w:r>
        <w:rPr>
          <w:rFonts w:ascii="Arial" w:cs="Arial" w:eastAsia="Arial" w:hAnsi="Arial"/>
          <w:sz w:val="24"/>
          <w:szCs w:val="24"/>
        </w:rPr>
        <w:t xml:space="preserve">STRAUSS, E.; SHERMAN, E. M. S.; SPREEN, O. A compendium of neuropsychological tests. 3. ed. New York: Oxford University Press, 2006.</w:t>
      </w:r>
    </w:p>
    <w:p>
      <w:pPr>
        <w:spacing w:after="100"/>
        <w:jc w:val="both"/>
      </w:pPr>
      <w:r>
        <w:rPr>
          <w:rFonts w:ascii="Arial" w:cs="Arial" w:eastAsia="Arial" w:hAnsi="Arial"/>
          <w:sz w:val="24"/>
          <w:szCs w:val="24"/>
        </w:rPr>
        <w:t xml:space="preserve">SALLES, J. F.; FONSECA, R. P.; PARENTE, M. A. M. P. Teste dos Cinco Dígitos (FDT). São Paulo: Casa do Psicólogo, 2011.</w:t>
      </w:r>
    </w:p>
    <w:p>
      <w:pPr>
        <w:spacing w:after="100"/>
        <w:jc w:val="both"/>
      </w:pPr>
      <w:r>
        <w:rPr>
          <w:rFonts w:ascii="Arial" w:cs="Arial" w:eastAsia="Arial" w:hAnsi="Arial"/>
          <w:sz w:val="24"/>
          <w:szCs w:val="24"/>
        </w:rPr>
        <w:t xml:space="preserve">BENCZIK, E. B. P. Escala de Transtorno de Déficit de Atenção e Hiperatividade – E-TDAH. São Paulo: Casa do Psicólogo, 2005.</w:t>
      </w:r>
    </w:p>
    <w:p>
      <w:pPr>
        <w:spacing w:after="100"/>
        <w:jc w:val="both"/>
      </w:pPr>
      <w:r>
        <w:rPr>
          <w:rFonts w:ascii="Arial" w:cs="Arial" w:eastAsia="Arial" w:hAnsi="Arial"/>
          <w:sz w:val="24"/>
          <w:szCs w:val="24"/>
        </w:rPr>
        <w:t xml:space="preserve">BIRMAHER, B. et al. Screen for Child Anxiety Related Emotional Disorders (SCARED). JAACAP, v. 36, n. 4, p. 545–553, 1997.</w:t>
      </w:r>
    </w:p>
    <w:p>
      <w:pPr>
        <w:spacing w:after="100"/>
        <w:jc w:val="both"/>
      </w:pPr>
      <w:r>
        <w:rPr>
          <w:rFonts w:ascii="Arial" w:cs="Arial" w:eastAsia="Arial" w:hAnsi="Arial"/>
          <w:sz w:val="24"/>
          <w:szCs w:val="24"/>
        </w:rPr>
        <w:t xml:space="preserve">CONSTANTINO, J. N.; GRUBER, C. P. Social Responsiveness Scale – Second Edition (SRS-2). Torrance, CA: WPS, 2012.</w:t>
      </w:r>
    </w:p>
    <w:p>
      <w:pPr>
        <w:spacing w:after="100"/>
        <w:jc w:val="both"/>
      </w:pPr>
      <w:r>
        <w:rPr>
          <w:rFonts w:ascii="Arial" w:cs="Arial" w:eastAsia="Arial" w:hAnsi="Arial"/>
          <w:sz w:val="24"/>
          <w:szCs w:val="24"/>
        </w:rPr>
        <w:t xml:space="preserve">EYSENCK, H. J.; EYSENCK, S. B. G. Inventário de Personalidade de Eysenck – Versão Jovens (EPQ-J). São Paulo: Vetor Editora, 2001.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2026-04-08T03:29:46.388Z</dcterms:created>
  <dcterms:modified xsi:type="dcterms:W3CDTF">2026-04-08T03:29:46.389Z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