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4E79"/>
          <w:sz w:val="26"/>
          <w:szCs w:val="26"/>
        </w:rPr>
        <w:t xml:space="preserve">KASPER TECHNOLOGIES FZ-LLC</w:t>
      </w:r>
    </w:p>
    <w:p>
      <w:pPr>
        <w:spacing w:after="0" w:before="0"/>
      </w:pPr>
      <w:r>
        <w:rPr>
          <w:rFonts w:ascii="Arial" w:cs="Arial" w:eastAsia="Arial" w:hAnsi="Arial"/>
          <w:color w:val="777777"/>
          <w:sz w:val="19"/>
          <w:szCs w:val="19"/>
        </w:rPr>
        <w:t xml:space="preserve">in5 / TECOM Group, Dubai</w:t>
      </w:r>
    </w:p>
    <w:p>
      <w:pPr>
        <w:pBdr>
          <w:bottom w:val="single" w:color="2E75B6" w:sz="4" w:space="1"/>
        </w:pBdr>
        <w:spacing w:after="160" w:before="160"/>
      </w:pPr>
      <w:r>
        <w:t xml:space="preserve"/>
      </w:r>
    </w:p>
    <w:p>
      <w:pPr>
        <w:spacing w:after="80" w:before="200"/>
      </w:pPr>
      <w:r>
        <w:rPr>
          <w:rFonts w:ascii="Arial" w:cs="Arial" w:eastAsia="Arial" w:hAnsi="Arial"/>
          <w:b/>
          <w:bCs/>
          <w:color w:val="1F4E79"/>
          <w:sz w:val="52"/>
          <w:szCs w:val="52"/>
        </w:rPr>
        <w:t xml:space="preserve">Feasibility Study</w:t>
      </w:r>
    </w:p>
    <w:p>
      <w:pPr>
        <w:spacing w:after="60" w:before="0"/>
      </w:pPr>
      <w:r>
        <w:rPr>
          <w:rFonts w:ascii="Arial" w:cs="Arial" w:eastAsia="Arial" w:hAnsi="Arial"/>
          <w:color w:val="2E75B6"/>
          <w:sz w:val="26"/>
          <w:szCs w:val="26"/>
        </w:rPr>
        <w:t xml:space="preserve">Digitising Logistics Operations — Internal Platform, Vendor SaaS, and GPS / Telematics</w:t>
      </w:r>
    </w:p>
    <w:p>
      <w:pPr>
        <w:spacing w:after="0" w:before="200"/>
      </w:pPr>
      <w:r>
        <w:rPr>
          <w:rFonts w:ascii="Arial" w:cs="Arial" w:eastAsia="Arial" w:hAnsi="Arial"/>
          <w:color w:val="777777"/>
          <w:sz w:val="20"/>
          <w:szCs w:val="20"/>
        </w:rPr>
        <w:t xml:space="preserve">May 2026  ·  Confidential  ·  Internal &amp; Investor Use</w:t>
      </w:r>
    </w:p>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1"/>
              <w:left w:val="single" w:color="1F4E79" w:sz="18"/>
              <w:bottom w:val="single" w:color="1F4E79" w:sz="1"/>
              <w:right w:val="single" w:color="1F4E79" w:sz="1"/>
            </w:tcBorders>
            <w:shd w:fill="F5F5F5" w:val="clear"/>
            <w:tcMar>
              <w:top w:type="dxa" w:w="140"/>
              <w:left w:type="dxa" w:w="200"/>
              <w:bottom w:type="dxa" w:w="140"/>
              <w:right w:type="dxa" w:w="160"/>
            </w:tcMar>
          </w:tcPr>
          <w:p>
            <w:pPr>
              <w:spacing w:after="80" w:before="0"/>
            </w:pPr>
            <w:r>
              <w:rPr>
                <w:rFonts w:ascii="Arial" w:cs="Arial" w:eastAsia="Arial" w:hAnsi="Arial"/>
                <w:b/>
                <w:bCs/>
                <w:color w:val="1F4E79"/>
                <w:sz w:val="22"/>
                <w:szCs w:val="22"/>
              </w:rPr>
              <w:t xml:space="preserve">VERDICT:  GO — BUILD THE INTERNAL OPERATIONS PLATFORM FIRST</w:t>
            </w:r>
          </w:p>
          <w:p>
            <w:pPr>
              <w:spacing w:after="0" w:before="0"/>
            </w:pPr>
            <w:r>
              <w:rPr>
                <w:rFonts w:ascii="Arial" w:cs="Arial" w:eastAsia="Arial" w:hAnsi="Arial"/>
                <w:color w:val="1A1A1A"/>
                <w:sz w:val="21"/>
                <w:szCs w:val="21"/>
              </w:rPr>
              <w:t xml:space="preserve">Kasper is not a startup. It is a logistics brokerage that has operated for two years with a live marketplace, real clients, real vendors, and a proven — if manual — cash flow model. The feasibility question is not whether to launch, but whether to digitise operations and, later, productise that system for vendors.</w:t>
            </w:r>
          </w:p>
          <w:p>
            <w:pPr>
              <w:spacing w:after="0" w:before="40"/>
            </w:pPr>
            <w:r>
              <w:rPr>
                <w:rFonts w:ascii="Arial" w:cs="Arial" w:eastAsia="Arial" w:hAnsi="Arial"/>
                <w:color w:val="1A1A1A"/>
                <w:sz w:val="21"/>
                <w:szCs w:val="21"/>
              </w:rPr>
              <w:t xml:space="preserve"/>
            </w:r>
          </w:p>
          <w:p>
            <w:pPr>
              <w:spacing w:after="0" w:before="40"/>
            </w:pPr>
            <w:r>
              <w:rPr>
                <w:rFonts w:ascii="Arial" w:cs="Arial" w:eastAsia="Arial" w:hAnsi="Arial"/>
                <w:color w:val="1A1A1A"/>
                <w:sz w:val="21"/>
                <w:szCs w:val="21"/>
              </w:rPr>
              <w:t xml:space="preserve">The internal operations build has clear, near-term payback: it removes the manual-coordination ceiling that currently caps the business at ~45 trips per month. The GPS / telematics layer is a clean recurring-revenue add-on with a physical switching cost. The standalone vendor SaaS is real but is a Year 2+ upsell, not a Year 1 revenue line — it travels in on the back of marketplace jobs and GPS hardware.</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8"/>
              <w:bottom w:val="single" w:color="2E75B6" w:sz="1"/>
              <w:right w:val="single" w:color="2E75B6" w:sz="1"/>
            </w:tcBorders>
            <w:shd w:fill="F5F5F5" w:val="clear"/>
            <w:tcMar>
              <w:top w:type="dxa" w:w="140"/>
              <w:left w:type="dxa" w:w="200"/>
              <w:bottom w:type="dxa" w:w="140"/>
              <w:right w:type="dxa" w:w="160"/>
            </w:tcMar>
          </w:tcPr>
          <w:p>
            <w:pPr>
              <w:spacing w:after="80" w:before="0"/>
            </w:pPr>
            <w:r>
              <w:rPr>
                <w:rFonts w:ascii="Arial" w:cs="Arial" w:eastAsia="Arial" w:hAnsi="Arial"/>
                <w:b/>
                <w:bCs/>
                <w:color w:val="2E75B6"/>
                <w:sz w:val="22"/>
                <w:szCs w:val="22"/>
              </w:rPr>
              <w:t xml:space="preserve">FOUR CONDITIONS</w:t>
            </w:r>
          </w:p>
          <w:p>
            <w:pPr>
              <w:spacing w:after="0" w:before="0"/>
            </w:pPr>
            <w:r>
              <w:rPr>
                <w:rFonts w:ascii="Arial" w:cs="Arial" w:eastAsia="Arial" w:hAnsi="Arial"/>
                <w:color w:val="1A1A1A"/>
                <w:sz w:val="21"/>
                <w:szCs w:val="21"/>
              </w:rPr>
              <w:t xml:space="preserve">1.  Build the internal operations platform first. Run Kasper’s own operations on it for 3–6 months before selling anything to vendors.</w:t>
            </w:r>
          </w:p>
          <w:p>
            <w:pPr>
              <w:spacing w:after="0" w:before="40"/>
            </w:pPr>
            <w:r>
              <w:rPr>
                <w:rFonts w:ascii="Arial" w:cs="Arial" w:eastAsia="Arial" w:hAnsi="Arial"/>
                <w:color w:val="1A1A1A"/>
                <w:sz w:val="21"/>
                <w:szCs w:val="21"/>
              </w:rPr>
              <w:t xml:space="preserve">2.  Treat the marketplace as the customer-acquisition engine, not a separate profit centre. Vendors join for jobs; the software and GPS follow.</w:t>
            </w:r>
          </w:p>
          <w:p>
            <w:pPr>
              <w:spacing w:after="0" w:before="40"/>
            </w:pPr>
            <w:r>
              <w:rPr>
                <w:rFonts w:ascii="Arial" w:cs="Arial" w:eastAsia="Arial" w:hAnsi="Arial"/>
                <w:color w:val="1A1A1A"/>
                <w:sz w:val="21"/>
                <w:szCs w:val="21"/>
              </w:rPr>
              <w:t xml:space="preserve">3.  Instrument the platform to capture real operating data from day one — trips, values, margins, utilisation. The business cannot be scaled or raised on numbers it does not measure.</w:t>
            </w:r>
          </w:p>
          <w:p>
            <w:pPr>
              <w:spacing w:after="0" w:before="40"/>
            </w:pPr>
            <w:r>
              <w:rPr>
                <w:rFonts w:ascii="Arial" w:cs="Arial" w:eastAsia="Arial" w:hAnsi="Arial"/>
                <w:color w:val="1A1A1A"/>
                <w:sz w:val="21"/>
                <w:szCs w:val="21"/>
              </w:rPr>
              <w:t xml:space="preserve">4.  Position the GPS / telematics layer as a lead recurring-revenue product to vendors, not a late add-on.</w:t>
            </w:r>
          </w:p>
        </w:tc>
      </w:tr>
    </w:tbl>
    <w:p>
      <w:r>
        <w:br w:type="page"/>
      </w:r>
    </w:p>
    <w:p>
      <w:pPr>
        <w:pStyle w:val="Heading1"/>
        <w:spacing w:after="160" w:before="360"/>
      </w:pPr>
      <w:r>
        <w:rPr>
          <w:rFonts w:ascii="Arial" w:cs="Arial" w:eastAsia="Arial" w:hAnsi="Arial"/>
          <w:b/>
          <w:bCs/>
          <w:color w:val="1F4E79"/>
          <w:sz w:val="30"/>
          <w:szCs w:val="30"/>
        </w:rPr>
        <w:t xml:space="preserve">1. What Kasper Actually Is</w:t>
      </w:r>
    </w:p>
    <w:p>
      <w:pPr>
        <w:spacing w:after="80" w:before="80"/>
      </w:pPr>
      <w:r>
        <w:rPr>
          <w:rFonts w:ascii="Arial" w:cs="Arial" w:eastAsia="Arial" w:hAnsi="Arial"/>
          <w:color w:val="1A1A1A"/>
          <w:sz w:val="22"/>
          <w:szCs w:val="22"/>
        </w:rPr>
        <w:t xml:space="preserve">Kasper Technologies is an established UAE logistics brokerage with two years of operating history. It runs a working marketplace that connects construction and building-materials clients to a network of independent transport and equipment vendors. Kasper owns no vehicles. Revenue is earned as a margin on each job brokered between client and vendor.</w:t>
      </w:r>
    </w:p>
    <w:p>
      <w:pPr>
        <w:spacing w:after="0" w:before="80"/>
      </w:pPr>
      <w:r>
        <w:t xml:space="preserve"/>
      </w:r>
    </w:p>
    <w:p>
      <w:pPr>
        <w:spacing w:after="80" w:before="80"/>
      </w:pPr>
      <w:r>
        <w:rPr>
          <w:rFonts w:ascii="Arial" w:cs="Arial" w:eastAsia="Arial" w:hAnsi="Arial"/>
          <w:color w:val="1A1A1A"/>
          <w:sz w:val="22"/>
          <w:szCs w:val="22"/>
        </w:rPr>
        <w:t xml:space="preserve">Today the entire operation runs manually. When a client requests a vehicle, Kasper coordinates by phone — calling vendors, assigning drivers, tracking jobs verbally, collecting paper delivery notes, and invoicing after the fact. There is no software for dispatch, no app for drivers or vendors, and no automated tracking, proof of delivery, or invoicing.</w:t>
      </w:r>
    </w:p>
    <w:p>
      <w:pPr>
        <w:spacing w:after="0" w:before="80"/>
      </w:pPr>
      <w:r>
        <w:t xml:space="preserve"/>
      </w:r>
    </w:p>
    <w:p>
      <w:pPr>
        <w:spacing w:after="80" w:before="80"/>
      </w:pPr>
      <w:r>
        <w:rPr>
          <w:rFonts w:ascii="Arial" w:cs="Arial" w:eastAsia="Arial" w:hAnsi="Arial"/>
          <w:b/>
          <w:bCs/>
          <w:color w:val="1A1A1A"/>
          <w:sz w:val="22"/>
          <w:szCs w:val="22"/>
        </w:rPr>
        <w:t xml:space="preserve">This study assesses a two-part plan:</w:t>
      </w:r>
    </w:p>
    <w:p>
      <w:pPr>
        <w:pStyle w:val="ListParagraph"/>
        <w:numPr>
          <w:ilvl w:val="0"/>
          <w:numId w:val="2"/>
        </w:numPr>
        <w:spacing w:after="60" w:before="60"/>
      </w:pPr>
      <w:r>
        <w:rPr>
          <w:rFonts w:ascii="Arial" w:cs="Arial" w:eastAsia="Arial" w:hAnsi="Arial"/>
          <w:b w:val="false"/>
          <w:bCs w:val="false"/>
          <w:color w:val="1A1A1A"/>
          <w:sz w:val="22"/>
          <w:szCs w:val="22"/>
        </w:rPr>
        <w:t xml:space="preserve">Part 1 — Build an operations platform for Kasper’s own use. An Uber-style system covering enquiry, one-click quoting, PO handling, driver assignment, live tracking, digital ePOD, and automated invoicing.</w:t>
      </w:r>
    </w:p>
    <w:p>
      <w:pPr>
        <w:pStyle w:val="ListParagraph"/>
        <w:numPr>
          <w:ilvl w:val="0"/>
          <w:numId w:val="2"/>
        </w:numPr>
        <w:spacing w:after="60" w:before="60"/>
      </w:pPr>
      <w:r>
        <w:rPr>
          <w:rFonts w:ascii="Arial" w:cs="Arial" w:eastAsia="Arial" w:hAnsi="Arial"/>
          <w:b w:val="false"/>
          <w:bCs w:val="false"/>
          <w:color w:val="1A1A1A"/>
          <w:sz w:val="22"/>
          <w:szCs w:val="22"/>
        </w:rPr>
        <w:t xml:space="preserve">Part 2 — Once proven internally, offer the same system — plus GPS and telematics hardware — to vendors, transport companies, and equipment owners as a service, so they can run their own operations to the same standard.</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6A00" w:sz="1"/>
              <w:left w:val="single" w:color="B26A00" w:sz="18"/>
              <w:bottom w:val="single" w:color="B26A00" w:sz="1"/>
              <w:right w:val="single" w:color="B26A00" w:sz="1"/>
            </w:tcBorders>
            <w:shd w:fill="F5F5F5" w:val="clear"/>
            <w:tcMar>
              <w:top w:type="dxa" w:w="140"/>
              <w:left w:type="dxa" w:w="200"/>
              <w:bottom w:type="dxa" w:w="140"/>
              <w:right w:type="dxa" w:w="160"/>
            </w:tcMar>
          </w:tcPr>
          <w:p>
            <w:pPr>
              <w:spacing w:after="80" w:before="0"/>
            </w:pPr>
            <w:r>
              <w:rPr>
                <w:rFonts w:ascii="Arial" w:cs="Arial" w:eastAsia="Arial" w:hAnsi="Arial"/>
                <w:b/>
                <w:bCs/>
                <w:color w:val="B26A00"/>
                <w:sz w:val="22"/>
                <w:szCs w:val="22"/>
              </w:rPr>
              <w:t xml:space="preserve">Important correction to the prior draft study</w:t>
            </w:r>
          </w:p>
          <w:p>
            <w:pPr>
              <w:spacing w:after="0" w:before="0"/>
            </w:pPr>
            <w:r>
              <w:rPr>
                <w:rFonts w:ascii="Arial" w:cs="Arial" w:eastAsia="Arial" w:hAnsi="Arial"/>
                <w:color w:val="1A1A1A"/>
                <w:sz w:val="21"/>
                <w:szCs w:val="21"/>
              </w:rPr>
              <w:t xml:space="preserve">The earlier feasibility draft modelled Kasper as a greenfield startup operating a fleet of 30–100 trucks with AED 4.5M–19.5M in revenue and an investor-funded “OWN programme.” That model does not reflect the business. Kasper is asset-light, has no owned fleet, and earns a brokerage margin — not full freight revenue. The OWN programme is parked as a possible long-term option only. All projections in this study are rebuilt bottom-up from Kasper’s real operating numbers.</w:t>
            </w:r>
          </w:p>
        </w:tc>
      </w:tr>
    </w:tbl>
    <w:p>
      <w:pPr>
        <w:pStyle w:val="Heading1"/>
        <w:spacing w:after="160" w:before="360"/>
      </w:pPr>
      <w:r>
        <w:rPr>
          <w:rFonts w:ascii="Arial" w:cs="Arial" w:eastAsia="Arial" w:hAnsi="Arial"/>
          <w:b/>
          <w:bCs/>
          <w:color w:val="1F4E79"/>
          <w:sz w:val="30"/>
          <w:szCs w:val="30"/>
        </w:rPr>
        <w:t xml:space="preserve">2. The Problem Being Solved</w:t>
      </w:r>
    </w:p>
    <w:p>
      <w:pPr>
        <w:pStyle w:val="Heading2"/>
        <w:spacing w:after="120" w:before="240"/>
      </w:pPr>
      <w:r>
        <w:rPr>
          <w:rFonts w:ascii="Arial" w:cs="Arial" w:eastAsia="Arial" w:hAnsi="Arial"/>
          <w:b/>
          <w:bCs/>
          <w:color w:val="2E75B6"/>
          <w:sz w:val="24"/>
          <w:szCs w:val="24"/>
        </w:rPr>
        <w:t xml:space="preserve">2.1 Kasper’s own bottleneck</w:t>
      </w:r>
    </w:p>
    <w:p>
      <w:pPr>
        <w:spacing w:after="80" w:before="80"/>
      </w:pPr>
      <w:r>
        <w:rPr>
          <w:rFonts w:ascii="Arial" w:cs="Arial" w:eastAsia="Arial" w:hAnsi="Arial"/>
          <w:color w:val="1A1A1A"/>
          <w:sz w:val="22"/>
          <w:szCs w:val="22"/>
        </w:rPr>
        <w:t xml:space="preserve">Kasper currently handles an average of 45 trips per month. That figure is not a market limit — it is a manual-coordination limit. Phone-based dispatch, verbal tracking, and paper delivery notes cap how many jobs a fixed team can process. Growth today means hiring more coordinators, which erodes margin. The operations platform is the lever that breaks this ceiling: the same team can process substantially more jobs when quoting, dispatch, tracking, ePOD, and invoicing are automated.</w:t>
      </w:r>
    </w:p>
    <w:p>
      <w:pPr>
        <w:spacing w:after="0" w:before="80"/>
      </w:pPr>
      <w:r>
        <w:t xml:space="preserve"/>
      </w:r>
    </w:p>
    <w:p>
      <w:pPr>
        <w:pStyle w:val="Heading2"/>
        <w:spacing w:after="120" w:before="240"/>
      </w:pPr>
      <w:r>
        <w:rPr>
          <w:rFonts w:ascii="Arial" w:cs="Arial" w:eastAsia="Arial" w:hAnsi="Arial"/>
          <w:b/>
          <w:bCs/>
          <w:color w:val="2E75B6"/>
          <w:sz w:val="24"/>
          <w:szCs w:val="24"/>
        </w:rPr>
        <w:t xml:space="preserve">2.2 The vendor’s problem</w:t>
      </w:r>
    </w:p>
    <w:p>
      <w:pPr>
        <w:spacing w:after="80" w:before="80"/>
      </w:pPr>
      <w:r>
        <w:rPr>
          <w:rFonts w:ascii="Arial" w:cs="Arial" w:eastAsia="Arial" w:hAnsi="Arial"/>
          <w:color w:val="1A1A1A"/>
          <w:sz w:val="22"/>
          <w:szCs w:val="22"/>
        </w:rPr>
        <w:t xml:space="preserve">Kasper’s vendors — independent transport and equipment owners — get the job done today, but manually and through staff. The owner depends on people to handle quoting and coordination and has limited direct visibility into his own business: which jobs are running, where his drivers are, and what he is actually earning. The platform does not replace his staff; it makes the process better and gives the owner control and visibility from his phone.</w:t>
      </w:r>
    </w:p>
    <w:p>
      <w:pPr>
        <w:spacing w:after="0" w:before="80"/>
      </w:pPr>
      <w:r>
        <w:t xml:space="preserve"/>
      </w:r>
    </w:p>
    <w:p>
      <w:pPr>
        <w:pStyle w:val="Heading2"/>
        <w:spacing w:after="120" w:before="240"/>
      </w:pPr>
      <w:r>
        <w:rPr>
          <w:rFonts w:ascii="Arial" w:cs="Arial" w:eastAsia="Arial" w:hAnsi="Arial"/>
          <w:b/>
          <w:bCs/>
          <w:color w:val="2E75B6"/>
          <w:sz w:val="24"/>
          <w:szCs w:val="24"/>
        </w:rPr>
        <w:t xml:space="preserve">2.3 The client’s problem</w:t>
      </w:r>
    </w:p>
    <w:p>
      <w:pPr>
        <w:spacing w:after="80" w:before="80"/>
      </w:pPr>
      <w:r>
        <w:rPr>
          <w:rFonts w:ascii="Arial" w:cs="Arial" w:eastAsia="Arial" w:hAnsi="Arial"/>
          <w:color w:val="1A1A1A"/>
          <w:sz w:val="22"/>
          <w:szCs w:val="22"/>
        </w:rPr>
        <w:t xml:space="preserve">Clients today have no live visibility. To learn where a vehicle is or when it will arrive, they call — and are often given excuses. There is no automated status update, no shared location, no digital proof of delivery. Kasper’s platform sets a new service standard: the client sees the driver’s location and ETA in real time, can contact the driver directly, and signs ePOD digitally.</w:t>
      </w:r>
    </w:p>
    <w:p>
      <w:r>
        <w:br w:type="page"/>
      </w:r>
    </w:p>
    <w:p>
      <w:pPr>
        <w:pStyle w:val="Heading1"/>
        <w:spacing w:after="160" w:before="360"/>
      </w:pPr>
      <w:r>
        <w:rPr>
          <w:rFonts w:ascii="Arial" w:cs="Arial" w:eastAsia="Arial" w:hAnsi="Arial"/>
          <w:b/>
          <w:bCs/>
          <w:color w:val="1F4E79"/>
          <w:sz w:val="30"/>
          <w:szCs w:val="30"/>
        </w:rPr>
        <w:t xml:space="preserve">3. The Product</w:t>
      </w:r>
    </w:p>
    <w:p>
      <w:pPr>
        <w:spacing w:after="80" w:before="80"/>
      </w:pPr>
      <w:r>
        <w:rPr>
          <w:rFonts w:ascii="Arial" w:cs="Arial" w:eastAsia="Arial" w:hAnsi="Arial"/>
          <w:color w:val="1A1A1A"/>
          <w:sz w:val="22"/>
          <w:szCs w:val="22"/>
        </w:rPr>
        <w:t xml:space="preserve">One platform, used by three parties. The same system Kasper uses to run its own operations is what is later offered to vendors as a service.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User</w:t>
            </w:r>
          </w:p>
        </w:tc>
        <w:tc>
          <w:tcPr>
            <w:tcW w:type="dxa" w:w="6826"/>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What they do in the platform</w:t>
            </w:r>
          </w:p>
        </w:tc>
      </w:tr>
      <w:tr>
        <w:tc>
          <w:tcPr>
            <w:tcW w:type="dxa" w:w="2200"/>
            <w:tcBorders>
              <w:top w:val="single" w:color="CCCCCC" w:sz="1"/>
              <w:left w:val="single" w:color="CCCCCC" w:sz="1"/>
              <w:bottom w:val="single" w:color="CCCCCC" w:sz="1"/>
              <w:right w:val="single" w:color="CCCCCC" w:sz="1"/>
            </w:tcBorders>
            <w:shd w:fill="EEF3F9" w:val="clear"/>
            <w:tcMar>
              <w:top w:type="dxa" w:w="80"/>
              <w:left w:type="dxa" w:w="140"/>
              <w:bottom w:type="dxa" w:w="80"/>
              <w:right w:type="dxa" w:w="140"/>
            </w:tcMar>
          </w:tcPr>
          <w:p>
            <w:r>
              <w:rPr>
                <w:rFonts w:ascii="Arial" w:cs="Arial" w:eastAsia="Arial" w:hAnsi="Arial"/>
                <w:b/>
                <w:bCs/>
                <w:color w:val="1A1A1A"/>
                <w:sz w:val="19"/>
                <w:szCs w:val="19"/>
              </w:rPr>
              <w:t xml:space="preserve">Vendor</w:t>
            </w:r>
          </w:p>
        </w:tc>
        <w:tc>
          <w:tcPr>
            <w:tcW w:type="dxa" w:w="6826"/>
            <w:tcBorders>
              <w:top w:val="single" w:color="CCCCCC" w:sz="1"/>
              <w:left w:val="single" w:color="CCCCCC" w:sz="1"/>
              <w:bottom w:val="single" w:color="CCCCCC" w:sz="1"/>
              <w:right w:val="single" w:color="CCCCCC" w:sz="1"/>
            </w:tcBorders>
            <w:shd w:fill="EEF3F9" w:val="clear"/>
            <w:tcMar>
              <w:top w:type="dxa" w:w="80"/>
              <w:left w:type="dxa" w:w="140"/>
              <w:bottom w:type="dxa" w:w="80"/>
              <w:right w:type="dxa" w:w="140"/>
            </w:tcMar>
          </w:tcPr>
          <w:p>
            <w:r>
              <w:rPr>
                <w:rFonts w:ascii="Arial" w:cs="Arial" w:eastAsia="Arial" w:hAnsi="Arial"/>
                <w:b w:val="false"/>
                <w:bCs w:val="false"/>
                <w:color w:val="1A1A1A"/>
                <w:sz w:val="19"/>
                <w:szCs w:val="19"/>
              </w:rPr>
              <w:t xml:space="preserve">Receives enquiries via WhatsApp Business or an enquiry page, landing in-app. Quotes in a single click. On approval / PO, assigns a driver and sees a work calendar.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9"/>
                <w:szCs w:val="19"/>
              </w:rPr>
              <w:t xml:space="preserve">Driver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Accepts assigned work in-app and shares live location automatically during the job.</w:t>
            </w:r>
          </w:p>
        </w:tc>
      </w:tr>
      <w:tr>
        <w:tc>
          <w:tcPr>
            <w:tcW w:type="dxa" w:w="2200"/>
            <w:tcBorders>
              <w:top w:val="single" w:color="CCCCCC" w:sz="1"/>
              <w:left w:val="single" w:color="CCCCCC" w:sz="1"/>
              <w:bottom w:val="single" w:color="CCCCCC" w:sz="1"/>
              <w:right w:val="single" w:color="CCCCCC" w:sz="1"/>
            </w:tcBorders>
            <w:shd w:fill="EEF3F9" w:val="clear"/>
            <w:tcMar>
              <w:top w:type="dxa" w:w="80"/>
              <w:left w:type="dxa" w:w="140"/>
              <w:bottom w:type="dxa" w:w="80"/>
              <w:right w:type="dxa" w:w="140"/>
            </w:tcMar>
          </w:tcPr>
          <w:p>
            <w:r>
              <w:rPr>
                <w:rFonts w:ascii="Arial" w:cs="Arial" w:eastAsia="Arial" w:hAnsi="Arial"/>
                <w:b/>
                <w:bCs/>
                <w:color w:val="1A1A1A"/>
                <w:sz w:val="19"/>
                <w:szCs w:val="19"/>
              </w:rPr>
              <w:t xml:space="preserve">Client</w:t>
            </w:r>
          </w:p>
        </w:tc>
        <w:tc>
          <w:tcPr>
            <w:tcW w:type="dxa" w:w="6826"/>
            <w:tcBorders>
              <w:top w:val="single" w:color="CCCCCC" w:sz="1"/>
              <w:left w:val="single" w:color="CCCCCC" w:sz="1"/>
              <w:bottom w:val="single" w:color="CCCCCC" w:sz="1"/>
              <w:right w:val="single" w:color="CCCCCC" w:sz="1"/>
            </w:tcBorders>
            <w:shd w:fill="EEF3F9" w:val="clear"/>
            <w:tcMar>
              <w:top w:type="dxa" w:w="80"/>
              <w:left w:type="dxa" w:w="140"/>
              <w:bottom w:type="dxa" w:w="80"/>
              <w:right w:type="dxa" w:w="140"/>
            </w:tcMar>
          </w:tcPr>
          <w:p>
            <w:r>
              <w:rPr>
                <w:rFonts w:ascii="Arial" w:cs="Arial" w:eastAsia="Arial" w:hAnsi="Arial"/>
                <w:b w:val="false"/>
                <w:bCs w:val="false"/>
                <w:color w:val="1A1A1A"/>
                <w:sz w:val="19"/>
                <w:szCs w:val="19"/>
              </w:rPr>
              <w:t xml:space="preserve">Sees the driver’s live location and ETA, can contact the driver to check status, signs ePOD digitally on completion. Invoice is generated automatically.</w:t>
            </w:r>
          </w:p>
        </w:tc>
      </w:tr>
    </w:tbl>
    <w:p>
      <w:pPr>
        <w:spacing w:after="0" w:before="160"/>
      </w:pPr>
      <w:r>
        <w:t xml:space="preserve"/>
      </w:r>
    </w:p>
    <w:p>
      <w:pPr>
        <w:spacing w:after="80" w:before="80"/>
      </w:pPr>
      <w:r>
        <w:rPr>
          <w:rFonts w:ascii="Arial" w:cs="Arial" w:eastAsia="Arial" w:hAnsi="Arial"/>
          <w:b/>
          <w:bCs/>
          <w:color w:val="1A1A1A"/>
          <w:sz w:val="22"/>
          <w:szCs w:val="22"/>
        </w:rPr>
        <w:t xml:space="preserve">The job flow end to end:</w:t>
      </w:r>
    </w:p>
    <w:p>
      <w:pPr>
        <w:spacing w:after="80" w:before="80"/>
      </w:pPr>
      <w:r>
        <w:rPr>
          <w:rFonts w:ascii="Arial" w:cs="Arial" w:eastAsia="Arial" w:hAnsi="Arial"/>
          <w:i/>
          <w:iCs/>
          <w:color w:val="2E75B6"/>
          <w:sz w:val="22"/>
          <w:szCs w:val="22"/>
        </w:rPr>
        <w:t xml:space="preserve">Enquiry (WhatsApp / enquiry page)  →  one-click quote  →  client approval / PO  →  driver assignment + work calendar  →  driver accepts  →  live location shared  →  client tracks ETA  →  digital ePOD  →  automatic invoice.</w:t>
      </w:r>
    </w:p>
    <w:p>
      <w:pPr>
        <w:spacing w:after="0" w:before="80"/>
      </w:pPr>
      <w:r>
        <w:t xml:space="preserve"/>
      </w:r>
    </w:p>
    <w:p>
      <w:pPr>
        <w:spacing w:after="80" w:before="80"/>
      </w:pPr>
      <w:r>
        <w:rPr>
          <w:rFonts w:ascii="Arial" w:cs="Arial" w:eastAsia="Arial" w:hAnsi="Arial"/>
          <w:color w:val="1A1A1A"/>
          <w:sz w:val="22"/>
          <w:szCs w:val="22"/>
        </w:rPr>
        <w:t xml:space="preserve">GPS and telematics hardware sit on top of this flow. Phone-based GPS covers tracking from day one at no hardware cost. Hardware GPS (Teltonika) is introduced on vendor trucks and construction equipment as a paid, leased layer — it is required for static equipment with no phone, for enterprise clients who demand hardware tracking, and for engine-hour and fuel data that a phone cannot provide.</w:t>
      </w:r>
    </w:p>
    <w:p>
      <w:pPr>
        <w:pStyle w:val="Heading1"/>
        <w:spacing w:after="160" w:before="360"/>
      </w:pPr>
      <w:r>
        <w:rPr>
          <w:rFonts w:ascii="Arial" w:cs="Arial" w:eastAsia="Arial" w:hAnsi="Arial"/>
          <w:b/>
          <w:bCs/>
          <w:color w:val="1F4E79"/>
          <w:sz w:val="30"/>
          <w:szCs w:val="30"/>
        </w:rPr>
        <w:t xml:space="preserve">4. Market Feasibility</w:t>
      </w:r>
    </w:p>
    <w:p>
      <w:pPr>
        <w:spacing w:after="80" w:before="80"/>
      </w:pPr>
      <w:r>
        <w:rPr>
          <w:rFonts w:ascii="Arial" w:cs="Arial" w:eastAsia="Arial" w:hAnsi="Arial"/>
          <w:color w:val="1A1A1A"/>
          <w:sz w:val="22"/>
          <w:szCs w:val="22"/>
        </w:rPr>
        <w:t xml:space="preserve">The UAE logistics market is large and growing, and the building-materials and construction-transport segment at the SME operator level is effectively undigitised. The relevant point for this study is narrower and stronger than market-size statistics: Kasper already operates in this market, already has clients and vendors, and already brokers trips every month. Feasibility is therefore not a question of market entry — it is a question of whether digitising a proven manual operation expands it.</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0"/>
        <w:gridCol w:w="3626"/>
      </w:tblGrid>
      <w:tr>
        <w:tc>
          <w:tcPr>
            <w:tcW w:type="dxa" w:w="5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Market indicator</w:t>
            </w:r>
          </w:p>
        </w:tc>
        <w:tc>
          <w:tcPr>
            <w:tcW w:type="dxa" w:w="3626"/>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Figure</w:t>
            </w:r>
          </w:p>
        </w:tc>
      </w:tr>
      <w:tr>
        <w:tc>
          <w:tcPr>
            <w:tcW w:type="dxa" w:w="5400"/>
            <w:tcBorders>
              <w:top w:val="single" w:color="CCCCCC" w:sz="1"/>
              <w:left w:val="single" w:color="CCCCCC" w:sz="1"/>
              <w:bottom w:val="single" w:color="CCCCCC" w:sz="1"/>
              <w:right w:val="single" w:color="CCCCCC" w:sz="1"/>
            </w:tcBorders>
            <w:shd w:fill="EEF3F9" w:val="clear"/>
            <w:tcMar>
              <w:top w:type="dxa" w:w="80"/>
              <w:left w:type="dxa" w:w="140"/>
              <w:bottom w:type="dxa" w:w="80"/>
              <w:right w:type="dxa" w:w="140"/>
            </w:tcMar>
          </w:tcPr>
          <w:p>
            <w:r>
              <w:rPr>
                <w:rFonts w:ascii="Arial" w:cs="Arial" w:eastAsia="Arial" w:hAnsi="Arial"/>
                <w:b w:val="false"/>
                <w:bCs w:val="false"/>
                <w:color w:val="1A1A1A"/>
                <w:sz w:val="19"/>
                <w:szCs w:val="19"/>
              </w:rPr>
              <w:t xml:space="preserve">UAE logistics market size (2024)</w:t>
            </w:r>
          </w:p>
        </w:tc>
        <w:tc>
          <w:tcPr>
            <w:tcW w:type="dxa" w:w="3626"/>
            <w:tcBorders>
              <w:top w:val="single" w:color="CCCCCC" w:sz="1"/>
              <w:left w:val="single" w:color="CCCCCC" w:sz="1"/>
              <w:bottom w:val="single" w:color="CCCCCC" w:sz="1"/>
              <w:right w:val="single" w:color="CCCCCC" w:sz="1"/>
            </w:tcBorders>
            <w:shd w:fill="EEF3F9" w:val="clear"/>
            <w:tcMar>
              <w:top w:type="dxa" w:w="80"/>
              <w:left w:type="dxa" w:w="140"/>
              <w:bottom w:type="dxa" w:w="80"/>
              <w:right w:type="dxa" w:w="140"/>
            </w:tcMar>
          </w:tcPr>
          <w:p>
            <w:r>
              <w:rPr>
                <w:rFonts w:ascii="Arial" w:cs="Arial" w:eastAsia="Arial" w:hAnsi="Arial"/>
                <w:b w:val="false"/>
                <w:bCs w:val="false"/>
                <w:color w:val="1A1A1A"/>
                <w:sz w:val="19"/>
                <w:szCs w:val="19"/>
              </w:rPr>
              <w:t xml:space="preserve">USD 54–62 billion</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Logistics market growth through 2030</w:t>
            </w:r>
          </w:p>
        </w:tc>
        <w:tc>
          <w:tcPr>
            <w:tcW w:type="dxa" w:w="3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6–8% CAGR</w:t>
            </w:r>
          </w:p>
        </w:tc>
      </w:tr>
      <w:tr>
        <w:tc>
          <w:tcPr>
            <w:tcW w:type="dxa" w:w="5400"/>
            <w:tcBorders>
              <w:top w:val="single" w:color="CCCCCC" w:sz="1"/>
              <w:left w:val="single" w:color="CCCCCC" w:sz="1"/>
              <w:bottom w:val="single" w:color="CCCCCC" w:sz="1"/>
              <w:right w:val="single" w:color="CCCCCC" w:sz="1"/>
            </w:tcBorders>
            <w:shd w:fill="EEF3F9" w:val="clear"/>
            <w:tcMar>
              <w:top w:type="dxa" w:w="80"/>
              <w:left w:type="dxa" w:w="140"/>
              <w:bottom w:type="dxa" w:w="80"/>
              <w:right w:type="dxa" w:w="140"/>
            </w:tcMar>
          </w:tcPr>
          <w:p>
            <w:r>
              <w:rPr>
                <w:rFonts w:ascii="Arial" w:cs="Arial" w:eastAsia="Arial" w:hAnsi="Arial"/>
                <w:b w:val="false"/>
                <w:bCs w:val="false"/>
                <w:color w:val="1A1A1A"/>
                <w:sz w:val="19"/>
                <w:szCs w:val="19"/>
              </w:rPr>
              <w:t xml:space="preserve">UAE government infrastructure spend (2021–30)</w:t>
            </w:r>
          </w:p>
        </w:tc>
        <w:tc>
          <w:tcPr>
            <w:tcW w:type="dxa" w:w="3626"/>
            <w:tcBorders>
              <w:top w:val="single" w:color="CCCCCC" w:sz="1"/>
              <w:left w:val="single" w:color="CCCCCC" w:sz="1"/>
              <w:bottom w:val="single" w:color="CCCCCC" w:sz="1"/>
              <w:right w:val="single" w:color="CCCCCC" w:sz="1"/>
            </w:tcBorders>
            <w:shd w:fill="EEF3F9" w:val="clear"/>
            <w:tcMar>
              <w:top w:type="dxa" w:w="80"/>
              <w:left w:type="dxa" w:w="140"/>
              <w:bottom w:type="dxa" w:w="80"/>
              <w:right w:type="dxa" w:w="140"/>
            </w:tcMar>
          </w:tcPr>
          <w:p>
            <w:r>
              <w:rPr>
                <w:rFonts w:ascii="Arial" w:cs="Arial" w:eastAsia="Arial" w:hAnsi="Arial"/>
                <w:b w:val="false"/>
                <w:bCs w:val="false"/>
                <w:color w:val="1A1A1A"/>
                <w:sz w:val="19"/>
                <w:szCs w:val="19"/>
              </w:rPr>
              <w:t xml:space="preserve">AED 203 billion</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GCC equipment-rental market (2024)</w:t>
            </w:r>
          </w:p>
        </w:tc>
        <w:tc>
          <w:tcPr>
            <w:tcW w:type="dxa" w:w="3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USD 4.86 billion</w:t>
            </w:r>
          </w:p>
        </w:tc>
      </w:tr>
      <w:tr>
        <w:tc>
          <w:tcPr>
            <w:tcW w:type="dxa" w:w="5400"/>
            <w:tcBorders>
              <w:top w:val="single" w:color="CCCCCC" w:sz="1"/>
              <w:left w:val="single" w:color="CCCCCC" w:sz="1"/>
              <w:bottom w:val="single" w:color="CCCCCC" w:sz="1"/>
              <w:right w:val="single" w:color="CCCCCC" w:sz="1"/>
            </w:tcBorders>
            <w:shd w:fill="EEF3F9" w:val="clear"/>
            <w:tcMar>
              <w:top w:type="dxa" w:w="80"/>
              <w:left w:type="dxa" w:w="140"/>
              <w:bottom w:type="dxa" w:w="80"/>
              <w:right w:type="dxa" w:w="140"/>
            </w:tcMar>
          </w:tcPr>
          <w:p>
            <w:r>
              <w:rPr>
                <w:rFonts w:ascii="Arial" w:cs="Arial" w:eastAsia="Arial" w:hAnsi="Arial"/>
                <w:b w:val="false"/>
                <w:bCs w:val="false"/>
                <w:color w:val="1A1A1A"/>
                <w:sz w:val="19"/>
                <w:szCs w:val="19"/>
              </w:rPr>
              <w:t xml:space="preserve">UAE equipment-rental CAGR</w:t>
            </w:r>
          </w:p>
        </w:tc>
        <w:tc>
          <w:tcPr>
            <w:tcW w:type="dxa" w:w="3626"/>
            <w:tcBorders>
              <w:top w:val="single" w:color="CCCCCC" w:sz="1"/>
              <w:left w:val="single" w:color="CCCCCC" w:sz="1"/>
              <w:bottom w:val="single" w:color="CCCCCC" w:sz="1"/>
              <w:right w:val="single" w:color="CCCCCC" w:sz="1"/>
            </w:tcBorders>
            <w:shd w:fill="EEF3F9" w:val="clear"/>
            <w:tcMar>
              <w:top w:type="dxa" w:w="80"/>
              <w:left w:type="dxa" w:w="140"/>
              <w:bottom w:type="dxa" w:w="80"/>
              <w:right w:type="dxa" w:w="140"/>
            </w:tcMar>
          </w:tcPr>
          <w:p>
            <w:r>
              <w:rPr>
                <w:rFonts w:ascii="Arial" w:cs="Arial" w:eastAsia="Arial" w:hAnsi="Arial"/>
                <w:b w:val="false"/>
                <w:bCs w:val="false"/>
                <w:color w:val="1A1A1A"/>
                <w:sz w:val="19"/>
                <w:szCs w:val="19"/>
              </w:rPr>
              <w:t xml:space="preserve">8.5% — fastest in GCC</w:t>
            </w:r>
          </w:p>
        </w:tc>
      </w:tr>
    </w:tbl>
    <w:p>
      <w:pPr>
        <w:spacing w:after="0" w:before="80"/>
      </w:pPr>
      <w:r>
        <w:t xml:space="preserve"/>
      </w:r>
    </w:p>
    <w:p>
      <w:pPr>
        <w:spacing w:after="80" w:before="80"/>
      </w:pPr>
      <w:r>
        <w:rPr>
          <w:rFonts w:ascii="Arial" w:cs="Arial" w:eastAsia="Arial" w:hAnsi="Arial"/>
          <w:b/>
          <w:bCs/>
          <w:color w:val="1A1A1A"/>
          <w:sz w:val="22"/>
          <w:szCs w:val="22"/>
        </w:rPr>
        <w:t xml:space="preserve">Market gap: no single platform in the GCC combines a transport / equipment marketplace with vendor-facing operations software and fleet telematics. Kasper is positioned to occupy that gap from an existing operating base rather than from zero.</w:t>
      </w:r>
    </w:p>
    <w:p>
      <w:r>
        <w:br w:type="page"/>
      </w:r>
    </w:p>
    <w:p>
      <w:pPr>
        <w:pStyle w:val="Heading1"/>
        <w:spacing w:after="160" w:before="360"/>
      </w:pPr>
      <w:r>
        <w:rPr>
          <w:rFonts w:ascii="Arial" w:cs="Arial" w:eastAsia="Arial" w:hAnsi="Arial"/>
          <w:b/>
          <w:bCs/>
          <w:color w:val="1F4E79"/>
          <w:sz w:val="30"/>
          <w:szCs w:val="30"/>
        </w:rPr>
        <w:t xml:space="preserve">5. Financial Feasibility — Built From Real Numbers</w:t>
      </w:r>
    </w:p>
    <w:p>
      <w:pPr>
        <w:pStyle w:val="Heading2"/>
        <w:spacing w:after="120" w:before="240"/>
      </w:pPr>
      <w:r>
        <w:rPr>
          <w:rFonts w:ascii="Arial" w:cs="Arial" w:eastAsia="Arial" w:hAnsi="Arial"/>
          <w:b/>
          <w:bCs/>
          <w:color w:val="2E75B6"/>
          <w:sz w:val="24"/>
          <w:szCs w:val="24"/>
        </w:rPr>
        <w:t xml:space="preserve">5.1 Kasper today (current run-rate)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0"/>
        <w:gridCol w:w="3626"/>
      </w:tblGrid>
      <w:tr>
        <w:tc>
          <w:tcPr>
            <w:tcW w:type="dxa" w:w="5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Current operating metric</w:t>
            </w:r>
          </w:p>
        </w:tc>
        <w:tc>
          <w:tcPr>
            <w:tcW w:type="dxa" w:w="3626"/>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Value</w:t>
            </w:r>
          </w:p>
        </w:tc>
      </w:tr>
      <w:tr>
        <w:tc>
          <w:tcPr>
            <w:tcW w:type="dxa" w:w="5400"/>
            <w:tcBorders>
              <w:top w:val="single" w:color="CCCCCC" w:sz="1"/>
              <w:left w:val="single" w:color="CCCCCC" w:sz="1"/>
              <w:bottom w:val="single" w:color="CCCCCC" w:sz="1"/>
              <w:right w:val="single" w:color="CCCCCC" w:sz="1"/>
            </w:tcBorders>
            <w:shd w:fill="EEF3F9" w:val="clear"/>
            <w:tcMar>
              <w:top w:type="dxa" w:w="80"/>
              <w:left w:type="dxa" w:w="140"/>
              <w:bottom w:type="dxa" w:w="80"/>
              <w:right w:type="dxa" w:w="140"/>
            </w:tcMar>
          </w:tcPr>
          <w:p>
            <w:r>
              <w:rPr>
                <w:rFonts w:ascii="Arial" w:cs="Arial" w:eastAsia="Arial" w:hAnsi="Arial"/>
                <w:b w:val="false"/>
                <w:bCs w:val="false"/>
                <w:color w:val="1A1A1A"/>
                <w:sz w:val="19"/>
                <w:szCs w:val="19"/>
              </w:rPr>
              <w:t xml:space="preserve">Trips brokered per month (average)</w:t>
            </w:r>
          </w:p>
        </w:tc>
        <w:tc>
          <w:tcPr>
            <w:tcW w:type="dxa" w:w="3626"/>
            <w:tcBorders>
              <w:top w:val="single" w:color="CCCCCC" w:sz="1"/>
              <w:left w:val="single" w:color="CCCCCC" w:sz="1"/>
              <w:bottom w:val="single" w:color="CCCCCC" w:sz="1"/>
              <w:right w:val="single" w:color="CCCCCC" w:sz="1"/>
            </w:tcBorders>
            <w:shd w:fill="EEF3F9" w:val="clear"/>
            <w:tcMar>
              <w:top w:type="dxa" w:w="80"/>
              <w:left w:type="dxa" w:w="140"/>
              <w:bottom w:type="dxa" w:w="80"/>
              <w:right w:type="dxa" w:w="140"/>
            </w:tcMar>
          </w:tcPr>
          <w:p>
            <w:r>
              <w:rPr>
                <w:rFonts w:ascii="Arial" w:cs="Arial" w:eastAsia="Arial" w:hAnsi="Arial"/>
                <w:b w:val="false"/>
                <w:bCs w:val="false"/>
                <w:color w:val="1A1A1A"/>
                <w:sz w:val="19"/>
                <w:szCs w:val="19"/>
              </w:rPr>
              <w:t xml:space="preserve">45</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Average client value per job</w:t>
            </w:r>
          </w:p>
        </w:tc>
        <w:tc>
          <w:tcPr>
            <w:tcW w:type="dxa" w:w="3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AED 1,500</w:t>
            </w:r>
          </w:p>
        </w:tc>
      </w:tr>
      <w:tr>
        <w:tc>
          <w:tcPr>
            <w:tcW w:type="dxa" w:w="5400"/>
            <w:tcBorders>
              <w:top w:val="single" w:color="CCCCCC" w:sz="1"/>
              <w:left w:val="single" w:color="CCCCCC" w:sz="1"/>
              <w:bottom w:val="single" w:color="CCCCCC" w:sz="1"/>
              <w:right w:val="single" w:color="CCCCCC" w:sz="1"/>
            </w:tcBorders>
            <w:shd w:fill="EEF3F9" w:val="clear"/>
            <w:tcMar>
              <w:top w:type="dxa" w:w="80"/>
              <w:left w:type="dxa" w:w="140"/>
              <w:bottom w:type="dxa" w:w="80"/>
              <w:right w:type="dxa" w:w="140"/>
            </w:tcMar>
          </w:tcPr>
          <w:p>
            <w:r>
              <w:rPr>
                <w:rFonts w:ascii="Arial" w:cs="Arial" w:eastAsia="Arial" w:hAnsi="Arial"/>
                <w:b w:val="false"/>
                <w:bCs w:val="false"/>
                <w:color w:val="1A1A1A"/>
                <w:sz w:val="19"/>
                <w:szCs w:val="19"/>
              </w:rPr>
              <w:t xml:space="preserve">Monthly GMV (value flowing through platform)</w:t>
            </w:r>
          </w:p>
        </w:tc>
        <w:tc>
          <w:tcPr>
            <w:tcW w:type="dxa" w:w="3626"/>
            <w:tcBorders>
              <w:top w:val="single" w:color="CCCCCC" w:sz="1"/>
              <w:left w:val="single" w:color="CCCCCC" w:sz="1"/>
              <w:bottom w:val="single" w:color="CCCCCC" w:sz="1"/>
              <w:right w:val="single" w:color="CCCCCC" w:sz="1"/>
            </w:tcBorders>
            <w:shd w:fill="EEF3F9" w:val="clear"/>
            <w:tcMar>
              <w:top w:type="dxa" w:w="80"/>
              <w:left w:type="dxa" w:w="140"/>
              <w:bottom w:type="dxa" w:w="80"/>
              <w:right w:type="dxa" w:w="140"/>
            </w:tcMar>
          </w:tcPr>
          <w:p>
            <w:r>
              <w:rPr>
                <w:rFonts w:ascii="Arial" w:cs="Arial" w:eastAsia="Arial" w:hAnsi="Arial"/>
                <w:b w:val="false"/>
                <w:bCs w:val="false"/>
                <w:color w:val="1A1A1A"/>
                <w:sz w:val="19"/>
                <w:szCs w:val="19"/>
              </w:rPr>
              <w:t xml:space="preserve">~AED 67,500</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Annual GMV</w:t>
            </w:r>
          </w:p>
        </w:tc>
        <w:tc>
          <w:tcPr>
            <w:tcW w:type="dxa" w:w="3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~AED 810,000</w:t>
            </w:r>
          </w:p>
        </w:tc>
      </w:tr>
      <w:tr>
        <w:tc>
          <w:tcPr>
            <w:tcW w:type="dxa" w:w="5400"/>
            <w:tcBorders>
              <w:top w:val="single" w:color="CCCCCC" w:sz="1"/>
              <w:left w:val="single" w:color="CCCCCC" w:sz="1"/>
              <w:bottom w:val="single" w:color="CCCCCC" w:sz="1"/>
              <w:right w:val="single" w:color="CCCCCC" w:sz="1"/>
            </w:tcBorders>
            <w:shd w:fill="EEF3F9" w:val="clear"/>
            <w:tcMar>
              <w:top w:type="dxa" w:w="80"/>
              <w:left w:type="dxa" w:w="140"/>
              <w:bottom w:type="dxa" w:w="80"/>
              <w:right w:type="dxa" w:w="140"/>
            </w:tcMar>
          </w:tcPr>
          <w:p>
            <w:r>
              <w:rPr>
                <w:rFonts w:ascii="Arial" w:cs="Arial" w:eastAsia="Arial" w:hAnsi="Arial"/>
                <w:b w:val="false"/>
                <w:bCs w:val="false"/>
                <w:color w:val="1A1A1A"/>
                <w:sz w:val="19"/>
                <w:szCs w:val="19"/>
              </w:rPr>
              <w:t xml:space="preserve">Kasper margin retained after paying vendor</w:t>
            </w:r>
          </w:p>
        </w:tc>
        <w:tc>
          <w:tcPr>
            <w:tcW w:type="dxa" w:w="3626"/>
            <w:tcBorders>
              <w:top w:val="single" w:color="CCCCCC" w:sz="1"/>
              <w:left w:val="single" w:color="CCCCCC" w:sz="1"/>
              <w:bottom w:val="single" w:color="CCCCCC" w:sz="1"/>
              <w:right w:val="single" w:color="CCCCCC" w:sz="1"/>
            </w:tcBorders>
            <w:shd w:fill="EEF3F9" w:val="clear"/>
            <w:tcMar>
              <w:top w:type="dxa" w:w="80"/>
              <w:left w:type="dxa" w:w="140"/>
              <w:bottom w:type="dxa" w:w="80"/>
              <w:right w:type="dxa" w:w="140"/>
            </w:tcMar>
          </w:tcPr>
          <w:p>
            <w:r>
              <w:rPr>
                <w:rFonts w:ascii="Arial" w:cs="Arial" w:eastAsia="Arial" w:hAnsi="Arial"/>
                <w:b w:val="false"/>
                <w:bCs w:val="false"/>
                <w:color w:val="1A1A1A"/>
                <w:sz w:val="19"/>
                <w:szCs w:val="19"/>
              </w:rPr>
              <w:t xml:space="preserve">20%</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Kasper gross revenue — monthly</w:t>
            </w:r>
          </w:p>
        </w:tc>
        <w:tc>
          <w:tcPr>
            <w:tcW w:type="dxa" w:w="3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~AED 13,500</w:t>
            </w:r>
          </w:p>
        </w:tc>
      </w:tr>
      <w:tr>
        <w:tc>
          <w:tcPr>
            <w:tcW w:type="dxa" w:w="5400"/>
            <w:tcBorders>
              <w:top w:val="single" w:color="CCCCCC" w:sz="1"/>
              <w:left w:val="single" w:color="CCCCCC" w:sz="1"/>
              <w:bottom w:val="single" w:color="CCCCCC" w:sz="1"/>
              <w:right w:val="single" w:color="CCCCCC" w:sz="1"/>
            </w:tcBorders>
            <w:shd w:fill="EEF3F9" w:val="clear"/>
            <w:tcMar>
              <w:top w:type="dxa" w:w="80"/>
              <w:left w:type="dxa" w:w="140"/>
              <w:bottom w:type="dxa" w:w="80"/>
              <w:right w:type="dxa" w:w="140"/>
            </w:tcMar>
          </w:tcPr>
          <w:p>
            <w:r>
              <w:rPr>
                <w:rFonts w:ascii="Arial" w:cs="Arial" w:eastAsia="Arial" w:hAnsi="Arial"/>
                <w:b w:val="false"/>
                <w:bCs w:val="false"/>
                <w:color w:val="1A1A1A"/>
                <w:sz w:val="19"/>
                <w:szCs w:val="19"/>
              </w:rPr>
              <w:t xml:space="preserve">Kasper gross revenue — annual</w:t>
            </w:r>
          </w:p>
        </w:tc>
        <w:tc>
          <w:tcPr>
            <w:tcW w:type="dxa" w:w="3626"/>
            <w:tcBorders>
              <w:top w:val="single" w:color="CCCCCC" w:sz="1"/>
              <w:left w:val="single" w:color="CCCCCC" w:sz="1"/>
              <w:bottom w:val="single" w:color="CCCCCC" w:sz="1"/>
              <w:right w:val="single" w:color="CCCCCC" w:sz="1"/>
            </w:tcBorders>
            <w:shd w:fill="EEF3F9" w:val="clear"/>
            <w:tcMar>
              <w:top w:type="dxa" w:w="80"/>
              <w:left w:type="dxa" w:w="140"/>
              <w:bottom w:type="dxa" w:w="80"/>
              <w:right w:type="dxa" w:w="140"/>
            </w:tcMar>
          </w:tcPr>
          <w:p>
            <w:r>
              <w:rPr>
                <w:rFonts w:ascii="Arial" w:cs="Arial" w:eastAsia="Arial" w:hAnsi="Arial"/>
                <w:b w:val="false"/>
                <w:bCs w:val="false"/>
                <w:color w:val="1A1A1A"/>
                <w:sz w:val="19"/>
                <w:szCs w:val="19"/>
              </w:rPr>
              <w:t xml:space="preserve">~AED 162,000</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8"/>
              <w:bottom w:val="single" w:color="2E75B6" w:sz="1"/>
              <w:right w:val="single" w:color="2E75B6" w:sz="1"/>
            </w:tcBorders>
            <w:shd w:fill="F5F5F5" w:val="clear"/>
            <w:tcMar>
              <w:top w:type="dxa" w:w="140"/>
              <w:left w:type="dxa" w:w="200"/>
              <w:bottom w:type="dxa" w:w="140"/>
              <w:right w:type="dxa" w:w="160"/>
            </w:tcMar>
          </w:tcPr>
          <w:p>
            <w:pPr>
              <w:spacing w:after="80" w:before="0"/>
            </w:pPr>
            <w:r>
              <w:rPr>
                <w:rFonts w:ascii="Arial" w:cs="Arial" w:eastAsia="Arial" w:hAnsi="Arial"/>
                <w:b/>
                <w:bCs/>
                <w:color w:val="2E75B6"/>
                <w:sz w:val="22"/>
                <w:szCs w:val="22"/>
              </w:rPr>
              <w:t xml:space="preserve">Read this honestly</w:t>
            </w:r>
          </w:p>
          <w:p>
            <w:pPr>
              <w:spacing w:after="0" w:before="0"/>
            </w:pPr>
            <w:r>
              <w:rPr>
                <w:rFonts w:ascii="Arial" w:cs="Arial" w:eastAsia="Arial" w:hAnsi="Arial"/>
                <w:color w:val="1A1A1A"/>
                <w:sz w:val="21"/>
                <w:szCs w:val="21"/>
              </w:rPr>
              <w:t xml:space="preserve">Kasper’s current scale is modest, and that is not a weakness in this study — it is its credibility. The numbers above are real, lived, and two years proven. They are the foundation an investor or partner can trust. The feasibility case is not “Kasper is already large”; it is “a proven manual operation, once digitised, can scale on the same cost base.”</w:t>
            </w:r>
          </w:p>
        </w:tc>
      </w:tr>
    </w:tbl>
    <w:p>
      <w:pPr>
        <w:spacing w:after="0" w:before="80"/>
      </w:pPr>
      <w:r>
        <w:t xml:space="preserve"/>
      </w:r>
    </w:p>
    <w:p>
      <w:pPr>
        <w:pStyle w:val="Heading2"/>
        <w:spacing w:after="120" w:before="240"/>
      </w:pPr>
      <w:r>
        <w:rPr>
          <w:rFonts w:ascii="Arial" w:cs="Arial" w:eastAsia="Arial" w:hAnsi="Arial"/>
          <w:b/>
          <w:bCs/>
          <w:color w:val="2E75B6"/>
          <w:sz w:val="24"/>
          <w:szCs w:val="24"/>
        </w:rPr>
        <w:t xml:space="preserve">5.2 The core feasibility case — breaking the coordination ceiling</w:t>
      </w:r>
    </w:p>
    <w:p>
      <w:pPr>
        <w:spacing w:after="80" w:before="80"/>
      </w:pPr>
      <w:r>
        <w:rPr>
          <w:rFonts w:ascii="Arial" w:cs="Arial" w:eastAsia="Arial" w:hAnsi="Arial"/>
          <w:color w:val="1A1A1A"/>
          <w:sz w:val="22"/>
          <w:szCs w:val="22"/>
        </w:rPr>
        <w:t xml:space="preserve">The single most important financial effect of the operations platform is throughput. Manual coordination caps the business at roughly 45 trips per month for the current team. Automating quoting, dispatch, tracking, ePOD, and invoicing allows the same team to process materially more jobs without proportional new headcount. The table below is illustrative and should be replaced with measured figures once the platform is live.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2042"/>
        <w:gridCol w:w="2042"/>
        <w:gridCol w:w="2042"/>
      </w:tblGrid>
      <w:tr>
        <w:tc>
          <w:tcPr>
            <w:tcW w:type="dxa" w:w="29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Scenario</w:t>
            </w:r>
          </w:p>
        </w:tc>
        <w:tc>
          <w:tcPr>
            <w:tcW w:type="dxa" w:w="2042"/>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Trips / month</w:t>
            </w:r>
          </w:p>
        </w:tc>
        <w:tc>
          <w:tcPr>
            <w:tcW w:type="dxa" w:w="2042"/>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Monthly GMV</w:t>
            </w:r>
          </w:p>
        </w:tc>
        <w:tc>
          <w:tcPr>
            <w:tcW w:type="dxa" w:w="2042"/>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Kasper rev / mo (20%)</w:t>
            </w:r>
          </w:p>
        </w:tc>
      </w:tr>
      <w:tr>
        <w:tc>
          <w:tcPr>
            <w:tcW w:type="dxa" w:w="2900"/>
            <w:tcBorders>
              <w:top w:val="single" w:color="CCCCCC" w:sz="1"/>
              <w:left w:val="single" w:color="CCCCCC" w:sz="1"/>
              <w:bottom w:val="single" w:color="CCCCCC" w:sz="1"/>
              <w:right w:val="single" w:color="CCCCCC" w:sz="1"/>
            </w:tcBorders>
            <w:shd w:fill="EEF3F9" w:val="clear"/>
            <w:tcMar>
              <w:top w:type="dxa" w:w="80"/>
              <w:left w:type="dxa" w:w="140"/>
              <w:bottom w:type="dxa" w:w="80"/>
              <w:right w:type="dxa" w:w="140"/>
            </w:tcMar>
          </w:tcPr>
          <w:p>
            <w:r>
              <w:rPr>
                <w:rFonts w:ascii="Arial" w:cs="Arial" w:eastAsia="Arial" w:hAnsi="Arial"/>
                <w:b w:val="false"/>
                <w:bCs w:val="false"/>
                <w:color w:val="1A1A1A"/>
                <w:sz w:val="19"/>
                <w:szCs w:val="19"/>
              </w:rPr>
              <w:t xml:space="preserve">Today — manual</w:t>
            </w:r>
          </w:p>
        </w:tc>
        <w:tc>
          <w:tcPr>
            <w:tcW w:type="dxa" w:w="2042"/>
            <w:tcBorders>
              <w:top w:val="single" w:color="CCCCCC" w:sz="1"/>
              <w:left w:val="single" w:color="CCCCCC" w:sz="1"/>
              <w:bottom w:val="single" w:color="CCCCCC" w:sz="1"/>
              <w:right w:val="single" w:color="CCCCCC" w:sz="1"/>
            </w:tcBorders>
            <w:shd w:fill="EEF3F9" w:val="clear"/>
            <w:tcMar>
              <w:top w:type="dxa" w:w="80"/>
              <w:left w:type="dxa" w:w="140"/>
              <w:bottom w:type="dxa" w:w="80"/>
              <w:right w:type="dxa" w:w="140"/>
            </w:tcMar>
          </w:tcPr>
          <w:p>
            <w:r>
              <w:rPr>
                <w:rFonts w:ascii="Arial" w:cs="Arial" w:eastAsia="Arial" w:hAnsi="Arial"/>
                <w:b w:val="false"/>
                <w:bCs w:val="false"/>
                <w:color w:val="1A1A1A"/>
                <w:sz w:val="19"/>
                <w:szCs w:val="19"/>
              </w:rPr>
              <w:t xml:space="preserve">45</w:t>
            </w:r>
          </w:p>
        </w:tc>
        <w:tc>
          <w:tcPr>
            <w:tcW w:type="dxa" w:w="2042"/>
            <w:tcBorders>
              <w:top w:val="single" w:color="CCCCCC" w:sz="1"/>
              <w:left w:val="single" w:color="CCCCCC" w:sz="1"/>
              <w:bottom w:val="single" w:color="CCCCCC" w:sz="1"/>
              <w:right w:val="single" w:color="CCCCCC" w:sz="1"/>
            </w:tcBorders>
            <w:shd w:fill="EEF3F9" w:val="clear"/>
            <w:tcMar>
              <w:top w:type="dxa" w:w="80"/>
              <w:left w:type="dxa" w:w="140"/>
              <w:bottom w:type="dxa" w:w="80"/>
              <w:right w:type="dxa" w:w="140"/>
            </w:tcMar>
          </w:tcPr>
          <w:p>
            <w:r>
              <w:rPr>
                <w:rFonts w:ascii="Arial" w:cs="Arial" w:eastAsia="Arial" w:hAnsi="Arial"/>
                <w:b w:val="false"/>
                <w:bCs w:val="false"/>
                <w:color w:val="1A1A1A"/>
                <w:sz w:val="19"/>
                <w:szCs w:val="19"/>
              </w:rPr>
              <w:t xml:space="preserve">AED 67,500</w:t>
            </w:r>
          </w:p>
        </w:tc>
        <w:tc>
          <w:tcPr>
            <w:tcW w:type="dxa" w:w="2042"/>
            <w:tcBorders>
              <w:top w:val="single" w:color="CCCCCC" w:sz="1"/>
              <w:left w:val="single" w:color="CCCCCC" w:sz="1"/>
              <w:bottom w:val="single" w:color="CCCCCC" w:sz="1"/>
              <w:right w:val="single" w:color="CCCCCC" w:sz="1"/>
            </w:tcBorders>
            <w:shd w:fill="EEF3F9" w:val="clear"/>
            <w:tcMar>
              <w:top w:type="dxa" w:w="80"/>
              <w:left w:type="dxa" w:w="140"/>
              <w:bottom w:type="dxa" w:w="80"/>
              <w:right w:type="dxa" w:w="140"/>
            </w:tcMar>
          </w:tcPr>
          <w:p>
            <w:r>
              <w:rPr>
                <w:rFonts w:ascii="Arial" w:cs="Arial" w:eastAsia="Arial" w:hAnsi="Arial"/>
                <w:b w:val="false"/>
                <w:bCs w:val="false"/>
                <w:color w:val="1A1A1A"/>
                <w:sz w:val="19"/>
                <w:szCs w:val="19"/>
              </w:rPr>
              <w:t xml:space="preserve">AED 13,500</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Platform live — same team</w:t>
            </w:r>
          </w:p>
        </w:tc>
        <w:tc>
          <w:tcPr>
            <w:tcW w:type="dxa" w:w="204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90–120</w:t>
            </w:r>
          </w:p>
        </w:tc>
        <w:tc>
          <w:tcPr>
            <w:tcW w:type="dxa" w:w="204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AED 135K–180K</w:t>
            </w:r>
          </w:p>
        </w:tc>
        <w:tc>
          <w:tcPr>
            <w:tcW w:type="dxa" w:w="204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AED 27K–36K</w:t>
            </w:r>
          </w:p>
        </w:tc>
      </w:tr>
      <w:tr>
        <w:tc>
          <w:tcPr>
            <w:tcW w:type="dxa" w:w="2900"/>
            <w:tcBorders>
              <w:top w:val="single" w:color="CCCCCC" w:sz="1"/>
              <w:left w:val="single" w:color="CCCCCC" w:sz="1"/>
              <w:bottom w:val="single" w:color="CCCCCC" w:sz="1"/>
              <w:right w:val="single" w:color="CCCCCC" w:sz="1"/>
            </w:tcBorders>
            <w:shd w:fill="EEF3F9" w:val="clear"/>
            <w:tcMar>
              <w:top w:type="dxa" w:w="80"/>
              <w:left w:type="dxa" w:w="140"/>
              <w:bottom w:type="dxa" w:w="80"/>
              <w:right w:type="dxa" w:w="140"/>
            </w:tcMar>
          </w:tcPr>
          <w:p>
            <w:r>
              <w:rPr>
                <w:rFonts w:ascii="Arial" w:cs="Arial" w:eastAsia="Arial" w:hAnsi="Arial"/>
                <w:b w:val="false"/>
                <w:bCs w:val="false"/>
                <w:color w:val="1A1A1A"/>
                <w:sz w:val="19"/>
                <w:szCs w:val="19"/>
              </w:rPr>
              <w:t xml:space="preserve">Platform mature — modest hires</w:t>
            </w:r>
          </w:p>
        </w:tc>
        <w:tc>
          <w:tcPr>
            <w:tcW w:type="dxa" w:w="2042"/>
            <w:tcBorders>
              <w:top w:val="single" w:color="CCCCCC" w:sz="1"/>
              <w:left w:val="single" w:color="CCCCCC" w:sz="1"/>
              <w:bottom w:val="single" w:color="CCCCCC" w:sz="1"/>
              <w:right w:val="single" w:color="CCCCCC" w:sz="1"/>
            </w:tcBorders>
            <w:shd w:fill="EEF3F9" w:val="clear"/>
            <w:tcMar>
              <w:top w:type="dxa" w:w="80"/>
              <w:left w:type="dxa" w:w="140"/>
              <w:bottom w:type="dxa" w:w="80"/>
              <w:right w:type="dxa" w:w="140"/>
            </w:tcMar>
          </w:tcPr>
          <w:p>
            <w:r>
              <w:rPr>
                <w:rFonts w:ascii="Arial" w:cs="Arial" w:eastAsia="Arial" w:hAnsi="Arial"/>
                <w:b w:val="false"/>
                <w:bCs w:val="false"/>
                <w:color w:val="1A1A1A"/>
                <w:sz w:val="19"/>
                <w:szCs w:val="19"/>
              </w:rPr>
              <w:t xml:space="preserve">200–300</w:t>
            </w:r>
          </w:p>
        </w:tc>
        <w:tc>
          <w:tcPr>
            <w:tcW w:type="dxa" w:w="2042"/>
            <w:tcBorders>
              <w:top w:val="single" w:color="CCCCCC" w:sz="1"/>
              <w:left w:val="single" w:color="CCCCCC" w:sz="1"/>
              <w:bottom w:val="single" w:color="CCCCCC" w:sz="1"/>
              <w:right w:val="single" w:color="CCCCCC" w:sz="1"/>
            </w:tcBorders>
            <w:shd w:fill="EEF3F9" w:val="clear"/>
            <w:tcMar>
              <w:top w:type="dxa" w:w="80"/>
              <w:left w:type="dxa" w:w="140"/>
              <w:bottom w:type="dxa" w:w="80"/>
              <w:right w:type="dxa" w:w="140"/>
            </w:tcMar>
          </w:tcPr>
          <w:p>
            <w:r>
              <w:rPr>
                <w:rFonts w:ascii="Arial" w:cs="Arial" w:eastAsia="Arial" w:hAnsi="Arial"/>
                <w:b w:val="false"/>
                <w:bCs w:val="false"/>
                <w:color w:val="1A1A1A"/>
                <w:sz w:val="19"/>
                <w:szCs w:val="19"/>
              </w:rPr>
              <w:t xml:space="preserve">AED 300K–450K</w:t>
            </w:r>
          </w:p>
        </w:tc>
        <w:tc>
          <w:tcPr>
            <w:tcW w:type="dxa" w:w="2042"/>
            <w:tcBorders>
              <w:top w:val="single" w:color="CCCCCC" w:sz="1"/>
              <w:left w:val="single" w:color="CCCCCC" w:sz="1"/>
              <w:bottom w:val="single" w:color="CCCCCC" w:sz="1"/>
              <w:right w:val="single" w:color="CCCCCC" w:sz="1"/>
            </w:tcBorders>
            <w:shd w:fill="EEF3F9" w:val="clear"/>
            <w:tcMar>
              <w:top w:type="dxa" w:w="80"/>
              <w:left w:type="dxa" w:w="140"/>
              <w:bottom w:type="dxa" w:w="80"/>
              <w:right w:type="dxa" w:w="140"/>
            </w:tcMar>
          </w:tcPr>
          <w:p>
            <w:r>
              <w:rPr>
                <w:rFonts w:ascii="Arial" w:cs="Arial" w:eastAsia="Arial" w:hAnsi="Arial"/>
                <w:b w:val="false"/>
                <w:bCs w:val="false"/>
                <w:color w:val="1A1A1A"/>
                <w:sz w:val="19"/>
                <w:szCs w:val="19"/>
              </w:rPr>
              <w:t xml:space="preserve">AED 60K–90K</w:t>
            </w:r>
          </w:p>
        </w:tc>
      </w:tr>
    </w:tbl>
    <w:p>
      <w:pPr>
        <w:spacing w:after="0" w:before="80"/>
      </w:pPr>
      <w:r>
        <w:t xml:space="preserve"/>
      </w:r>
    </w:p>
    <w:p>
      <w:pPr>
        <w:spacing w:after="80" w:before="80"/>
      </w:pPr>
      <w:r>
        <w:rPr>
          <w:rFonts w:ascii="Arial" w:cs="Arial" w:eastAsia="Arial" w:hAnsi="Arial"/>
          <w:i/>
          <w:iCs/>
          <w:color w:val="555555"/>
          <w:sz w:val="22"/>
          <w:szCs w:val="22"/>
        </w:rPr>
        <w:t xml:space="preserve">These figures are deliberately conservative and unverified. The purpose of the platform’s data instrumentation (Condition 3) is to replace this illustration with measured throughput within the first 3–6 months of operation.</w:t>
      </w:r>
    </w:p>
    <w:p>
      <w:pPr>
        <w:spacing w:after="0" w:before="80"/>
      </w:pPr>
      <w:r>
        <w:t xml:space="preserve"/>
      </w:r>
    </w:p>
    <w:p>
      <w:pPr>
        <w:pStyle w:val="Heading2"/>
        <w:spacing w:after="120" w:before="240"/>
      </w:pPr>
      <w:r>
        <w:rPr>
          <w:rFonts w:ascii="Arial" w:cs="Arial" w:eastAsia="Arial" w:hAnsi="Arial"/>
          <w:b/>
          <w:bCs/>
          <w:color w:val="2E75B6"/>
          <w:sz w:val="24"/>
          <w:szCs w:val="24"/>
        </w:rPr>
        <w:t xml:space="preserve">5.3 GPS / telematics — the clean recurring layer</w:t>
      </w:r>
    </w:p>
    <w:p>
      <w:pPr>
        <w:spacing w:after="80" w:before="80"/>
      </w:pPr>
      <w:r>
        <w:rPr>
          <w:rFonts w:ascii="Arial" w:cs="Arial" w:eastAsia="Arial" w:hAnsi="Arial"/>
          <w:color w:val="1A1A1A"/>
          <w:sz w:val="22"/>
          <w:szCs w:val="22"/>
        </w:rPr>
        <w:t xml:space="preserve">GPS hardware is leased to vendors on a monthly subscription, independent of trip volume. It carries a physical switching cost — once a device is installed on a vendor’s asset, the vendor cannot leave the platform without removing it and losing history. This is the cleanest, highest-margin recurring revenue line in the business.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2000"/>
        <w:gridCol w:w="2000"/>
        <w:gridCol w:w="2000"/>
      </w:tblGrid>
      <w:tr>
        <w:tc>
          <w:tcPr>
            <w:tcW w:type="dxa" w:w="3026"/>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Stage</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Devices</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MRR (AED)</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ARR (AED)</w:t>
            </w:r>
          </w:p>
        </w:tc>
      </w:tr>
      <w:tr>
        <w:tc>
          <w:tcPr>
            <w:tcW w:type="dxa" w:w="3026"/>
            <w:tcBorders>
              <w:top w:val="single" w:color="CCCCCC" w:sz="1"/>
              <w:left w:val="single" w:color="CCCCCC" w:sz="1"/>
              <w:bottom w:val="single" w:color="CCCCCC" w:sz="1"/>
              <w:right w:val="single" w:color="CCCCCC" w:sz="1"/>
            </w:tcBorders>
            <w:shd w:fill="EEF3F9" w:val="clear"/>
            <w:tcMar>
              <w:top w:type="dxa" w:w="80"/>
              <w:left w:type="dxa" w:w="140"/>
              <w:bottom w:type="dxa" w:w="80"/>
              <w:right w:type="dxa" w:w="140"/>
            </w:tcMar>
          </w:tcPr>
          <w:p>
            <w:r>
              <w:rPr>
                <w:rFonts w:ascii="Arial" w:cs="Arial" w:eastAsia="Arial" w:hAnsi="Arial"/>
                <w:b w:val="false"/>
                <w:bCs w:val="false"/>
                <w:color w:val="1A1A1A"/>
                <w:sz w:val="19"/>
                <w:szCs w:val="19"/>
              </w:rPr>
              <w:t xml:space="preserve">POC</w:t>
            </w:r>
          </w:p>
        </w:tc>
        <w:tc>
          <w:tcPr>
            <w:tcW w:type="dxa" w:w="2000"/>
            <w:tcBorders>
              <w:top w:val="single" w:color="CCCCCC" w:sz="1"/>
              <w:left w:val="single" w:color="CCCCCC" w:sz="1"/>
              <w:bottom w:val="single" w:color="CCCCCC" w:sz="1"/>
              <w:right w:val="single" w:color="CCCCCC" w:sz="1"/>
            </w:tcBorders>
            <w:shd w:fill="EEF3F9" w:val="clear"/>
            <w:tcMar>
              <w:top w:type="dxa" w:w="80"/>
              <w:left w:type="dxa" w:w="140"/>
              <w:bottom w:type="dxa" w:w="80"/>
              <w:right w:type="dxa" w:w="140"/>
            </w:tcMar>
          </w:tcPr>
          <w:p>
            <w:r>
              <w:rPr>
                <w:rFonts w:ascii="Arial" w:cs="Arial" w:eastAsia="Arial" w:hAnsi="Arial"/>
                <w:b w:val="false"/>
                <w:bCs w:val="false"/>
                <w:color w:val="1A1A1A"/>
                <w:sz w:val="19"/>
                <w:szCs w:val="19"/>
              </w:rPr>
              <w:t xml:space="preserve">3–4</w:t>
            </w:r>
          </w:p>
        </w:tc>
        <w:tc>
          <w:tcPr>
            <w:tcW w:type="dxa" w:w="2000"/>
            <w:tcBorders>
              <w:top w:val="single" w:color="CCCCCC" w:sz="1"/>
              <w:left w:val="single" w:color="CCCCCC" w:sz="1"/>
              <w:bottom w:val="single" w:color="CCCCCC" w:sz="1"/>
              <w:right w:val="single" w:color="CCCCCC" w:sz="1"/>
            </w:tcBorders>
            <w:shd w:fill="EEF3F9" w:val="clear"/>
            <w:tcMar>
              <w:top w:type="dxa" w:w="80"/>
              <w:left w:type="dxa" w:w="140"/>
              <w:bottom w:type="dxa" w:w="80"/>
              <w:right w:type="dxa" w:w="140"/>
            </w:tcMar>
          </w:tcPr>
          <w:p>
            <w:r>
              <w:rPr>
                <w:rFonts w:ascii="Arial" w:cs="Arial" w:eastAsia="Arial" w:hAnsi="Arial"/>
                <w:b w:val="false"/>
                <w:bCs w:val="false"/>
                <w:color w:val="1A1A1A"/>
                <w:sz w:val="19"/>
                <w:szCs w:val="19"/>
              </w:rPr>
              <w:t xml:space="preserve">— (free pilot)</w:t>
            </w:r>
          </w:p>
        </w:tc>
        <w:tc>
          <w:tcPr>
            <w:tcW w:type="dxa" w:w="2000"/>
            <w:tcBorders>
              <w:top w:val="single" w:color="CCCCCC" w:sz="1"/>
              <w:left w:val="single" w:color="CCCCCC" w:sz="1"/>
              <w:bottom w:val="single" w:color="CCCCCC" w:sz="1"/>
              <w:right w:val="single" w:color="CCCCCC" w:sz="1"/>
            </w:tcBorders>
            <w:shd w:fill="EEF3F9" w:val="clear"/>
            <w:tcMar>
              <w:top w:type="dxa" w:w="80"/>
              <w:left w:type="dxa" w:w="140"/>
              <w:bottom w:type="dxa" w:w="80"/>
              <w:right w:type="dxa" w:w="140"/>
            </w:tcMar>
          </w:tcPr>
          <w:p>
            <w:r>
              <w:rPr>
                <w:rFonts w:ascii="Arial" w:cs="Arial" w:eastAsia="Arial" w:hAnsi="Arial"/>
                <w:b w:val="false"/>
                <w:bCs w:val="false"/>
                <w:color w:val="1A1A1A"/>
                <w:sz w:val="19"/>
                <w:szCs w:val="19"/>
              </w:rPr>
              <w:t xml:space="preserve">—</w:t>
            </w:r>
          </w:p>
        </w:tc>
      </w:tr>
      <w:tr>
        <w:tc>
          <w:tcPr>
            <w:tcW w:type="dxa" w:w="3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Paid pilot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~1,200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~14,400</w:t>
            </w:r>
          </w:p>
        </w:tc>
      </w:tr>
      <w:tr>
        <w:tc>
          <w:tcPr>
            <w:tcW w:type="dxa" w:w="3026"/>
            <w:tcBorders>
              <w:top w:val="single" w:color="CCCCCC" w:sz="1"/>
              <w:left w:val="single" w:color="CCCCCC" w:sz="1"/>
              <w:bottom w:val="single" w:color="CCCCCC" w:sz="1"/>
              <w:right w:val="single" w:color="CCCCCC" w:sz="1"/>
            </w:tcBorders>
            <w:shd w:fill="EEF3F9" w:val="clear"/>
            <w:tcMar>
              <w:top w:type="dxa" w:w="80"/>
              <w:left w:type="dxa" w:w="140"/>
              <w:bottom w:type="dxa" w:w="80"/>
              <w:right w:type="dxa" w:w="140"/>
            </w:tcMar>
          </w:tcPr>
          <w:p>
            <w:r>
              <w:rPr>
                <w:rFonts w:ascii="Arial" w:cs="Arial" w:eastAsia="Arial" w:hAnsi="Arial"/>
                <w:b w:val="false"/>
                <w:bCs w:val="false"/>
                <w:color w:val="1A1A1A"/>
                <w:sz w:val="19"/>
                <w:szCs w:val="19"/>
              </w:rPr>
              <w:t xml:space="preserve">Month 12</w:t>
            </w:r>
          </w:p>
        </w:tc>
        <w:tc>
          <w:tcPr>
            <w:tcW w:type="dxa" w:w="2000"/>
            <w:tcBorders>
              <w:top w:val="single" w:color="CCCCCC" w:sz="1"/>
              <w:left w:val="single" w:color="CCCCCC" w:sz="1"/>
              <w:bottom w:val="single" w:color="CCCCCC" w:sz="1"/>
              <w:right w:val="single" w:color="CCCCCC" w:sz="1"/>
            </w:tcBorders>
            <w:shd w:fill="EEF3F9" w:val="clear"/>
            <w:tcMar>
              <w:top w:type="dxa" w:w="80"/>
              <w:left w:type="dxa" w:w="140"/>
              <w:bottom w:type="dxa" w:w="80"/>
              <w:right w:type="dxa" w:w="140"/>
            </w:tcMar>
          </w:tcPr>
          <w:p>
            <w:r>
              <w:rPr>
                <w:rFonts w:ascii="Arial" w:cs="Arial" w:eastAsia="Arial" w:hAnsi="Arial"/>
                <w:b w:val="false"/>
                <w:bCs w:val="false"/>
                <w:color w:val="1A1A1A"/>
                <w:sz w:val="19"/>
                <w:szCs w:val="19"/>
              </w:rPr>
              <w:t xml:space="preserve">100</w:t>
            </w:r>
          </w:p>
        </w:tc>
        <w:tc>
          <w:tcPr>
            <w:tcW w:type="dxa" w:w="2000"/>
            <w:tcBorders>
              <w:top w:val="single" w:color="CCCCCC" w:sz="1"/>
              <w:left w:val="single" w:color="CCCCCC" w:sz="1"/>
              <w:bottom w:val="single" w:color="CCCCCC" w:sz="1"/>
              <w:right w:val="single" w:color="CCCCCC" w:sz="1"/>
            </w:tcBorders>
            <w:shd w:fill="EEF3F9" w:val="clear"/>
            <w:tcMar>
              <w:top w:type="dxa" w:w="80"/>
              <w:left w:type="dxa" w:w="140"/>
              <w:bottom w:type="dxa" w:w="80"/>
              <w:right w:type="dxa" w:w="140"/>
            </w:tcMar>
          </w:tcPr>
          <w:p>
            <w:r>
              <w:rPr>
                <w:rFonts w:ascii="Arial" w:cs="Arial" w:eastAsia="Arial" w:hAnsi="Arial"/>
                <w:b w:val="false"/>
                <w:bCs w:val="false"/>
                <w:color w:val="1A1A1A"/>
                <w:sz w:val="19"/>
                <w:szCs w:val="19"/>
              </w:rPr>
              <w:t xml:space="preserve">~12,000</w:t>
            </w:r>
          </w:p>
        </w:tc>
        <w:tc>
          <w:tcPr>
            <w:tcW w:type="dxa" w:w="2000"/>
            <w:tcBorders>
              <w:top w:val="single" w:color="CCCCCC" w:sz="1"/>
              <w:left w:val="single" w:color="CCCCCC" w:sz="1"/>
              <w:bottom w:val="single" w:color="CCCCCC" w:sz="1"/>
              <w:right w:val="single" w:color="CCCCCC" w:sz="1"/>
            </w:tcBorders>
            <w:shd w:fill="EEF3F9" w:val="clear"/>
            <w:tcMar>
              <w:top w:type="dxa" w:w="80"/>
              <w:left w:type="dxa" w:w="140"/>
              <w:bottom w:type="dxa" w:w="80"/>
              <w:right w:type="dxa" w:w="140"/>
            </w:tcMar>
          </w:tcPr>
          <w:p>
            <w:r>
              <w:rPr>
                <w:rFonts w:ascii="Arial" w:cs="Arial" w:eastAsia="Arial" w:hAnsi="Arial"/>
                <w:b w:val="false"/>
                <w:bCs w:val="false"/>
                <w:color w:val="1A1A1A"/>
                <w:sz w:val="19"/>
                <w:szCs w:val="19"/>
              </w:rPr>
              <w:t xml:space="preserve">~144,000</w:t>
            </w:r>
          </w:p>
        </w:tc>
      </w:tr>
      <w:tr>
        <w:tc>
          <w:tcPr>
            <w:tcW w:type="dxa" w:w="3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Year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500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~60,000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~720,000</w:t>
            </w:r>
          </w:p>
        </w:tc>
      </w:tr>
    </w:tbl>
    <w:p>
      <w:pPr>
        <w:spacing w:after="0" w:before="80"/>
      </w:pPr>
      <w:r>
        <w:t xml:space="preserve"/>
      </w:r>
    </w:p>
    <w:p>
      <w:pPr>
        <w:spacing w:after="80" w:before="80"/>
      </w:pPr>
      <w:r>
        <w:rPr>
          <w:rFonts w:ascii="Arial" w:cs="Arial" w:eastAsia="Arial" w:hAnsi="Arial"/>
          <w:i/>
          <w:iCs/>
          <w:color w:val="555555"/>
          <w:sz w:val="22"/>
          <w:szCs w:val="22"/>
        </w:rPr>
        <w:t xml:space="preserve">Assumes AED 120/device/month average. GPS revenue scales with the vendor base the marketplace and SaaS bring in — which is why the three lines are one connected engine, not three separate businesses.</w:t>
      </w:r>
    </w:p>
    <w:p>
      <w:r>
        <w:br w:type="page"/>
      </w:r>
    </w:p>
    <w:p>
      <w:pPr>
        <w:pStyle w:val="Heading2"/>
        <w:spacing w:after="120" w:before="240"/>
      </w:pPr>
      <w:r>
        <w:rPr>
          <w:rFonts w:ascii="Arial" w:cs="Arial" w:eastAsia="Arial" w:hAnsi="Arial"/>
          <w:b/>
          <w:bCs/>
          <w:color w:val="2E75B6"/>
          <w:sz w:val="24"/>
          <w:szCs w:val="24"/>
        </w:rPr>
        <w:t xml:space="preserve">5.4 The honest revenue model — one engine, three taps</w:t>
      </w:r>
    </w:p>
    <w:p>
      <w:pPr>
        <w:spacing w:after="80" w:before="80"/>
      </w:pPr>
      <w:r>
        <w:rPr>
          <w:rFonts w:ascii="Arial" w:cs="Arial" w:eastAsia="Arial" w:hAnsi="Arial"/>
          <w:color w:val="1A1A1A"/>
          <w:sz w:val="22"/>
          <w:szCs w:val="22"/>
        </w:rPr>
        <w:t xml:space="preserve">The prior draft presented three independent revenue streams. That framing oversells the business and misleads. The accurate model is a single engine with three points of monetisation:</w:t>
      </w:r>
    </w:p>
    <w:p>
      <w:pPr>
        <w:spacing w:after="0" w:before="80"/>
      </w:pPr>
      <w:r>
        <w:t xml:space="preserve"/>
      </w:r>
    </w:p>
    <w:p>
      <w:pPr>
        <w:pStyle w:val="ListParagraph"/>
        <w:numPr>
          <w:ilvl w:val="0"/>
          <w:numId w:val="2"/>
        </w:numPr>
        <w:spacing w:after="60" w:before="60"/>
      </w:pPr>
      <w:r>
        <w:rPr>
          <w:rFonts w:ascii="Arial" w:cs="Arial" w:eastAsia="Arial" w:hAnsi="Arial"/>
          <w:b/>
          <w:bCs/>
          <w:color w:val="1A1A1A"/>
          <w:sz w:val="22"/>
          <w:szCs w:val="22"/>
        </w:rPr>
        <w:t xml:space="preserve">Marketplace take-rate — the proven core. 20% margin on brokered trips. This is also the customer-acquisition engine: vendors join for the jobs.</w:t>
      </w:r>
    </w:p>
    <w:p>
      <w:pPr>
        <w:pStyle w:val="ListParagraph"/>
        <w:numPr>
          <w:ilvl w:val="0"/>
          <w:numId w:val="2"/>
        </w:numPr>
        <w:spacing w:after="60" w:before="60"/>
      </w:pPr>
      <w:r>
        <w:rPr>
          <w:rFonts w:ascii="Arial" w:cs="Arial" w:eastAsia="Arial" w:hAnsi="Arial"/>
          <w:b/>
          <w:bCs/>
          <w:color w:val="1A1A1A"/>
          <w:sz w:val="22"/>
          <w:szCs w:val="22"/>
        </w:rPr>
        <w:t xml:space="preserve">GPS / telematics lease — recurring hardware subscription with a physical switching cost. Introduced once vendors are on the platform.</w:t>
      </w:r>
    </w:p>
    <w:p>
      <w:pPr>
        <w:pStyle w:val="ListParagraph"/>
        <w:numPr>
          <w:ilvl w:val="0"/>
          <w:numId w:val="2"/>
        </w:numPr>
        <w:spacing w:after="60" w:before="60"/>
      </w:pPr>
      <w:r>
        <w:rPr>
          <w:rFonts w:ascii="Arial" w:cs="Arial" w:eastAsia="Arial" w:hAnsi="Arial"/>
          <w:b/>
          <w:bCs/>
          <w:color w:val="1A1A1A"/>
          <w:sz w:val="22"/>
          <w:szCs w:val="22"/>
        </w:rPr>
        <w:t xml:space="preserve">Operations SaaS — a premium software tier, sold to vendors who want to run their own operations to Kasper’s standard. A Year 2+ upsell, not a Year 1 revenue line.</w:t>
      </w:r>
    </w:p>
    <w:p>
      <w:pPr>
        <w:spacing w:after="0" w:before="80"/>
      </w:pPr>
      <w:r>
        <w:t xml:space="preserve"/>
      </w:r>
    </w:p>
    <w:p>
      <w:pPr>
        <w:spacing w:after="80" w:before="80"/>
      </w:pPr>
      <w:r>
        <w:rPr>
          <w:rFonts w:ascii="Arial" w:cs="Arial" w:eastAsia="Arial" w:hAnsi="Arial"/>
          <w:color w:val="1A1A1A"/>
          <w:sz w:val="22"/>
          <w:szCs w:val="22"/>
        </w:rPr>
        <w:t xml:space="preserve">Why the SaaS is sequenced last: a vendor with a working manual process will not switch for software alone — “good enough” is a free competitor. The vendor switches for jobs (marketplace) or for hardware capability (GPS). The software rides in attached to those. Sold on its own, on day one, it would struggle. Sold as the system that comes with Kasper jobs and Kasper GPS, it retains vendors and, over time, becomes a paid upsell to the owners who value the visibility and control most.</w:t>
      </w:r>
    </w:p>
    <w:p>
      <w:pPr>
        <w:pStyle w:val="Heading1"/>
        <w:spacing w:after="160" w:before="360"/>
      </w:pPr>
      <w:r>
        <w:rPr>
          <w:rFonts w:ascii="Arial" w:cs="Arial" w:eastAsia="Arial" w:hAnsi="Arial"/>
          <w:b/>
          <w:bCs/>
          <w:color w:val="1F4E79"/>
          <w:sz w:val="30"/>
          <w:szCs w:val="30"/>
        </w:rPr>
        <w:t xml:space="preserve">6. Cash Flow — Already Proven</w:t>
      </w:r>
    </w:p>
    <w:p>
      <w:pPr>
        <w:spacing w:after="80" w:before="80"/>
      </w:pPr>
      <w:r>
        <w:rPr>
          <w:rFonts w:ascii="Arial" w:cs="Arial" w:eastAsia="Arial" w:hAnsi="Arial"/>
          <w:color w:val="1A1A1A"/>
          <w:sz w:val="22"/>
          <w:szCs w:val="22"/>
        </w:rPr>
        <w:t xml:space="preserve">The earlier draft treated cash flow as a critical, possibly fatal risk, citing the collapse of Lori Systems. That risk framing is imported from greenfield-startup playbooks and does not apply here. Kasper has operated this exact cash flow structure for two years: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Money flow</w:t>
            </w:r>
          </w:p>
        </w:tc>
        <w:tc>
          <w:tcPr>
            <w:tcW w:type="dxa" w:w="4513"/>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Current practice (2 years proven)</w:t>
            </w:r>
          </w:p>
        </w:tc>
      </w:tr>
      <w:tr>
        <w:tc>
          <w:tcPr>
            <w:tcW w:type="dxa" w:w="4513"/>
            <w:tcBorders>
              <w:top w:val="single" w:color="CCCCCC" w:sz="1"/>
              <w:left w:val="single" w:color="CCCCCC" w:sz="1"/>
              <w:bottom w:val="single" w:color="CCCCCC" w:sz="1"/>
              <w:right w:val="single" w:color="CCCCCC" w:sz="1"/>
            </w:tcBorders>
            <w:shd w:fill="EEF3F9" w:val="clear"/>
            <w:tcMar>
              <w:top w:type="dxa" w:w="80"/>
              <w:left w:type="dxa" w:w="140"/>
              <w:bottom w:type="dxa" w:w="80"/>
              <w:right w:type="dxa" w:w="140"/>
            </w:tcMar>
          </w:tcPr>
          <w:p>
            <w:r>
              <w:rPr>
                <w:rFonts w:ascii="Arial" w:cs="Arial" w:eastAsia="Arial" w:hAnsi="Arial"/>
                <w:b w:val="false"/>
                <w:bCs w:val="false"/>
                <w:color w:val="1A1A1A"/>
                <w:sz w:val="19"/>
                <w:szCs w:val="19"/>
              </w:rPr>
              <w:t xml:space="preserve">Client pays Kasper</w:t>
            </w:r>
          </w:p>
        </w:tc>
        <w:tc>
          <w:tcPr>
            <w:tcW w:type="dxa" w:w="4513"/>
            <w:tcBorders>
              <w:top w:val="single" w:color="CCCCCC" w:sz="1"/>
              <w:left w:val="single" w:color="CCCCCC" w:sz="1"/>
              <w:bottom w:val="single" w:color="CCCCCC" w:sz="1"/>
              <w:right w:val="single" w:color="CCCCCC" w:sz="1"/>
            </w:tcBorders>
            <w:shd w:fill="EEF3F9" w:val="clear"/>
            <w:tcMar>
              <w:top w:type="dxa" w:w="80"/>
              <w:left w:type="dxa" w:w="140"/>
              <w:bottom w:type="dxa" w:w="80"/>
              <w:right w:type="dxa" w:w="140"/>
            </w:tcMar>
          </w:tcPr>
          <w:p>
            <w:r>
              <w:rPr>
                <w:rFonts w:ascii="Arial" w:cs="Arial" w:eastAsia="Arial" w:hAnsi="Arial"/>
                <w:b w:val="false"/>
                <w:bCs w:val="false"/>
                <w:color w:val="1A1A1A"/>
                <w:sz w:val="19"/>
                <w:szCs w:val="19"/>
              </w:rPr>
              <w:t xml:space="preserve">30–90 days after the job</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Kasper pays vendor</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30–60 days after the job</w:t>
            </w:r>
          </w:p>
        </w:tc>
      </w:tr>
    </w:tbl>
    <w:p>
      <w:pPr>
        <w:spacing w:after="0" w:before="80"/>
      </w:pPr>
      <w:r>
        <w:t xml:space="preserve"/>
      </w:r>
    </w:p>
    <w:p>
      <w:pPr>
        <w:spacing w:after="80" w:before="80"/>
      </w:pPr>
      <w:r>
        <w:rPr>
          <w:rFonts w:ascii="Arial" w:cs="Arial" w:eastAsia="Arial" w:hAnsi="Arial"/>
          <w:color w:val="1A1A1A"/>
          <w:sz w:val="22"/>
          <w:szCs w:val="22"/>
        </w:rPr>
        <w:t xml:space="preserve">The gap between the two is managed through cash flow control, as it has been for 24 months. The operations software being built is for coordination and operations — it does not change the money-flow structure. It does, however, improve cash flow indirectly: faster, dispute-free invoicing through digital ePOD and automated invoice generation shortens the time from job completion to a clean, collectible invoice.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1"/>
              <w:left w:val="single" w:color="2E7D32" w:sz="18"/>
              <w:bottom w:val="single" w:color="2E7D32" w:sz="1"/>
              <w:right w:val="single" w:color="2E7D32" w:sz="1"/>
            </w:tcBorders>
            <w:shd w:fill="F5F5F5" w:val="clear"/>
            <w:tcMar>
              <w:top w:type="dxa" w:w="140"/>
              <w:left w:type="dxa" w:w="200"/>
              <w:bottom w:type="dxa" w:w="140"/>
              <w:right w:type="dxa" w:w="160"/>
            </w:tcMar>
          </w:tcPr>
          <w:p>
            <w:pPr>
              <w:spacing w:after="80" w:before="0"/>
            </w:pPr>
            <w:r>
              <w:rPr>
                <w:rFonts w:ascii="Arial" w:cs="Arial" w:eastAsia="Arial" w:hAnsi="Arial"/>
                <w:b/>
                <w:bCs/>
                <w:color w:val="2E7D32"/>
                <w:sz w:val="22"/>
                <w:szCs w:val="22"/>
              </w:rPr>
              <w:t xml:space="preserve">Recommendation — strengthen, do not panic</w:t>
            </w:r>
          </w:p>
          <w:p>
            <w:pPr>
              <w:spacing w:after="0" w:before="0"/>
            </w:pPr>
            <w:r>
              <w:rPr>
                <w:rFonts w:ascii="Arial" w:cs="Arial" w:eastAsia="Arial" w:hAnsi="Arial"/>
                <w:color w:val="1A1A1A"/>
                <w:sz w:val="21"/>
                <w:szCs w:val="21"/>
              </w:rPr>
              <w:t xml:space="preserve">Cash flow is not a feasibility blocker. It is a proven, managed part of the business. Recommended improvements, in priority order:</w:t>
            </w:r>
          </w:p>
          <w:p>
            <w:pPr>
              <w:spacing w:after="0" w:before="40"/>
            </w:pPr>
            <w:r>
              <w:rPr>
                <w:rFonts w:ascii="Arial" w:cs="Arial" w:eastAsia="Arial" w:hAnsi="Arial"/>
                <w:color w:val="1A1A1A"/>
                <w:sz w:val="21"/>
                <w:szCs w:val="21"/>
              </w:rPr>
              <w:t xml:space="preserve"/>
            </w:r>
          </w:p>
          <w:p>
            <w:pPr>
              <w:spacing w:after="0" w:before="40"/>
            </w:pPr>
            <w:r>
              <w:rPr>
                <w:rFonts w:ascii="Arial" w:cs="Arial" w:eastAsia="Arial" w:hAnsi="Arial"/>
                <w:color w:val="1A1A1A"/>
                <w:sz w:val="21"/>
                <w:szCs w:val="21"/>
              </w:rPr>
              <w:t xml:space="preserve">1.  Use digital ePOD and automated invoicing to cut the lag between job completion and invoice issue — every day saved is a day of collection pulled forward.</w:t>
            </w:r>
          </w:p>
          <w:p>
            <w:pPr>
              <w:spacing w:after="0" w:before="40"/>
            </w:pPr>
            <w:r>
              <w:rPr>
                <w:rFonts w:ascii="Arial" w:cs="Arial" w:eastAsia="Arial" w:hAnsi="Arial"/>
                <w:color w:val="1A1A1A"/>
                <w:sz w:val="21"/>
                <w:szCs w:val="21"/>
              </w:rPr>
              <w:t xml:space="preserve">2.  Introduce a deposit at booking on new client relationships where commercially possible — it reduces the receivables gap at no cost.</w:t>
            </w:r>
          </w:p>
          <w:p>
            <w:pPr>
              <w:spacing w:after="0" w:before="40"/>
            </w:pPr>
            <w:r>
              <w:rPr>
                <w:rFonts w:ascii="Arial" w:cs="Arial" w:eastAsia="Arial" w:hAnsi="Arial"/>
                <w:color w:val="1A1A1A"/>
                <w:sz w:val="21"/>
                <w:szCs w:val="21"/>
              </w:rPr>
              <w:t xml:space="preserve">3.  If a working-capital facility is ever needed, use bank receivables factoring (FAB, RAKBANK) — debt against invoices — not equity. Never sell company ownership to fund float.</w:t>
            </w:r>
          </w:p>
        </w:tc>
      </w:tr>
    </w:tbl>
    <w:p>
      <w:r>
        <w:br w:type="page"/>
      </w:r>
    </w:p>
    <w:p>
      <w:pPr>
        <w:pStyle w:val="Heading1"/>
        <w:spacing w:after="160" w:before="360"/>
      </w:pPr>
      <w:r>
        <w:rPr>
          <w:rFonts w:ascii="Arial" w:cs="Arial" w:eastAsia="Arial" w:hAnsi="Arial"/>
          <w:b/>
          <w:bCs/>
          <w:color w:val="1F4E79"/>
          <w:sz w:val="30"/>
          <w:szCs w:val="30"/>
        </w:rPr>
        <w:t xml:space="preserve">7. Technical Feasibility</w:t>
      </w:r>
    </w:p>
    <w:p>
      <w:pPr>
        <w:spacing w:after="80" w:before="80"/>
      </w:pPr>
      <w:r>
        <w:rPr>
          <w:rFonts w:ascii="Arial" w:cs="Arial" w:eastAsia="Arial" w:hAnsi="Arial"/>
          <w:color w:val="1A1A1A"/>
          <w:sz w:val="22"/>
          <w:szCs w:val="22"/>
        </w:rPr>
        <w:t xml:space="preserve">The platform is a focused build, not a research project. The job flow is well defined and maps to proven, lightweight technology. The recommended sequence: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426"/>
        <w:gridCol w:w="2000"/>
      </w:tblGrid>
      <w:tr>
        <w:tc>
          <w:tcPr>
            <w:tcW w:type="dxa" w:w="2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Phase</w:t>
            </w:r>
          </w:p>
        </w:tc>
        <w:tc>
          <w:tcPr>
            <w:tcW w:type="dxa" w:w="4426"/>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Deliverable</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Indicative time</w:t>
            </w:r>
          </w:p>
        </w:tc>
      </w:tr>
      <w:tr>
        <w:tc>
          <w:tcPr>
            <w:tcW w:type="dxa" w:w="2600"/>
            <w:tcBorders>
              <w:top w:val="single" w:color="CCCCCC" w:sz="1"/>
              <w:left w:val="single" w:color="CCCCCC" w:sz="1"/>
              <w:bottom w:val="single" w:color="CCCCCC" w:sz="1"/>
              <w:right w:val="single" w:color="CCCCCC" w:sz="1"/>
            </w:tcBorders>
            <w:shd w:fill="EEF3F9" w:val="clear"/>
            <w:tcMar>
              <w:top w:type="dxa" w:w="80"/>
              <w:left w:type="dxa" w:w="140"/>
              <w:bottom w:type="dxa" w:w="80"/>
              <w:right w:type="dxa" w:w="140"/>
            </w:tcMar>
          </w:tcPr>
          <w:p>
            <w:r>
              <w:rPr>
                <w:rFonts w:ascii="Arial" w:cs="Arial" w:eastAsia="Arial" w:hAnsi="Arial"/>
                <w:b w:val="false"/>
                <w:bCs w:val="false"/>
                <w:color w:val="1A1A1A"/>
                <w:sz w:val="19"/>
                <w:szCs w:val="19"/>
              </w:rPr>
              <w:t xml:space="preserve">Foundation</w:t>
            </w:r>
          </w:p>
        </w:tc>
        <w:tc>
          <w:tcPr>
            <w:tcW w:type="dxa" w:w="4426"/>
            <w:tcBorders>
              <w:top w:val="single" w:color="CCCCCC" w:sz="1"/>
              <w:left w:val="single" w:color="CCCCCC" w:sz="1"/>
              <w:bottom w:val="single" w:color="CCCCCC" w:sz="1"/>
              <w:right w:val="single" w:color="CCCCCC" w:sz="1"/>
            </w:tcBorders>
            <w:shd w:fill="EEF3F9" w:val="clear"/>
            <w:tcMar>
              <w:top w:type="dxa" w:w="80"/>
              <w:left w:type="dxa" w:w="140"/>
              <w:bottom w:type="dxa" w:w="80"/>
              <w:right w:type="dxa" w:w="140"/>
            </w:tcMar>
          </w:tcPr>
          <w:p>
            <w:r>
              <w:rPr>
                <w:rFonts w:ascii="Arial" w:cs="Arial" w:eastAsia="Arial" w:hAnsi="Arial"/>
                <w:b w:val="false"/>
                <w:bCs w:val="false"/>
                <w:color w:val="1A1A1A"/>
                <w:sz w:val="19"/>
                <w:szCs w:val="19"/>
              </w:rPr>
              <w:t xml:space="preserve">Database, authentication, core data model</w:t>
            </w:r>
          </w:p>
        </w:tc>
        <w:tc>
          <w:tcPr>
            <w:tcW w:type="dxa" w:w="2000"/>
            <w:tcBorders>
              <w:top w:val="single" w:color="CCCCCC" w:sz="1"/>
              <w:left w:val="single" w:color="CCCCCC" w:sz="1"/>
              <w:bottom w:val="single" w:color="CCCCCC" w:sz="1"/>
              <w:right w:val="single" w:color="CCCCCC" w:sz="1"/>
            </w:tcBorders>
            <w:shd w:fill="EEF3F9" w:val="clear"/>
            <w:tcMar>
              <w:top w:type="dxa" w:w="80"/>
              <w:left w:type="dxa" w:w="140"/>
              <w:bottom w:type="dxa" w:w="80"/>
              <w:right w:type="dxa" w:w="140"/>
            </w:tcMar>
          </w:tcPr>
          <w:p>
            <w:r>
              <w:rPr>
                <w:rFonts w:ascii="Arial" w:cs="Arial" w:eastAsia="Arial" w:hAnsi="Arial"/>
                <w:b w:val="false"/>
                <w:bCs w:val="false"/>
                <w:color w:val="1A1A1A"/>
                <w:sz w:val="19"/>
                <w:szCs w:val="19"/>
              </w:rPr>
              <w:t xml:space="preserve">Week 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Vendor app</w:t>
            </w:r>
          </w:p>
        </w:tc>
        <w:tc>
          <w:tcPr>
            <w:tcW w:type="dxa" w:w="4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Enquiry inbox, one-click quote, PO handling, driver assignment, work calendar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Week 2–3</w:t>
            </w:r>
          </w:p>
        </w:tc>
      </w:tr>
      <w:tr>
        <w:tc>
          <w:tcPr>
            <w:tcW w:type="dxa" w:w="2600"/>
            <w:tcBorders>
              <w:top w:val="single" w:color="CCCCCC" w:sz="1"/>
              <w:left w:val="single" w:color="CCCCCC" w:sz="1"/>
              <w:bottom w:val="single" w:color="CCCCCC" w:sz="1"/>
              <w:right w:val="single" w:color="CCCCCC" w:sz="1"/>
            </w:tcBorders>
            <w:shd w:fill="EEF3F9" w:val="clear"/>
            <w:tcMar>
              <w:top w:type="dxa" w:w="80"/>
              <w:left w:type="dxa" w:w="140"/>
              <w:bottom w:type="dxa" w:w="80"/>
              <w:right w:type="dxa" w:w="140"/>
            </w:tcMar>
          </w:tcPr>
          <w:p>
            <w:r>
              <w:rPr>
                <w:rFonts w:ascii="Arial" w:cs="Arial" w:eastAsia="Arial" w:hAnsi="Arial"/>
                <w:b w:val="false"/>
                <w:bCs w:val="false"/>
                <w:color w:val="1A1A1A"/>
                <w:sz w:val="19"/>
                <w:szCs w:val="19"/>
              </w:rPr>
              <w:t xml:space="preserve">Driver app</w:t>
            </w:r>
          </w:p>
        </w:tc>
        <w:tc>
          <w:tcPr>
            <w:tcW w:type="dxa" w:w="4426"/>
            <w:tcBorders>
              <w:top w:val="single" w:color="CCCCCC" w:sz="1"/>
              <w:left w:val="single" w:color="CCCCCC" w:sz="1"/>
              <w:bottom w:val="single" w:color="CCCCCC" w:sz="1"/>
              <w:right w:val="single" w:color="CCCCCC" w:sz="1"/>
            </w:tcBorders>
            <w:shd w:fill="EEF3F9" w:val="clear"/>
            <w:tcMar>
              <w:top w:type="dxa" w:w="80"/>
              <w:left w:type="dxa" w:w="140"/>
              <w:bottom w:type="dxa" w:w="80"/>
              <w:right w:type="dxa" w:w="140"/>
            </w:tcMar>
          </w:tcPr>
          <w:p>
            <w:r>
              <w:rPr>
                <w:rFonts w:ascii="Arial" w:cs="Arial" w:eastAsia="Arial" w:hAnsi="Arial"/>
                <w:b w:val="false"/>
                <w:bCs w:val="false"/>
                <w:color w:val="1A1A1A"/>
                <w:sz w:val="19"/>
                <w:szCs w:val="19"/>
              </w:rPr>
              <w:t xml:space="preserve">Job accept, live location sharing, status updates</w:t>
            </w:r>
          </w:p>
        </w:tc>
        <w:tc>
          <w:tcPr>
            <w:tcW w:type="dxa" w:w="2000"/>
            <w:tcBorders>
              <w:top w:val="single" w:color="CCCCCC" w:sz="1"/>
              <w:left w:val="single" w:color="CCCCCC" w:sz="1"/>
              <w:bottom w:val="single" w:color="CCCCCC" w:sz="1"/>
              <w:right w:val="single" w:color="CCCCCC" w:sz="1"/>
            </w:tcBorders>
            <w:shd w:fill="EEF3F9" w:val="clear"/>
            <w:tcMar>
              <w:top w:type="dxa" w:w="80"/>
              <w:left w:type="dxa" w:w="140"/>
              <w:bottom w:type="dxa" w:w="80"/>
              <w:right w:type="dxa" w:w="140"/>
            </w:tcMar>
          </w:tcPr>
          <w:p>
            <w:r>
              <w:rPr>
                <w:rFonts w:ascii="Arial" w:cs="Arial" w:eastAsia="Arial" w:hAnsi="Arial"/>
                <w:b w:val="false"/>
                <w:bCs w:val="false"/>
                <w:color w:val="1A1A1A"/>
                <w:sz w:val="19"/>
                <w:szCs w:val="19"/>
              </w:rPr>
              <w:t xml:space="preserve">Week 2–3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Client views</w:t>
            </w:r>
          </w:p>
        </w:tc>
        <w:tc>
          <w:tcPr>
            <w:tcW w:type="dxa" w:w="4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Quote approval, live tracking + ETA, driver contact, digital ePOD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Week 3–4</w:t>
            </w:r>
          </w:p>
        </w:tc>
      </w:tr>
      <w:tr>
        <w:tc>
          <w:tcPr>
            <w:tcW w:type="dxa" w:w="2600"/>
            <w:tcBorders>
              <w:top w:val="single" w:color="CCCCCC" w:sz="1"/>
              <w:left w:val="single" w:color="CCCCCC" w:sz="1"/>
              <w:bottom w:val="single" w:color="CCCCCC" w:sz="1"/>
              <w:right w:val="single" w:color="CCCCCC" w:sz="1"/>
            </w:tcBorders>
            <w:shd w:fill="EEF3F9" w:val="clear"/>
            <w:tcMar>
              <w:top w:type="dxa" w:w="80"/>
              <w:left w:type="dxa" w:w="140"/>
              <w:bottom w:type="dxa" w:w="80"/>
              <w:right w:type="dxa" w:w="140"/>
            </w:tcMar>
          </w:tcPr>
          <w:p>
            <w:r>
              <w:rPr>
                <w:rFonts w:ascii="Arial" w:cs="Arial" w:eastAsia="Arial" w:hAnsi="Arial"/>
                <w:b w:val="false"/>
                <w:bCs w:val="false"/>
                <w:color w:val="1A1A1A"/>
                <w:sz w:val="19"/>
                <w:szCs w:val="19"/>
              </w:rPr>
              <w:t xml:space="preserve">Documents</w:t>
            </w:r>
          </w:p>
        </w:tc>
        <w:tc>
          <w:tcPr>
            <w:tcW w:type="dxa" w:w="4426"/>
            <w:tcBorders>
              <w:top w:val="single" w:color="CCCCCC" w:sz="1"/>
              <w:left w:val="single" w:color="CCCCCC" w:sz="1"/>
              <w:bottom w:val="single" w:color="CCCCCC" w:sz="1"/>
              <w:right w:val="single" w:color="CCCCCC" w:sz="1"/>
            </w:tcBorders>
            <w:shd w:fill="EEF3F9" w:val="clear"/>
            <w:tcMar>
              <w:top w:type="dxa" w:w="80"/>
              <w:left w:type="dxa" w:w="140"/>
              <w:bottom w:type="dxa" w:w="80"/>
              <w:right w:type="dxa" w:w="140"/>
            </w:tcMar>
          </w:tcPr>
          <w:p>
            <w:r>
              <w:rPr>
                <w:rFonts w:ascii="Arial" w:cs="Arial" w:eastAsia="Arial" w:hAnsi="Arial"/>
                <w:b w:val="false"/>
                <w:bCs w:val="false"/>
                <w:color w:val="1A1A1A"/>
                <w:sz w:val="19"/>
                <w:szCs w:val="19"/>
              </w:rPr>
              <w:t xml:space="preserve">Automatic quote, PO, invoice, ePOD generation</w:t>
            </w:r>
          </w:p>
        </w:tc>
        <w:tc>
          <w:tcPr>
            <w:tcW w:type="dxa" w:w="2000"/>
            <w:tcBorders>
              <w:top w:val="single" w:color="CCCCCC" w:sz="1"/>
              <w:left w:val="single" w:color="CCCCCC" w:sz="1"/>
              <w:bottom w:val="single" w:color="CCCCCC" w:sz="1"/>
              <w:right w:val="single" w:color="CCCCCC" w:sz="1"/>
            </w:tcBorders>
            <w:shd w:fill="EEF3F9" w:val="clear"/>
            <w:tcMar>
              <w:top w:type="dxa" w:w="80"/>
              <w:left w:type="dxa" w:w="140"/>
              <w:bottom w:type="dxa" w:w="80"/>
              <w:right w:type="dxa" w:w="140"/>
            </w:tcMar>
          </w:tcPr>
          <w:p>
            <w:r>
              <w:rPr>
                <w:rFonts w:ascii="Arial" w:cs="Arial" w:eastAsia="Arial" w:hAnsi="Arial"/>
                <w:b w:val="false"/>
                <w:bCs w:val="false"/>
                <w:color w:val="1A1A1A"/>
                <w:sz w:val="19"/>
                <w:szCs w:val="19"/>
              </w:rPr>
              <w:t xml:space="preserve">Week 4</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Channels</w:t>
            </w:r>
          </w:p>
        </w:tc>
        <w:tc>
          <w:tcPr>
            <w:tcW w:type="dxa" w:w="4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WhatsApp Business enquiry intake, enquiry page, deployment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Week 4–5</w:t>
            </w:r>
          </w:p>
        </w:tc>
      </w:tr>
      <w:tr>
        <w:tc>
          <w:tcPr>
            <w:tcW w:type="dxa" w:w="2600"/>
            <w:tcBorders>
              <w:top w:val="single" w:color="CCCCCC" w:sz="1"/>
              <w:left w:val="single" w:color="CCCCCC" w:sz="1"/>
              <w:bottom w:val="single" w:color="CCCCCC" w:sz="1"/>
              <w:right w:val="single" w:color="CCCCCC" w:sz="1"/>
            </w:tcBorders>
            <w:shd w:fill="EEF3F9" w:val="clear"/>
            <w:tcMar>
              <w:top w:type="dxa" w:w="80"/>
              <w:left w:type="dxa" w:w="140"/>
              <w:bottom w:type="dxa" w:w="80"/>
              <w:right w:type="dxa" w:w="140"/>
            </w:tcMar>
          </w:tcPr>
          <w:p>
            <w:r>
              <w:rPr>
                <w:rFonts w:ascii="Arial" w:cs="Arial" w:eastAsia="Arial" w:hAnsi="Arial"/>
                <w:b w:val="false"/>
                <w:bCs w:val="false"/>
                <w:color w:val="1A1A1A"/>
                <w:sz w:val="19"/>
                <w:szCs w:val="19"/>
              </w:rPr>
              <w:t xml:space="preserve">GPS integration</w:t>
            </w:r>
          </w:p>
        </w:tc>
        <w:tc>
          <w:tcPr>
            <w:tcW w:type="dxa" w:w="4426"/>
            <w:tcBorders>
              <w:top w:val="single" w:color="CCCCCC" w:sz="1"/>
              <w:left w:val="single" w:color="CCCCCC" w:sz="1"/>
              <w:bottom w:val="single" w:color="CCCCCC" w:sz="1"/>
              <w:right w:val="single" w:color="CCCCCC" w:sz="1"/>
            </w:tcBorders>
            <w:shd w:fill="EEF3F9" w:val="clear"/>
            <w:tcMar>
              <w:top w:type="dxa" w:w="80"/>
              <w:left w:type="dxa" w:w="140"/>
              <w:bottom w:type="dxa" w:w="80"/>
              <w:right w:type="dxa" w:w="140"/>
            </w:tcMar>
          </w:tcPr>
          <w:p>
            <w:r>
              <w:rPr>
                <w:rFonts w:ascii="Arial" w:cs="Arial" w:eastAsia="Arial" w:hAnsi="Arial"/>
                <w:b w:val="false"/>
                <w:bCs w:val="false"/>
                <w:color w:val="1A1A1A"/>
                <w:sz w:val="19"/>
                <w:szCs w:val="19"/>
              </w:rPr>
              <w:t xml:space="preserve">Traccar server + Teltonika hardware (FM130 / CAN300)</w:t>
            </w:r>
          </w:p>
        </w:tc>
        <w:tc>
          <w:tcPr>
            <w:tcW w:type="dxa" w:w="2000"/>
            <w:tcBorders>
              <w:top w:val="single" w:color="CCCCCC" w:sz="1"/>
              <w:left w:val="single" w:color="CCCCCC" w:sz="1"/>
              <w:bottom w:val="single" w:color="CCCCCC" w:sz="1"/>
              <w:right w:val="single" w:color="CCCCCC" w:sz="1"/>
            </w:tcBorders>
            <w:shd w:fill="EEF3F9" w:val="clear"/>
            <w:tcMar>
              <w:top w:type="dxa" w:w="80"/>
              <w:left w:type="dxa" w:w="140"/>
              <w:bottom w:type="dxa" w:w="80"/>
              <w:right w:type="dxa" w:w="140"/>
            </w:tcMar>
          </w:tcPr>
          <w:p>
            <w:r>
              <w:rPr>
                <w:rFonts w:ascii="Arial" w:cs="Arial" w:eastAsia="Arial" w:hAnsi="Arial"/>
                <w:b w:val="false"/>
                <w:bCs w:val="false"/>
                <w:color w:val="1A1A1A"/>
                <w:sz w:val="19"/>
                <w:szCs w:val="19"/>
              </w:rPr>
              <w:t xml:space="preserve">Week 5–6</w:t>
            </w:r>
          </w:p>
        </w:tc>
      </w:tr>
    </w:tbl>
    <w:p>
      <w:pPr>
        <w:spacing w:after="0" w:before="80"/>
      </w:pPr>
      <w:r>
        <w:t xml:space="preserve"/>
      </w:r>
    </w:p>
    <w:p>
      <w:pPr>
        <w:spacing w:after="80" w:before="80"/>
      </w:pPr>
      <w:r>
        <w:rPr>
          <w:rFonts w:ascii="Arial" w:cs="Arial" w:eastAsia="Arial" w:hAnsi="Arial"/>
          <w:b/>
          <w:bCs/>
          <w:color w:val="1A1A1A"/>
          <w:sz w:val="22"/>
          <w:szCs w:val="22"/>
        </w:rPr>
        <w:t xml:space="preserve">Phone-based GPS is available from day one at no hardware cost and covers most trip-tracking needs. Hardware GPS is layered in afterwards as the paid telematics product. Technical feasibility is high: the stack is lean, the scope is bounded, and the build is iterative and testable at each phase.</w:t>
      </w:r>
    </w:p>
    <w:p>
      <w:pPr>
        <w:pStyle w:val="Heading1"/>
        <w:spacing w:after="160" w:before="360"/>
      </w:pPr>
      <w:r>
        <w:rPr>
          <w:rFonts w:ascii="Arial" w:cs="Arial" w:eastAsia="Arial" w:hAnsi="Arial"/>
          <w:b/>
          <w:bCs/>
          <w:color w:val="1F4E79"/>
          <w:sz w:val="30"/>
          <w:szCs w:val="30"/>
        </w:rPr>
        <w:t xml:space="preserve">8. Risk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400"/>
        <w:gridCol w:w="1400"/>
        <w:gridCol w:w="3526"/>
      </w:tblGrid>
      <w:tr>
        <w:tc>
          <w:tcPr>
            <w:tcW w:type="dxa" w:w="27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Risk</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Likelihood</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Impact</w:t>
            </w:r>
          </w:p>
        </w:tc>
        <w:tc>
          <w:tcPr>
            <w:tcW w:type="dxa" w:w="3526"/>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Mitigation</w:t>
            </w:r>
          </w:p>
        </w:tc>
      </w:tr>
      <w:tr>
        <w:tc>
          <w:tcPr>
            <w:tcW w:type="dxa" w:w="2700"/>
            <w:tcBorders>
              <w:top w:val="single" w:color="CCCCCC" w:sz="1"/>
              <w:left w:val="single" w:color="CCCCCC" w:sz="1"/>
              <w:bottom w:val="single" w:color="CCCCCC" w:sz="1"/>
              <w:right w:val="single" w:color="CCCCCC" w:sz="1"/>
            </w:tcBorders>
            <w:shd w:fill="EEF3F9" w:val="clear"/>
            <w:tcMar>
              <w:top w:type="dxa" w:w="80"/>
              <w:left w:type="dxa" w:w="140"/>
              <w:bottom w:type="dxa" w:w="80"/>
              <w:right w:type="dxa" w:w="140"/>
            </w:tcMar>
          </w:tcPr>
          <w:p>
            <w:r>
              <w:rPr>
                <w:rFonts w:ascii="Arial" w:cs="Arial" w:eastAsia="Arial" w:hAnsi="Arial"/>
                <w:b w:val="false"/>
                <w:bCs w:val="false"/>
                <w:color w:val="1A1A1A"/>
                <w:sz w:val="19"/>
                <w:szCs w:val="19"/>
              </w:rPr>
              <w:t xml:space="preserve">Vendors will not switch for software alone</w:t>
            </w:r>
          </w:p>
        </w:tc>
        <w:tc>
          <w:tcPr>
            <w:tcW w:type="dxa" w:w="1400"/>
            <w:tcBorders>
              <w:top w:val="single" w:color="CCCCCC" w:sz="1"/>
              <w:left w:val="single" w:color="CCCCCC" w:sz="1"/>
              <w:bottom w:val="single" w:color="CCCCCC" w:sz="1"/>
              <w:right w:val="single" w:color="CCCCCC" w:sz="1"/>
            </w:tcBorders>
            <w:shd w:fill="EEF3F9" w:val="clear"/>
            <w:tcMar>
              <w:top w:type="dxa" w:w="80"/>
              <w:left w:type="dxa" w:w="140"/>
              <w:bottom w:type="dxa" w:w="80"/>
              <w:right w:type="dxa" w:w="140"/>
            </w:tcMar>
          </w:tcPr>
          <w:p>
            <w:r>
              <w:rPr>
                <w:rFonts w:ascii="Arial" w:cs="Arial" w:eastAsia="Arial" w:hAnsi="Arial"/>
                <w:b w:val="false"/>
                <w:bCs w:val="false"/>
                <w:color w:val="1A1A1A"/>
                <w:sz w:val="19"/>
                <w:szCs w:val="19"/>
              </w:rPr>
              <w:t xml:space="preserve">Medium</w:t>
            </w:r>
          </w:p>
        </w:tc>
        <w:tc>
          <w:tcPr>
            <w:tcW w:type="dxa" w:w="1400"/>
            <w:tcBorders>
              <w:top w:val="single" w:color="CCCCCC" w:sz="1"/>
              <w:left w:val="single" w:color="CCCCCC" w:sz="1"/>
              <w:bottom w:val="single" w:color="CCCCCC" w:sz="1"/>
              <w:right w:val="single" w:color="CCCCCC" w:sz="1"/>
            </w:tcBorders>
            <w:shd w:fill="EEF3F9" w:val="clear"/>
            <w:tcMar>
              <w:top w:type="dxa" w:w="80"/>
              <w:left w:type="dxa" w:w="140"/>
              <w:bottom w:type="dxa" w:w="80"/>
              <w:right w:type="dxa" w:w="140"/>
            </w:tcMar>
          </w:tcPr>
          <w:p>
            <w:r>
              <w:rPr>
                <w:rFonts w:ascii="Arial" w:cs="Arial" w:eastAsia="Arial" w:hAnsi="Arial"/>
                <w:b w:val="false"/>
                <w:bCs w:val="false"/>
                <w:color w:val="1A1A1A"/>
                <w:sz w:val="19"/>
                <w:szCs w:val="19"/>
              </w:rPr>
              <w:t xml:space="preserve">High</w:t>
            </w:r>
          </w:p>
        </w:tc>
        <w:tc>
          <w:tcPr>
            <w:tcW w:type="dxa" w:w="3526"/>
            <w:tcBorders>
              <w:top w:val="single" w:color="CCCCCC" w:sz="1"/>
              <w:left w:val="single" w:color="CCCCCC" w:sz="1"/>
              <w:bottom w:val="single" w:color="CCCCCC" w:sz="1"/>
              <w:right w:val="single" w:color="CCCCCC" w:sz="1"/>
            </w:tcBorders>
            <w:shd w:fill="EEF3F9" w:val="clear"/>
            <w:tcMar>
              <w:top w:type="dxa" w:w="80"/>
              <w:left w:type="dxa" w:w="140"/>
              <w:bottom w:type="dxa" w:w="80"/>
              <w:right w:type="dxa" w:w="140"/>
            </w:tcMar>
          </w:tcPr>
          <w:p>
            <w:r>
              <w:rPr>
                <w:rFonts w:ascii="Arial" w:cs="Arial" w:eastAsia="Arial" w:hAnsi="Arial"/>
                <w:b w:val="false"/>
                <w:bCs w:val="false"/>
                <w:color w:val="1A1A1A"/>
                <w:sz w:val="19"/>
                <w:szCs w:val="19"/>
              </w:rPr>
              <w:t xml:space="preserve">Lead with marketplace jobs and GPS hardware; software travels in attached to both</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Build delay / scope creep into SaaS too early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Medium</w:t>
            </w:r>
          </w:p>
        </w:tc>
        <w:tc>
          <w:tcPr>
            <w:tcW w:type="dxa" w:w="3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Internal tool first; resist generic SaaS features until own ops are proven on it</w:t>
            </w:r>
          </w:p>
        </w:tc>
      </w:tr>
      <w:tr>
        <w:tc>
          <w:tcPr>
            <w:tcW w:type="dxa" w:w="2700"/>
            <w:tcBorders>
              <w:top w:val="single" w:color="CCCCCC" w:sz="1"/>
              <w:left w:val="single" w:color="CCCCCC" w:sz="1"/>
              <w:bottom w:val="single" w:color="CCCCCC" w:sz="1"/>
              <w:right w:val="single" w:color="CCCCCC" w:sz="1"/>
            </w:tcBorders>
            <w:shd w:fill="EEF3F9" w:val="clear"/>
            <w:tcMar>
              <w:top w:type="dxa" w:w="80"/>
              <w:left w:type="dxa" w:w="140"/>
              <w:bottom w:type="dxa" w:w="80"/>
              <w:right w:type="dxa" w:w="140"/>
            </w:tcMar>
          </w:tcPr>
          <w:p>
            <w:r>
              <w:rPr>
                <w:rFonts w:ascii="Arial" w:cs="Arial" w:eastAsia="Arial" w:hAnsi="Arial"/>
                <w:b w:val="false"/>
                <w:bCs w:val="false"/>
                <w:color w:val="1A1A1A"/>
                <w:sz w:val="19"/>
                <w:szCs w:val="19"/>
              </w:rPr>
              <w:t xml:space="preserve">Driver / vendor adoption resistance</w:t>
            </w:r>
          </w:p>
        </w:tc>
        <w:tc>
          <w:tcPr>
            <w:tcW w:type="dxa" w:w="1400"/>
            <w:tcBorders>
              <w:top w:val="single" w:color="CCCCCC" w:sz="1"/>
              <w:left w:val="single" w:color="CCCCCC" w:sz="1"/>
              <w:bottom w:val="single" w:color="CCCCCC" w:sz="1"/>
              <w:right w:val="single" w:color="CCCCCC" w:sz="1"/>
            </w:tcBorders>
            <w:shd w:fill="EEF3F9" w:val="clear"/>
            <w:tcMar>
              <w:top w:type="dxa" w:w="80"/>
              <w:left w:type="dxa" w:w="140"/>
              <w:bottom w:type="dxa" w:w="80"/>
              <w:right w:type="dxa" w:w="140"/>
            </w:tcMar>
          </w:tcPr>
          <w:p>
            <w:r>
              <w:rPr>
                <w:rFonts w:ascii="Arial" w:cs="Arial" w:eastAsia="Arial" w:hAnsi="Arial"/>
                <w:b w:val="false"/>
                <w:bCs w:val="false"/>
                <w:color w:val="1A1A1A"/>
                <w:sz w:val="19"/>
                <w:szCs w:val="19"/>
              </w:rPr>
              <w:t xml:space="preserve">Medium</w:t>
            </w:r>
          </w:p>
        </w:tc>
        <w:tc>
          <w:tcPr>
            <w:tcW w:type="dxa" w:w="1400"/>
            <w:tcBorders>
              <w:top w:val="single" w:color="CCCCCC" w:sz="1"/>
              <w:left w:val="single" w:color="CCCCCC" w:sz="1"/>
              <w:bottom w:val="single" w:color="CCCCCC" w:sz="1"/>
              <w:right w:val="single" w:color="CCCCCC" w:sz="1"/>
            </w:tcBorders>
            <w:shd w:fill="EEF3F9" w:val="clear"/>
            <w:tcMar>
              <w:top w:type="dxa" w:w="80"/>
              <w:left w:type="dxa" w:w="140"/>
              <w:bottom w:type="dxa" w:w="80"/>
              <w:right w:type="dxa" w:w="140"/>
            </w:tcMar>
          </w:tcPr>
          <w:p>
            <w:r>
              <w:rPr>
                <w:rFonts w:ascii="Arial" w:cs="Arial" w:eastAsia="Arial" w:hAnsi="Arial"/>
                <w:b w:val="false"/>
                <w:bCs w:val="false"/>
                <w:color w:val="1A1A1A"/>
                <w:sz w:val="19"/>
                <w:szCs w:val="19"/>
              </w:rPr>
              <w:t xml:space="preserve">Medium</w:t>
            </w:r>
          </w:p>
        </w:tc>
        <w:tc>
          <w:tcPr>
            <w:tcW w:type="dxa" w:w="3526"/>
            <w:tcBorders>
              <w:top w:val="single" w:color="CCCCCC" w:sz="1"/>
              <w:left w:val="single" w:color="CCCCCC" w:sz="1"/>
              <w:bottom w:val="single" w:color="CCCCCC" w:sz="1"/>
              <w:right w:val="single" w:color="CCCCCC" w:sz="1"/>
            </w:tcBorders>
            <w:shd w:fill="EEF3F9" w:val="clear"/>
            <w:tcMar>
              <w:top w:type="dxa" w:w="80"/>
              <w:left w:type="dxa" w:w="140"/>
              <w:bottom w:type="dxa" w:w="80"/>
              <w:right w:type="dxa" w:w="140"/>
            </w:tcMar>
          </w:tcPr>
          <w:p>
            <w:r>
              <w:rPr>
                <w:rFonts w:ascii="Arial" w:cs="Arial" w:eastAsia="Arial" w:hAnsi="Arial"/>
                <w:b w:val="false"/>
                <w:bCs w:val="false"/>
                <w:color w:val="1A1A1A"/>
                <w:sz w:val="19"/>
                <w:szCs w:val="19"/>
              </w:rPr>
              <w:t xml:space="preserve">Make using the app the way to receive Kasper jobs; adoption follows the work</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Larger competitor targets construction transport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High</w:t>
            </w:r>
          </w:p>
        </w:tc>
        <w:tc>
          <w:tcPr>
            <w:tcW w:type="dxa" w:w="3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Two-year head start, existing relationships, GPS switching cost, construction-specific workflow</w:t>
            </w:r>
          </w:p>
        </w:tc>
      </w:tr>
      <w:tr>
        <w:tc>
          <w:tcPr>
            <w:tcW w:type="dxa" w:w="2700"/>
            <w:tcBorders>
              <w:top w:val="single" w:color="CCCCCC" w:sz="1"/>
              <w:left w:val="single" w:color="CCCCCC" w:sz="1"/>
              <w:bottom w:val="single" w:color="CCCCCC" w:sz="1"/>
              <w:right w:val="single" w:color="CCCCCC" w:sz="1"/>
            </w:tcBorders>
            <w:shd w:fill="EEF3F9" w:val="clear"/>
            <w:tcMar>
              <w:top w:type="dxa" w:w="80"/>
              <w:left w:type="dxa" w:w="140"/>
              <w:bottom w:type="dxa" w:w="80"/>
              <w:right w:type="dxa" w:w="140"/>
            </w:tcMar>
          </w:tcPr>
          <w:p>
            <w:r>
              <w:rPr>
                <w:rFonts w:ascii="Arial" w:cs="Arial" w:eastAsia="Arial" w:hAnsi="Arial"/>
                <w:b w:val="false"/>
                <w:bCs w:val="false"/>
                <w:color w:val="1A1A1A"/>
                <w:sz w:val="19"/>
                <w:szCs w:val="19"/>
              </w:rPr>
              <w:t xml:space="preserve">Cash flow gap on faster scaling</w:t>
            </w:r>
          </w:p>
        </w:tc>
        <w:tc>
          <w:tcPr>
            <w:tcW w:type="dxa" w:w="1400"/>
            <w:tcBorders>
              <w:top w:val="single" w:color="CCCCCC" w:sz="1"/>
              <w:left w:val="single" w:color="CCCCCC" w:sz="1"/>
              <w:bottom w:val="single" w:color="CCCCCC" w:sz="1"/>
              <w:right w:val="single" w:color="CCCCCC" w:sz="1"/>
            </w:tcBorders>
            <w:shd w:fill="EEF3F9" w:val="clear"/>
            <w:tcMar>
              <w:top w:type="dxa" w:w="80"/>
              <w:left w:type="dxa" w:w="140"/>
              <w:bottom w:type="dxa" w:w="80"/>
              <w:right w:type="dxa" w:w="140"/>
            </w:tcMar>
          </w:tcPr>
          <w:p>
            <w:r>
              <w:rPr>
                <w:rFonts w:ascii="Arial" w:cs="Arial" w:eastAsia="Arial" w:hAnsi="Arial"/>
                <w:b w:val="false"/>
                <w:bCs w:val="false"/>
                <w:color w:val="1A1A1A"/>
                <w:sz w:val="19"/>
                <w:szCs w:val="19"/>
              </w:rPr>
              <w:t xml:space="preserve">Low–Med</w:t>
            </w:r>
          </w:p>
        </w:tc>
        <w:tc>
          <w:tcPr>
            <w:tcW w:type="dxa" w:w="1400"/>
            <w:tcBorders>
              <w:top w:val="single" w:color="CCCCCC" w:sz="1"/>
              <w:left w:val="single" w:color="CCCCCC" w:sz="1"/>
              <w:bottom w:val="single" w:color="CCCCCC" w:sz="1"/>
              <w:right w:val="single" w:color="CCCCCC" w:sz="1"/>
            </w:tcBorders>
            <w:shd w:fill="EEF3F9" w:val="clear"/>
            <w:tcMar>
              <w:top w:type="dxa" w:w="80"/>
              <w:left w:type="dxa" w:w="140"/>
              <w:bottom w:type="dxa" w:w="80"/>
              <w:right w:type="dxa" w:w="140"/>
            </w:tcMar>
          </w:tcPr>
          <w:p>
            <w:r>
              <w:rPr>
                <w:rFonts w:ascii="Arial" w:cs="Arial" w:eastAsia="Arial" w:hAnsi="Arial"/>
                <w:b w:val="false"/>
                <w:bCs w:val="false"/>
                <w:color w:val="1A1A1A"/>
                <w:sz w:val="19"/>
                <w:szCs w:val="19"/>
              </w:rPr>
              <w:t xml:space="preserve">Medium</w:t>
            </w:r>
          </w:p>
        </w:tc>
        <w:tc>
          <w:tcPr>
            <w:tcW w:type="dxa" w:w="3526"/>
            <w:tcBorders>
              <w:top w:val="single" w:color="CCCCCC" w:sz="1"/>
              <w:left w:val="single" w:color="CCCCCC" w:sz="1"/>
              <w:bottom w:val="single" w:color="CCCCCC" w:sz="1"/>
              <w:right w:val="single" w:color="CCCCCC" w:sz="1"/>
            </w:tcBorders>
            <w:shd w:fill="EEF3F9" w:val="clear"/>
            <w:tcMar>
              <w:top w:type="dxa" w:w="80"/>
              <w:left w:type="dxa" w:w="140"/>
              <w:bottom w:type="dxa" w:w="80"/>
              <w:right w:type="dxa" w:w="140"/>
            </w:tcMar>
          </w:tcPr>
          <w:p>
            <w:r>
              <w:rPr>
                <w:rFonts w:ascii="Arial" w:cs="Arial" w:eastAsia="Arial" w:hAnsi="Arial"/>
                <w:b w:val="false"/>
                <w:bCs w:val="false"/>
                <w:color w:val="1A1A1A"/>
                <w:sz w:val="19"/>
                <w:szCs w:val="19"/>
              </w:rPr>
              <w:t xml:space="preserve">Proven 2-year structure; faster invoicing via ePOD; factoring (debt) if needed, not equity</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Key-person dependence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High</w:t>
            </w:r>
          </w:p>
        </w:tc>
        <w:tc>
          <w:tcPr>
            <w:tcW w:type="dxa" w:w="3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Designate a dedicated operations lead; separate operations and product roles</w:t>
            </w:r>
          </w:p>
        </w:tc>
      </w:tr>
      <w:tr>
        <w:tc>
          <w:tcPr>
            <w:tcW w:type="dxa" w:w="2700"/>
            <w:tcBorders>
              <w:top w:val="single" w:color="CCCCCC" w:sz="1"/>
              <w:left w:val="single" w:color="CCCCCC" w:sz="1"/>
              <w:bottom w:val="single" w:color="CCCCCC" w:sz="1"/>
              <w:right w:val="single" w:color="CCCCCC" w:sz="1"/>
            </w:tcBorders>
            <w:shd w:fill="EEF3F9" w:val="clear"/>
            <w:tcMar>
              <w:top w:type="dxa" w:w="80"/>
              <w:left w:type="dxa" w:w="140"/>
              <w:bottom w:type="dxa" w:w="80"/>
              <w:right w:type="dxa" w:w="140"/>
            </w:tcMar>
          </w:tcPr>
          <w:p>
            <w:r>
              <w:rPr>
                <w:rFonts w:ascii="Arial" w:cs="Arial" w:eastAsia="Arial" w:hAnsi="Arial"/>
                <w:b w:val="false"/>
                <w:bCs w:val="false"/>
                <w:color w:val="1A1A1A"/>
                <w:sz w:val="19"/>
                <w:szCs w:val="19"/>
              </w:rPr>
              <w:t xml:space="preserve">Operating without measured data</w:t>
            </w:r>
          </w:p>
        </w:tc>
        <w:tc>
          <w:tcPr>
            <w:tcW w:type="dxa" w:w="1400"/>
            <w:tcBorders>
              <w:top w:val="single" w:color="CCCCCC" w:sz="1"/>
              <w:left w:val="single" w:color="CCCCCC" w:sz="1"/>
              <w:bottom w:val="single" w:color="CCCCCC" w:sz="1"/>
              <w:right w:val="single" w:color="CCCCCC" w:sz="1"/>
            </w:tcBorders>
            <w:shd w:fill="EEF3F9" w:val="clear"/>
            <w:tcMar>
              <w:top w:type="dxa" w:w="80"/>
              <w:left w:type="dxa" w:w="140"/>
              <w:bottom w:type="dxa" w:w="80"/>
              <w:right w:type="dxa" w:w="140"/>
            </w:tcMar>
          </w:tcPr>
          <w:p>
            <w:r>
              <w:rPr>
                <w:rFonts w:ascii="Arial" w:cs="Arial" w:eastAsia="Arial" w:hAnsi="Arial"/>
                <w:b w:val="false"/>
                <w:bCs w:val="false"/>
                <w:color w:val="1A1A1A"/>
                <w:sz w:val="19"/>
                <w:szCs w:val="19"/>
              </w:rPr>
              <w:t xml:space="preserve">High</w:t>
            </w:r>
          </w:p>
        </w:tc>
        <w:tc>
          <w:tcPr>
            <w:tcW w:type="dxa" w:w="1400"/>
            <w:tcBorders>
              <w:top w:val="single" w:color="CCCCCC" w:sz="1"/>
              <w:left w:val="single" w:color="CCCCCC" w:sz="1"/>
              <w:bottom w:val="single" w:color="CCCCCC" w:sz="1"/>
              <w:right w:val="single" w:color="CCCCCC" w:sz="1"/>
            </w:tcBorders>
            <w:shd w:fill="EEF3F9" w:val="clear"/>
            <w:tcMar>
              <w:top w:type="dxa" w:w="80"/>
              <w:left w:type="dxa" w:w="140"/>
              <w:bottom w:type="dxa" w:w="80"/>
              <w:right w:type="dxa" w:w="140"/>
            </w:tcMar>
          </w:tcPr>
          <w:p>
            <w:r>
              <w:rPr>
                <w:rFonts w:ascii="Arial" w:cs="Arial" w:eastAsia="Arial" w:hAnsi="Arial"/>
                <w:b w:val="false"/>
                <w:bCs w:val="false"/>
                <w:color w:val="1A1A1A"/>
                <w:sz w:val="19"/>
                <w:szCs w:val="19"/>
              </w:rPr>
              <w:t xml:space="preserve">High</w:t>
            </w:r>
          </w:p>
        </w:tc>
        <w:tc>
          <w:tcPr>
            <w:tcW w:type="dxa" w:w="3526"/>
            <w:tcBorders>
              <w:top w:val="single" w:color="CCCCCC" w:sz="1"/>
              <w:left w:val="single" w:color="CCCCCC" w:sz="1"/>
              <w:bottom w:val="single" w:color="CCCCCC" w:sz="1"/>
              <w:right w:val="single" w:color="CCCCCC" w:sz="1"/>
            </w:tcBorders>
            <w:shd w:fill="EEF3F9" w:val="clear"/>
            <w:tcMar>
              <w:top w:type="dxa" w:w="80"/>
              <w:left w:type="dxa" w:w="140"/>
              <w:bottom w:type="dxa" w:w="80"/>
              <w:right w:type="dxa" w:w="140"/>
            </w:tcMar>
          </w:tcPr>
          <w:p>
            <w:r>
              <w:rPr>
                <w:rFonts w:ascii="Arial" w:cs="Arial" w:eastAsia="Arial" w:hAnsi="Arial"/>
                <w:b w:val="false"/>
                <w:bCs w:val="false"/>
                <w:color w:val="1A1A1A"/>
                <w:sz w:val="19"/>
                <w:szCs w:val="19"/>
              </w:rPr>
              <w:t xml:space="preserve">Instrument the platform from day one; the business cannot be scaled or raised on unmeasured numbers</w:t>
            </w:r>
          </w:p>
        </w:tc>
      </w:tr>
    </w:tbl>
    <w:p>
      <w:r>
        <w:br w:type="page"/>
      </w:r>
    </w:p>
    <w:p>
      <w:pPr>
        <w:pStyle w:val="Heading1"/>
        <w:spacing w:after="160" w:before="360"/>
      </w:pPr>
      <w:r>
        <w:rPr>
          <w:rFonts w:ascii="Arial" w:cs="Arial" w:eastAsia="Arial" w:hAnsi="Arial"/>
          <w:b/>
          <w:bCs/>
          <w:color w:val="1F4E79"/>
          <w:sz w:val="30"/>
          <w:szCs w:val="30"/>
        </w:rPr>
        <w:t xml:space="preserve">9. Recommendation &amp;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1"/>
              <w:left w:val="single" w:color="2E7D32" w:sz="18"/>
              <w:bottom w:val="single" w:color="2E7D32" w:sz="1"/>
              <w:right w:val="single" w:color="2E7D32" w:sz="1"/>
            </w:tcBorders>
            <w:shd w:fill="F5F5F5" w:val="clear"/>
            <w:tcMar>
              <w:top w:type="dxa" w:w="140"/>
              <w:left w:type="dxa" w:w="200"/>
              <w:bottom w:type="dxa" w:w="140"/>
              <w:right w:type="dxa" w:w="160"/>
            </w:tcMar>
          </w:tcPr>
          <w:p>
            <w:pPr>
              <w:spacing w:after="80" w:before="0"/>
            </w:pPr>
            <w:r>
              <w:rPr>
                <w:rFonts w:ascii="Arial" w:cs="Arial" w:eastAsia="Arial" w:hAnsi="Arial"/>
                <w:b/>
                <w:bCs/>
                <w:color w:val="2E7D32"/>
                <w:sz w:val="22"/>
                <w:szCs w:val="22"/>
              </w:rPr>
              <w:t xml:space="preserve">Verdict: GO</w:t>
            </w:r>
          </w:p>
          <w:p>
            <w:pPr>
              <w:spacing w:after="0" w:before="0"/>
            </w:pPr>
            <w:r>
              <w:rPr>
                <w:rFonts w:ascii="Arial" w:cs="Arial" w:eastAsia="Arial" w:hAnsi="Arial"/>
                <w:color w:val="1A1A1A"/>
                <w:sz w:val="21"/>
                <w:szCs w:val="21"/>
              </w:rPr>
              <w:t xml:space="preserve">Building the internal operations platform is clearly worth it. The payback is direct and near-term — it removes the manual ceiling that caps Kasper at ~45 trips per month and lets the existing team handle materially more. The GPS / telematics layer is a sound recurring-revenue add-on. The vendor SaaS is a credible Year 2+ extension once the system is proven on Kasper’s own operations.</w:t>
            </w:r>
          </w:p>
        </w:tc>
      </w:tr>
    </w:tbl>
    <w:p>
      <w:pPr>
        <w:spacing w:after="0" w:before="80"/>
      </w:pPr>
      <w:r>
        <w:t xml:space="preserve"/>
      </w:r>
    </w:p>
    <w:p>
      <w:pPr>
        <w:spacing w:after="80" w:before="80"/>
      </w:pPr>
      <w:r>
        <w:rPr>
          <w:rFonts w:ascii="Arial" w:cs="Arial" w:eastAsia="Arial" w:hAnsi="Arial"/>
          <w:b/>
          <w:bCs/>
          <w:color w:val="1A1A1A"/>
          <w:sz w:val="22"/>
          <w:szCs w:val="22"/>
        </w:rPr>
        <w:t xml:space="preserve">Recommended sequence:</w:t>
      </w:r>
    </w:p>
    <w:p>
      <w:pPr>
        <w:pStyle w:val="ListParagraph"/>
        <w:numPr>
          <w:ilvl w:val="0"/>
          <w:numId w:val="3"/>
        </w:numPr>
        <w:spacing w:after="60" w:before="60"/>
      </w:pPr>
      <w:r>
        <w:rPr>
          <w:rFonts w:ascii="Arial" w:cs="Arial" w:eastAsia="Arial" w:hAnsi="Arial"/>
          <w:color w:val="1A1A1A"/>
          <w:sz w:val="22"/>
          <w:szCs w:val="22"/>
        </w:rPr>
        <w:t xml:space="preserve">Build the internal operations platform (Weeks 1–6). Quoting, dispatch, driver app, tracking, ePOD, automated invoicing.</w:t>
      </w:r>
    </w:p>
    <w:p>
      <w:pPr>
        <w:pStyle w:val="ListParagraph"/>
        <w:numPr>
          <w:ilvl w:val="0"/>
          <w:numId w:val="3"/>
        </w:numPr>
        <w:spacing w:after="60" w:before="60"/>
      </w:pPr>
      <w:r>
        <w:rPr>
          <w:rFonts w:ascii="Arial" w:cs="Arial" w:eastAsia="Arial" w:hAnsi="Arial"/>
          <w:color w:val="1A1A1A"/>
          <w:sz w:val="22"/>
          <w:szCs w:val="22"/>
        </w:rPr>
        <w:t xml:space="preserve">Run Kasper’s own operations on it for 3–6 months. Measure the real throughput gain, capture trip / value / margin data, fix what breaks.</w:t>
      </w:r>
    </w:p>
    <w:p>
      <w:pPr>
        <w:pStyle w:val="ListParagraph"/>
        <w:numPr>
          <w:ilvl w:val="0"/>
          <w:numId w:val="3"/>
        </w:numPr>
        <w:spacing w:after="60" w:before="60"/>
      </w:pPr>
      <w:r>
        <w:rPr>
          <w:rFonts w:ascii="Arial" w:cs="Arial" w:eastAsia="Arial" w:hAnsi="Arial"/>
          <w:color w:val="1A1A1A"/>
          <w:sz w:val="22"/>
          <w:szCs w:val="22"/>
        </w:rPr>
        <w:t xml:space="preserve">Layer in GPS / telematics. Run the Teltonika hardware POC (3–4 devices on vendor trailers and excavators), then convert to a paid lease.</w:t>
      </w:r>
    </w:p>
    <w:p>
      <w:pPr>
        <w:pStyle w:val="ListParagraph"/>
        <w:numPr>
          <w:ilvl w:val="0"/>
          <w:numId w:val="3"/>
        </w:numPr>
        <w:spacing w:after="60" w:before="60"/>
      </w:pPr>
      <w:r>
        <w:rPr>
          <w:rFonts w:ascii="Arial" w:cs="Arial" w:eastAsia="Arial" w:hAnsi="Arial"/>
          <w:color w:val="1A1A1A"/>
          <w:sz w:val="22"/>
          <w:szCs w:val="22"/>
        </w:rPr>
        <w:t xml:space="preserve">Only then decide on the vendor SaaS. With Kasper’s own operations proven on the platform and real data in hand, assess which parts generalise and price a premium tier.</w:t>
      </w:r>
    </w:p>
    <w:p>
      <w:pPr>
        <w:spacing w:after="0" w:before="80"/>
      </w:pPr>
      <w:r>
        <w:t xml:space="preserve"/>
      </w:r>
    </w:p>
    <w:p>
      <w:pPr>
        <w:spacing w:after="80" w:before="80"/>
      </w:pPr>
      <w:r>
        <w:rPr>
          <w:rFonts w:ascii="Arial" w:cs="Arial" w:eastAsia="Arial" w:hAnsi="Arial"/>
          <w:b/>
          <w:bCs/>
          <w:color w:val="1A1A1A"/>
          <w:sz w:val="22"/>
          <w:szCs w:val="22"/>
        </w:rPr>
        <w:t xml:space="preserve">What this study deliberately does not do: it does not promise multi-million-dirham Year 1 revenue, an owned fleet, or three independent business lines. Those claims weaken credibility. The real Kasper — a two-year operating brokerage digitising itself and arming its vendor network — is a lower-risk and more fundable business than the greenfield story in the earlier draft. It should be presented as exactly that.</w:t>
      </w:r>
    </w:p>
    <w:p>
      <w:pPr>
        <w:spacing w:after="0" w:before="80"/>
      </w:pPr>
      <w:r>
        <w:t xml:space="preserve"/>
      </w:r>
    </w:p>
    <w:p>
      <w:pPr>
        <w:pStyle w:val="Heading2"/>
        <w:spacing w:after="120" w:before="240"/>
      </w:pPr>
      <w:r>
        <w:rPr>
          <w:rFonts w:ascii="Arial" w:cs="Arial" w:eastAsia="Arial" w:hAnsi="Arial"/>
          <w:b/>
          <w:bCs/>
          <w:color w:val="2E75B6"/>
          <w:sz w:val="24"/>
          <w:szCs w:val="24"/>
        </w:rPr>
        <w:t xml:space="preserve">Open items to confirm before this study is final</w:t>
      </w:r>
    </w:p>
    <w:p>
      <w:pPr>
        <w:pStyle w:val="ListParagraph"/>
        <w:numPr>
          <w:ilvl w:val="0"/>
          <w:numId w:val="2"/>
        </w:numPr>
        <w:spacing w:after="60" w:before="60"/>
      </w:pPr>
      <w:r>
        <w:rPr>
          <w:rFonts w:ascii="Arial" w:cs="Arial" w:eastAsia="Arial" w:hAnsi="Arial"/>
          <w:b w:val="false"/>
          <w:bCs w:val="false"/>
          <w:color w:val="1A1A1A"/>
          <w:sz w:val="22"/>
          <w:szCs w:val="22"/>
        </w:rPr>
        <w:t xml:space="preserve">Measured throughput gain from the platform — to replace the illustrative figures in Section 5.2.</w:t>
      </w:r>
    </w:p>
    <w:p>
      <w:pPr>
        <w:pStyle w:val="ListParagraph"/>
        <w:numPr>
          <w:ilvl w:val="0"/>
          <w:numId w:val="2"/>
        </w:numPr>
        <w:spacing w:after="60" w:before="60"/>
      </w:pPr>
      <w:r>
        <w:rPr>
          <w:rFonts w:ascii="Arial" w:cs="Arial" w:eastAsia="Arial" w:hAnsi="Arial"/>
          <w:b w:val="false"/>
          <w:bCs w:val="false"/>
          <w:color w:val="1A1A1A"/>
          <w:sz w:val="22"/>
          <w:szCs w:val="22"/>
        </w:rPr>
        <w:t xml:space="preserve">Capital requirement — a bottom-up cost for the build, the operations lead, and a modest buffer (the earlier AED 1.2M figure was tied to the discarded fleet model and should be re-derived).</w:t>
      </w:r>
    </w:p>
    <w:p>
      <w:pPr>
        <w:pStyle w:val="ListParagraph"/>
        <w:numPr>
          <w:ilvl w:val="0"/>
          <w:numId w:val="2"/>
        </w:numPr>
        <w:spacing w:after="60" w:before="60"/>
      </w:pPr>
      <w:r>
        <w:rPr>
          <w:rFonts w:ascii="Arial" w:cs="Arial" w:eastAsia="Arial" w:hAnsi="Arial"/>
          <w:b w:val="false"/>
          <w:bCs w:val="false"/>
          <w:color w:val="1A1A1A"/>
          <w:sz w:val="22"/>
          <w:szCs w:val="22"/>
        </w:rPr>
        <w:t xml:space="preserve">Vendor SaaS pricing and the specific premium-tier features — to be decided after the 3–6 month internal run.</w:t>
      </w:r>
    </w:p>
    <w:p>
      <w:pPr>
        <w:pStyle w:val="ListParagraph"/>
        <w:numPr>
          <w:ilvl w:val="0"/>
          <w:numId w:val="2"/>
        </w:numPr>
        <w:spacing w:after="60" w:before="60"/>
      </w:pPr>
      <w:r>
        <w:rPr>
          <w:rFonts w:ascii="Arial" w:cs="Arial" w:eastAsia="Arial" w:hAnsi="Arial"/>
          <w:b w:val="false"/>
          <w:bCs w:val="false"/>
          <w:color w:val="1A1A1A"/>
          <w:sz w:val="22"/>
          <w:szCs w:val="22"/>
        </w:rPr>
        <w:t xml:space="preserve">Anchor client commitments — confirmed volume from existing clients strengthens the case materially.</w:t>
      </w:r>
    </w:p>
    <w:p>
      <w:pPr>
        <w:pBdr>
          <w:bottom w:val="single" w:color="2E75B6" w:sz="4" w:space="1"/>
        </w:pBdr>
        <w:spacing w:after="160" w:before="160"/>
      </w:pPr>
      <w:r>
        <w:t xml:space="preserve"/>
      </w:r>
    </w:p>
    <w:p>
      <w:pPr>
        <w:spacing w:after="40" w:before="100"/>
      </w:pPr>
      <w:r>
        <w:rPr>
          <w:rFonts w:ascii="Arial" w:cs="Arial" w:eastAsia="Arial" w:hAnsi="Arial"/>
          <w:color w:val="888888"/>
          <w:sz w:val="18"/>
          <w:szCs w:val="18"/>
        </w:rPr>
        <w:t xml:space="preserve">Kasper Technologies FZ-LLC  ·  in5 / TECOM Group, Dubai  ·  May 2026  ·  Confidential</w:t>
      </w:r>
    </w:p>
    <w:p>
      <w:pPr>
        <w:spacing w:after="0" w:before="0"/>
      </w:pPr>
      <w:r>
        <w:rPr>
          <w:rFonts w:ascii="Arial" w:cs="Arial" w:eastAsia="Arial" w:hAnsi="Arial"/>
          <w:i/>
          <w:iCs/>
          <w:color w:val="888888"/>
          <w:sz w:val="18"/>
          <w:szCs w:val="18"/>
        </w:rPr>
        <w:t xml:space="preserve">Prepared for internal decision-making and investor discussion. Figures marked illustrative are to be replaced with measured data.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2026-05-23T08:56:52.402Z</dcterms:created>
  <dcterms:modified xsi:type="dcterms:W3CDTF">2026-05-23T08:56:52.413Z</dcterms:modified>
</cp:coreProperties>
</file>

<file path=docProps/custom.xml><?xml version="1.0" encoding="utf-8"?>
<Properties xmlns="http://schemas.openxmlformats.org/officeDocument/2006/custom-properties" xmlns:vt="http://schemas.openxmlformats.org/officeDocument/2006/docPropsVTypes"/>
</file>