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Arial" w:cs="Arial" w:eastAsia="Arial" w:hAnsi="Arial"/>
          <w:b/>
          <w:bCs/>
          <w:color w:val="002060"/>
          <w:sz w:val="52"/>
          <w:szCs w:val="52"/>
        </w:rPr>
        <w:t xml:space="preserve">Reality Check &amp; Tech Stack</w:t>
      </w:r>
    </w:p>
    <w:p>
      <w:pPr>
        <w:spacing w:after="120" w:before="0"/>
        <w:jc w:val="center"/>
      </w:pPr>
      <w:r>
        <w:rPr>
          <w:rFonts w:ascii="Arial" w:cs="Arial" w:eastAsia="Arial" w:hAnsi="Arial"/>
          <w:color w:val="1F4E79"/>
          <w:sz w:val="28"/>
          <w:szCs w:val="28"/>
        </w:rPr>
        <w:t xml:space="preserve">Hard Problems, Mitigations &amp; Recommended Technology by Phase</w:t>
      </w:r>
    </w:p>
    <w:p>
      <w:pPr>
        <w:spacing w:after="80" w:before="60"/>
      </w:pPr>
      <w:r>
        <w:rPr>
          <w:rFonts w:ascii="Arial" w:cs="Arial" w:eastAsia="Arial" w:hAnsi="Arial"/>
          <w:b w:val="false"/>
          <w:bCs w:val="false"/>
          <w:color w:val="666666"/>
          <w:sz w:val="20"/>
          <w:szCs w:val="20"/>
        </w:rPr>
        <w:t xml:space="preserve">Kasper Engineering Briefing  |  Section 4 of 5  |  April 2026  |  CONFIDENTIAL</w:t>
      </w:r>
    </w:p>
    <w:p>
      <w:pPr>
        <w:pBdr>
          <w:bottom w:val="single" w:color="1F4E79" w:sz="8" w:space="1"/>
        </w:pBdr>
        <w:spacing w:after="120" w:before="120"/>
      </w:pPr>
      <w:r>
        <w:t xml:space="preserve"/>
      </w:r>
    </w:p>
    <w:p>
      <w:pPr>
        <w:spacing w:after="80" w:before="60"/>
      </w:pPr>
      <w:r>
        <w:rPr>
          <w:rFonts w:ascii="Arial" w:cs="Arial" w:eastAsia="Arial" w:hAnsi="Arial"/>
          <w:b w:val="false"/>
          <w:bCs w:val="false"/>
          <w:color w:val="000000"/>
          <w:sz w:val="20"/>
          <w:szCs w:val="20"/>
        </w:rPr>
        <w:t xml:space="preserve">Building the dashboard is the straightforward part. The hidden complexity in telematics lives at the hardware, data, and physical installation layers. This section is a candid briefing for your tech lead on what will actually cause delays.</w:t>
      </w:r>
    </w:p>
    <w:p>
      <w:pPr>
        <w:spacing w:after="60" w:before="60"/>
      </w:pPr>
      <w:r>
        <w:t xml:space="preserve"/>
      </w:r>
    </w:p>
    <w:p>
      <w:pPr>
        <w:pStyle w:val="Heading1"/>
        <w:spacing w:after="160" w:before="320"/>
      </w:pPr>
      <w:r>
        <w:rPr>
          <w:rFonts w:ascii="Arial" w:cs="Arial" w:eastAsia="Arial" w:hAnsi="Arial"/>
          <w:b/>
          <w:bCs/>
          <w:color w:val="002060"/>
          <w:sz w:val="32"/>
          <w:szCs w:val="32"/>
        </w:rPr>
        <w:t xml:space="preserve">Section 4 — Where the Hard Problems Live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880"/>
      </w:tblGrid>
      <w:tr>
        <w:trPr>
          <w:tblHeader/>
        </w:trPr>
        <w:tc>
          <w:tcPr>
            <w:tcW w:type="dxa" w:w="2200"/>
            <w:tcBorders>
              <w:top w:val="single" w:color="AAAAAA" w:sz="1"/>
              <w:left w:val="single" w:color="AAAAAA" w:sz="1"/>
              <w:bottom w:val="single" w:color="AAAAAA" w:sz="1"/>
              <w:right w:val="single" w:color="AAAAAA" w:sz="1"/>
            </w:tcBorders>
            <w:shd w:fill="002060" w:val="clear"/>
            <w:tcMar>
              <w:top w:type="dxa" w:w="80"/>
              <w:left w:type="dxa" w:w="100"/>
              <w:bottom w:type="dxa" w:w="80"/>
              <w:right w:type="dxa" w:w="100"/>
            </w:tcMar>
          </w:tcPr>
          <w:p>
            <w:r>
              <w:rPr>
                <w:rFonts w:ascii="Arial" w:cs="Arial" w:eastAsia="Arial" w:hAnsi="Arial"/>
                <w:b/>
                <w:bCs/>
                <w:color w:val="FFFFFF"/>
                <w:sz w:val="18"/>
                <w:szCs w:val="18"/>
              </w:rPr>
              <w:t xml:space="preserve">Challenge</w:t>
            </w:r>
          </w:p>
        </w:tc>
        <w:tc>
          <w:tcPr>
            <w:tcW w:type="dxa" w:w="4000"/>
            <w:tcBorders>
              <w:top w:val="single" w:color="AAAAAA" w:sz="1"/>
              <w:left w:val="single" w:color="AAAAAA" w:sz="1"/>
              <w:bottom w:val="single" w:color="AAAAAA" w:sz="1"/>
              <w:right w:val="single" w:color="AAAAAA" w:sz="1"/>
            </w:tcBorders>
            <w:shd w:fill="002060" w:val="clear"/>
            <w:tcMar>
              <w:top w:type="dxa" w:w="80"/>
              <w:left w:type="dxa" w:w="100"/>
              <w:bottom w:type="dxa" w:w="80"/>
              <w:right w:type="dxa" w:w="100"/>
            </w:tcMar>
          </w:tcPr>
          <w:p>
            <w:r>
              <w:rPr>
                <w:rFonts w:ascii="Arial" w:cs="Arial" w:eastAsia="Arial" w:hAnsi="Arial"/>
                <w:b/>
                <w:bCs/>
                <w:color w:val="FFFFFF"/>
                <w:sz w:val="18"/>
                <w:szCs w:val="18"/>
              </w:rPr>
              <w:t xml:space="preserve">Why It's Hard</w:t>
            </w:r>
          </w:p>
        </w:tc>
        <w:tc>
          <w:tcPr>
            <w:tcW w:type="dxa" w:w="3880"/>
            <w:tcBorders>
              <w:top w:val="single" w:color="AAAAAA" w:sz="1"/>
              <w:left w:val="single" w:color="AAAAAA" w:sz="1"/>
              <w:bottom w:val="single" w:color="AAAAAA" w:sz="1"/>
              <w:right w:val="single" w:color="AAAAAA" w:sz="1"/>
            </w:tcBorders>
            <w:shd w:fill="002060" w:val="clear"/>
            <w:tcMar>
              <w:top w:type="dxa" w:w="80"/>
              <w:left w:type="dxa" w:w="100"/>
              <w:bottom w:type="dxa" w:w="80"/>
              <w:right w:type="dxa" w:w="100"/>
            </w:tcMar>
          </w:tcPr>
          <w:p>
            <w:r>
              <w:rPr>
                <w:rFonts w:ascii="Arial" w:cs="Arial" w:eastAsia="Arial" w:hAnsi="Arial"/>
                <w:b/>
                <w:bCs/>
                <w:color w:val="FFFFFF"/>
                <w:sz w:val="18"/>
                <w:szCs w:val="18"/>
              </w:rPr>
              <w:t xml:space="preserve">Mitigation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1. Hardware Installation on Heavy Equipment</w:t>
            </w:r>
          </w:p>
        </w:tc>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Hardwiring an FMC130 into the CAN bus of a Caterpillar 320 is NOT like plugging in an OBD dongle. It requires a licensed auto-electrician or heavy equipment technician. Incorrect wiring can trigger ECU faults or void OEM warranty. In UAE, this service costs AED 500–1,500 per machine. This is your operational bottleneck, not your software.</w:t>
            </w:r>
          </w:p>
        </w:tc>
        <w:tc>
          <w:tcPr>
            <w:tcW w:type="dxa" w:w="3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Partner with 1–2 dedicated auto-electricians specialising in heavy equipment. Start with machines that have accessible FMS connectors. Use CAN adapters (not bare wire splicing) wherever possible.</w:t>
            </w:r>
          </w:p>
        </w:tc>
      </w:tr>
      <w:tr>
        <w:tc>
          <w:tcPr>
            <w:tcW w:type="dxa" w:w="2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2. Parsing the Codec 8 Protocol</w:t>
            </w:r>
          </w:p>
        </w:tc>
        <w:tc>
          <w:tcPr>
            <w:tcW w:type="dxa" w:w="4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Writing a flawless Codec 8 / 8 Extended binary parser from scratch requires careful reading of Teltonika protocol documentation and significant test coverage. One byte offset error corrupts all data silently.</w:t>
            </w:r>
          </w:p>
        </w:tc>
        <w:tc>
          <w:tcPr>
            <w:tcW w:type="dxa" w:w="38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Use an existing open-source parser (GitHub: 'teltonika-codec8-parser'). Or deploy Traccar which parses natively. Only build custom if Traccar proves insufficient at scale.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3. CAN Mapping Differences by Brand</w:t>
            </w:r>
          </w:p>
        </w:tc>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While J1939 is a standard, each OEM (Caterpillar, Komatsu, JCB, XCMG, Liugong) uses proprietary extended parameter mappings on top of the standard. Fuel level may appear on a different SPN for a Komatsu vs a CAT. You will need to test each brand separately.</w:t>
            </w:r>
          </w:p>
        </w:tc>
        <w:tc>
          <w:tcPr>
            <w:tcW w:type="dxa" w:w="3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Start your pilot with one machine brand. Document the AVL parameter mappings for that brand. Expand systematically. Check Teltonika's CAN parameter database — they maintain supported PGN/SPN mappings.</w:t>
            </w:r>
          </w:p>
        </w:tc>
      </w:tr>
      <w:tr>
        <w:tc>
          <w:tcPr>
            <w:tcW w:type="dxa" w:w="2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4. GPS Signal in Construction Environments</w:t>
            </w:r>
          </w:p>
        </w:tc>
        <w:tc>
          <w:tcPr>
            <w:tcW w:type="dxa" w:w="4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Signals bounce off skyscrapers (urban canyon effect). Machines work underground or under canopies. Metal cabs attenuate GPS signal. These cause position drift, missing records, and false movement alerts.</w:t>
            </w:r>
          </w:p>
        </w:tc>
        <w:tc>
          <w:tcPr>
            <w:tcW w:type="dxa" w:w="38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Use external GNSS antenna on FMC130 for metal-cab machines. Configure devices to store records offline and backfill — Teltonika does this natively (up to 422,400 records in flash).</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5. Data Backfill Spikes</w:t>
            </w:r>
          </w:p>
        </w:tc>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When a device comes back online after being underground or offline, it dumps all stored records at once. A single machine could send 10,000 records in one burst. If your pipeline writes directly to DB, this crashes it.</w:t>
            </w:r>
          </w:p>
        </w:tc>
        <w:tc>
          <w:tcPr>
            <w:tcW w:type="dxa" w:w="3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Kafka or RabbitMQ message broker absorbs bursts. Database writes process at constant rate regardless of ingestion spikes. Critical for production.</w:t>
            </w:r>
          </w:p>
        </w:tc>
      </w:tr>
      <w:tr>
        <w:tc>
          <w:tcPr>
            <w:tcW w:type="dxa" w:w="2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6. Data Volume at Scale</w:t>
            </w:r>
          </w:p>
        </w:tc>
        <w:tc>
          <w:tcPr>
            <w:tcW w:type="dxa" w:w="4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1,000 machines x 1 record per 10 seconds = 8.64 million DB writes per day. At 50 fields per record, that is 432 million field values per day. Standard Postgres will not survive this without proper architecture.</w:t>
            </w:r>
          </w:p>
        </w:tc>
        <w:tc>
          <w:tcPr>
            <w:tcW w:type="dxa" w:w="38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TimescaleDB with automatic chunk partitioning by time. Appropriate indexing on (device_id, timestamp). Cloud-managed instance (AWS RDS or Timescale Cloud) for Phase 1 to avoid self-managing.</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7. Two-Way Command Security</w:t>
            </w:r>
          </w:p>
        </w:tc>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When your platform can remotely disable an engine (DOUT immobilizer), you have safety liability. An unauthorized command or software bug that immobilizes a machine in an active work zone is dangerous.</w:t>
            </w:r>
          </w:p>
        </w:tc>
        <w:tc>
          <w:tcPr>
            <w:tcW w:type="dxa" w:w="3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Require two-factor confirmation for immobilizer commands. Log all command issuance with user ID and timestamp. Build a mandatory safety check: immobilizer only permitted when machine is stationary (speed = 0).</w:t>
            </w:r>
          </w:p>
        </w:tc>
      </w:tr>
    </w:tbl>
    <w:p>
      <w:pPr>
        <w:spacing w:after="60" w:before="60"/>
      </w:pPr>
      <w:r>
        <w:t xml:space="preserve"/>
      </w:r>
    </w:p>
    <w:p>
      <w:pPr>
        <w:pStyle w:val="Heading1"/>
        <w:spacing w:after="160" w:before="320"/>
      </w:pPr>
      <w:r>
        <w:rPr>
          <w:rFonts w:ascii="Arial" w:cs="Arial" w:eastAsia="Arial" w:hAnsi="Arial"/>
          <w:b/>
          <w:bCs/>
          <w:color w:val="002060"/>
          <w:sz w:val="32"/>
          <w:szCs w:val="32"/>
        </w:rPr>
        <w:t xml:space="preserve">Section 5 — Recommended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880"/>
      </w:tblGrid>
      <w:tr>
        <w:trPr>
          <w:tblHeader/>
        </w:trPr>
        <w:tc>
          <w:tcPr>
            <w:tcW w:type="dxa" w:w="2000"/>
            <w:tcBorders>
              <w:top w:val="single" w:color="AAAAAA" w:sz="1"/>
              <w:left w:val="single" w:color="AAAAAA" w:sz="1"/>
              <w:bottom w:val="single" w:color="AAAAAA" w:sz="1"/>
              <w:right w:val="single" w:color="AAAAAA" w:sz="1"/>
            </w:tcBorders>
            <w:shd w:fill="002060" w:val="clear"/>
            <w:tcMar>
              <w:top w:type="dxa" w:w="80"/>
              <w:left w:type="dxa" w:w="100"/>
              <w:bottom w:type="dxa" w:w="80"/>
              <w:right w:type="dxa" w:w="100"/>
            </w:tcMar>
          </w:tcPr>
          <w:p>
            <w:r>
              <w:rPr>
                <w:rFonts w:ascii="Arial" w:cs="Arial" w:eastAsia="Arial" w:hAnsi="Arial"/>
                <w:b/>
                <w:bCs/>
                <w:color w:val="FFFFFF"/>
                <w:sz w:val="18"/>
                <w:szCs w:val="18"/>
              </w:rPr>
              <w:t xml:space="preserve">Layer</w:t>
            </w:r>
          </w:p>
        </w:tc>
        <w:tc>
          <w:tcPr>
            <w:tcW w:type="dxa" w:w="2600"/>
            <w:tcBorders>
              <w:top w:val="single" w:color="AAAAAA" w:sz="1"/>
              <w:left w:val="single" w:color="AAAAAA" w:sz="1"/>
              <w:bottom w:val="single" w:color="AAAAAA" w:sz="1"/>
              <w:right w:val="single" w:color="AAAAAA" w:sz="1"/>
            </w:tcBorders>
            <w:shd w:fill="002060" w:val="clear"/>
            <w:tcMar>
              <w:top w:type="dxa" w:w="80"/>
              <w:left w:type="dxa" w:w="100"/>
              <w:bottom w:type="dxa" w:w="80"/>
              <w:right w:type="dxa" w:w="100"/>
            </w:tcMar>
          </w:tcPr>
          <w:p>
            <w:r>
              <w:rPr>
                <w:rFonts w:ascii="Arial" w:cs="Arial" w:eastAsia="Arial" w:hAnsi="Arial"/>
                <w:b/>
                <w:bCs/>
                <w:color w:val="FFFFFF"/>
                <w:sz w:val="18"/>
                <w:szCs w:val="18"/>
              </w:rPr>
              <w:t xml:space="preserve">Phase 1 (MVP)</w:t>
            </w:r>
          </w:p>
        </w:tc>
        <w:tc>
          <w:tcPr>
            <w:tcW w:type="dxa" w:w="2600"/>
            <w:tcBorders>
              <w:top w:val="single" w:color="AAAAAA" w:sz="1"/>
              <w:left w:val="single" w:color="AAAAAA" w:sz="1"/>
              <w:bottom w:val="single" w:color="AAAAAA" w:sz="1"/>
              <w:right w:val="single" w:color="AAAAAA" w:sz="1"/>
            </w:tcBorders>
            <w:shd w:fill="002060" w:val="clear"/>
            <w:tcMar>
              <w:top w:type="dxa" w:w="80"/>
              <w:left w:type="dxa" w:w="100"/>
              <w:bottom w:type="dxa" w:w="80"/>
              <w:right w:type="dxa" w:w="100"/>
            </w:tcMar>
          </w:tcPr>
          <w:p>
            <w:r>
              <w:rPr>
                <w:rFonts w:ascii="Arial" w:cs="Arial" w:eastAsia="Arial" w:hAnsi="Arial"/>
                <w:b/>
                <w:bCs/>
                <w:color w:val="FFFFFF"/>
                <w:sz w:val="18"/>
                <w:szCs w:val="18"/>
              </w:rPr>
              <w:t xml:space="preserve">Phase 2 (Scale)</w:t>
            </w:r>
          </w:p>
        </w:tc>
        <w:tc>
          <w:tcPr>
            <w:tcW w:type="dxa" w:w="2880"/>
            <w:tcBorders>
              <w:top w:val="single" w:color="AAAAAA" w:sz="1"/>
              <w:left w:val="single" w:color="AAAAAA" w:sz="1"/>
              <w:bottom w:val="single" w:color="AAAAAA" w:sz="1"/>
              <w:right w:val="single" w:color="AAAAAA" w:sz="1"/>
            </w:tcBorders>
            <w:shd w:fill="002060"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TCP Listener</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Traccar (open-source, self-hosted)</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Custom Go TCP server</w:t>
            </w:r>
          </w:p>
        </w:tc>
        <w:tc>
          <w:tcPr>
            <w:tcW w:type="dxa" w:w="2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Traccar available free on GitHub — deploy on EC2/VPS</w:t>
            </w:r>
          </w:p>
        </w:tc>
      </w:tr>
      <w:tr>
        <w:tc>
          <w:tcPr>
            <w:tcW w:type="dxa" w:w="2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Protocol Parser</w:t>
            </w:r>
          </w:p>
        </w:tc>
        <w:tc>
          <w:tcPr>
            <w:tcW w:type="dxa" w:w="26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Traccar built-in (Teltonika protocol)</w:t>
            </w:r>
          </w:p>
        </w:tc>
        <w:tc>
          <w:tcPr>
            <w:tcW w:type="dxa" w:w="26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Custom Codec 8E parser in Go</w:t>
            </w:r>
          </w:p>
        </w:tc>
        <w:tc>
          <w:tcPr>
            <w:tcW w:type="dxa" w:w="28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Traccar handles FMC130 and FMC920 natively</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Message Broker</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Not required (Traccar buffers internally)</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Apache Kafka</w:t>
            </w:r>
          </w:p>
        </w:tc>
        <w:tc>
          <w:tcPr>
            <w:tcW w:type="dxa" w:w="2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Add Kafka when fleet exceeds ~200 devices</w:t>
            </w:r>
          </w:p>
        </w:tc>
      </w:tr>
      <w:tr>
        <w:tc>
          <w:tcPr>
            <w:tcW w:type="dxa" w:w="2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Database</w:t>
            </w:r>
          </w:p>
        </w:tc>
        <w:tc>
          <w:tcPr>
            <w:tcW w:type="dxa" w:w="26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PostgreSQL + PostGIS (Traccar default)</w:t>
            </w:r>
          </w:p>
        </w:tc>
        <w:tc>
          <w:tcPr>
            <w:tcW w:type="dxa" w:w="26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TimescaleDB</w:t>
            </w:r>
          </w:p>
        </w:tc>
        <w:tc>
          <w:tcPr>
            <w:tcW w:type="dxa" w:w="28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TimescaleDB is Postgres-compatible — migration is straightforward</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Backend API</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Traccar REST API</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Custom Node.js / Go API</w:t>
            </w:r>
          </w:p>
        </w:tc>
        <w:tc>
          <w:tcPr>
            <w:tcW w:type="dxa" w:w="2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Traccar exposes full REST API — build frontend against it directly in Phase 1</w:t>
            </w:r>
          </w:p>
        </w:tc>
      </w:tr>
      <w:tr>
        <w:tc>
          <w:tcPr>
            <w:tcW w:type="dxa" w:w="2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Frontend Dashboard</w:t>
            </w:r>
          </w:p>
        </w:tc>
        <w:tc>
          <w:tcPr>
            <w:tcW w:type="dxa" w:w="26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Softr or Retool (no-code Phase 1)</w:t>
            </w:r>
          </w:p>
        </w:tc>
        <w:tc>
          <w:tcPr>
            <w:tcW w:type="dxa" w:w="26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React + Mapbox GL JS</w:t>
            </w:r>
          </w:p>
        </w:tc>
        <w:tc>
          <w:tcPr>
            <w:tcW w:type="dxa" w:w="28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Retool or Softr can connect to Traccar API in days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Maps</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Traccar built-in map (OpenStreetMap)</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Mapbox GL JS</w:t>
            </w:r>
          </w:p>
        </w:tc>
        <w:tc>
          <w:tcPr>
            <w:tcW w:type="dxa" w:w="2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Mapbox pricing: free up to 50,000 loads/month</w:t>
            </w:r>
          </w:p>
        </w:tc>
      </w:tr>
      <w:tr>
        <w:tc>
          <w:tcPr>
            <w:tcW w:type="dxa" w:w="2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Alerts / Notifications</w:t>
            </w:r>
          </w:p>
        </w:tc>
        <w:tc>
          <w:tcPr>
            <w:tcW w:type="dxa" w:w="26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Traccar built-in email/SMS alerts</w:t>
            </w:r>
          </w:p>
        </w:tc>
        <w:tc>
          <w:tcPr>
            <w:tcW w:type="dxa" w:w="26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Custom rule engine + MSG91</w:t>
            </w:r>
          </w:p>
        </w:tc>
        <w:tc>
          <w:tcPr>
            <w:tcW w:type="dxa" w:w="28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Traccar supports SMS via gateway integration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Cloud</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AWS Bahrain (me-south-1) or Azure UAE North</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Same — scale vertically then horizontally</w:t>
            </w:r>
          </w:p>
        </w:tc>
        <w:tc>
          <w:tcPr>
            <w:tcW w:type="dxa" w:w="28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Low latency to UAE devices. Start with t3.large (~$70/month)</w:t>
            </w:r>
          </w:p>
        </w:tc>
      </w:tr>
      <w:tr>
        <w:tc>
          <w:tcPr>
            <w:tcW w:type="dxa" w:w="2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Device Configuration</w:t>
            </w:r>
          </w:p>
        </w:tc>
        <w:tc>
          <w:tcPr>
            <w:tcW w:type="dxa" w:w="26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Teltonika Configurator desktop app (free)</w:t>
            </w:r>
          </w:p>
        </w:tc>
        <w:tc>
          <w:tcPr>
            <w:tcW w:type="dxa" w:w="26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FOTA WEB (Teltonika cloud — paid per device)</w:t>
            </w:r>
          </w:p>
        </w:tc>
        <w:tc>
          <w:tcPr>
            <w:tcW w:type="dxa" w:w="28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FOTA WEB automates firmware/config push across all devices remotely</w:t>
            </w:r>
          </w:p>
        </w:tc>
      </w:tr>
    </w:tbl>
    <w:p>
      <w:pPr>
        <w:spacing w:after="60" w:before="60"/>
      </w:pPr>
      <w:r>
        <w:t xml:space="preserve"/>
      </w:r>
    </w:p>
    <w:p>
      <w:pPr>
        <w:pStyle w:val="Heading1"/>
        <w:spacing w:after="160" w:before="320"/>
      </w:pPr>
      <w:r>
        <w:rPr>
          <w:rFonts w:ascii="Arial" w:cs="Arial" w:eastAsia="Arial" w:hAnsi="Arial"/>
          <w:b/>
          <w:bCs/>
          <w:color w:val="002060"/>
          <w:sz w:val="32"/>
          <w:szCs w:val="32"/>
        </w:rPr>
        <w:t xml:space="preserve">5.1  Phase 1 Critical Path — First 60 Days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6400"/>
        <w:gridCol w:w="2280"/>
      </w:tblGrid>
      <w:tr>
        <w:trPr>
          <w:tblHeader/>
        </w:trPr>
        <w:tc>
          <w:tcPr>
            <w:tcW w:type="dxa" w:w="1400"/>
            <w:tcBorders>
              <w:top w:val="single" w:color="AAAAAA" w:sz="1"/>
              <w:left w:val="single" w:color="AAAAAA" w:sz="1"/>
              <w:bottom w:val="single" w:color="AAAAAA" w:sz="1"/>
              <w:right w:val="single" w:color="AAAAAA" w:sz="1"/>
            </w:tcBorders>
            <w:shd w:fill="002060" w:val="clear"/>
            <w:tcMar>
              <w:top w:type="dxa" w:w="80"/>
              <w:left w:type="dxa" w:w="100"/>
              <w:bottom w:type="dxa" w:w="80"/>
              <w:right w:type="dxa" w:w="100"/>
            </w:tcMar>
          </w:tcPr>
          <w:p>
            <w:r>
              <w:rPr>
                <w:rFonts w:ascii="Arial" w:cs="Arial" w:eastAsia="Arial" w:hAnsi="Arial"/>
                <w:b/>
                <w:bCs/>
                <w:color w:val="FFFFFF"/>
                <w:sz w:val="18"/>
                <w:szCs w:val="18"/>
              </w:rPr>
              <w:t xml:space="preserve">Week</w:t>
            </w:r>
          </w:p>
        </w:tc>
        <w:tc>
          <w:tcPr>
            <w:tcW w:type="dxa" w:w="6400"/>
            <w:tcBorders>
              <w:top w:val="single" w:color="AAAAAA" w:sz="1"/>
              <w:left w:val="single" w:color="AAAAAA" w:sz="1"/>
              <w:bottom w:val="single" w:color="AAAAAA" w:sz="1"/>
              <w:right w:val="single" w:color="AAAAAA" w:sz="1"/>
            </w:tcBorders>
            <w:shd w:fill="002060" w:val="clear"/>
            <w:tcMar>
              <w:top w:type="dxa" w:w="80"/>
              <w:left w:type="dxa" w:w="100"/>
              <w:bottom w:type="dxa" w:w="80"/>
              <w:right w:type="dxa" w:w="100"/>
            </w:tcMar>
          </w:tcPr>
          <w:p>
            <w:r>
              <w:rPr>
                <w:rFonts w:ascii="Arial" w:cs="Arial" w:eastAsia="Arial" w:hAnsi="Arial"/>
                <w:b/>
                <w:bCs/>
                <w:color w:val="FFFFFF"/>
                <w:sz w:val="18"/>
                <w:szCs w:val="18"/>
              </w:rPr>
              <w:t xml:space="preserve">Milestone</w:t>
            </w:r>
          </w:p>
        </w:tc>
        <w:tc>
          <w:tcPr>
            <w:tcW w:type="dxa" w:w="2280"/>
            <w:tcBorders>
              <w:top w:val="single" w:color="AAAAAA" w:sz="1"/>
              <w:left w:val="single" w:color="AAAAAA" w:sz="1"/>
              <w:bottom w:val="single" w:color="AAAAAA" w:sz="1"/>
              <w:right w:val="single" w:color="AAAAAA" w:sz="1"/>
            </w:tcBorders>
            <w:shd w:fill="002060" w:val="clear"/>
            <w:tcMar>
              <w:top w:type="dxa" w:w="80"/>
              <w:left w:type="dxa" w:w="100"/>
              <w:bottom w:type="dxa" w:w="80"/>
              <w:right w:type="dxa" w:w="100"/>
            </w:tcMar>
          </w:tcPr>
          <w:p>
            <w:r>
              <w:rPr>
                <w:rFonts w:ascii="Arial" w:cs="Arial" w:eastAsia="Arial" w:hAnsi="Arial"/>
                <w:b/>
                <w:bCs/>
                <w:color w:val="FFFFFF"/>
                <w:sz w:val="18"/>
                <w:szCs w:val="18"/>
              </w:rPr>
              <w:t xml:space="preserve">Responsible</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Week 1–2</w:t>
            </w:r>
          </w:p>
        </w:tc>
        <w:tc>
          <w:tcPr>
            <w:tcW w:type="dxa" w:w="6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Procure 2x FMC130 + 1x FMC920 test units from UAE distributor. Insert UAE SIM cards.</w:t>
            </w:r>
          </w:p>
        </w:tc>
        <w:tc>
          <w:tcPr>
            <w:tcW w:type="dxa" w:w="22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Ops + Tech</w:t>
            </w:r>
          </w:p>
        </w:tc>
      </w:tr>
      <w:tr>
        <w:tc>
          <w:tcPr>
            <w:tcW w:type="dxa" w:w="14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Week 2–3</w:t>
            </w:r>
          </w:p>
        </w:tc>
        <w:tc>
          <w:tcPr>
            <w:tcW w:type="dxa" w:w="64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Stand up Traccar on AWS Bahrain EC2 instance. Configure devices to point to server IP:Port.</w:t>
            </w:r>
          </w:p>
        </w:tc>
        <w:tc>
          <w:tcPr>
            <w:tcW w:type="dxa" w:w="22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Tech</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Week 3–4</w:t>
            </w:r>
          </w:p>
        </w:tc>
        <w:tc>
          <w:tcPr>
            <w:tcW w:type="dxa" w:w="6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Install FMC130 on 1 test machine (with electrician). Verify data appearing in Traccar dashboard.</w:t>
            </w:r>
          </w:p>
        </w:tc>
        <w:tc>
          <w:tcPr>
            <w:tcW w:type="dxa" w:w="22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Tech + Ops</w:t>
            </w:r>
          </w:p>
        </w:tc>
      </w:tr>
      <w:tr>
        <w:tc>
          <w:tcPr>
            <w:tcW w:type="dxa" w:w="14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Week 4–5</w:t>
            </w:r>
          </w:p>
        </w:tc>
        <w:tc>
          <w:tcPr>
            <w:tcW w:type="dxa" w:w="64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Configure CAN parameters on FMC130 for test machine brand. Verify fuel/RPM/hours in Traccar.</w:t>
            </w:r>
          </w:p>
        </w:tc>
        <w:tc>
          <w:tcPr>
            <w:tcW w:type="dxa" w:w="22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Tech</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Week 5–6</w:t>
            </w:r>
          </w:p>
        </w:tc>
        <w:tc>
          <w:tcPr>
            <w:tcW w:type="dxa" w:w="6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Build basic Retool/Softr dashboard consuming Traccar REST API. Asset map + fuel gauge + engine hours.</w:t>
            </w:r>
          </w:p>
        </w:tc>
        <w:tc>
          <w:tcPr>
            <w:tcW w:type="dxa" w:w="22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Tech</w:t>
            </w:r>
          </w:p>
        </w:tc>
      </w:tr>
      <w:tr>
        <w:tc>
          <w:tcPr>
            <w:tcW w:type="dxa" w:w="14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Week 6–8</w:t>
            </w:r>
          </w:p>
        </w:tc>
        <w:tc>
          <w:tcPr>
            <w:tcW w:type="dxa" w:w="64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Install on 5–10 vendor fleet machines. Validate all alerts and reports. Iterate on dashboard.</w:t>
            </w:r>
          </w:p>
        </w:tc>
        <w:tc>
          <w:tcPr>
            <w:tcW w:type="dxa" w:w="22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8"/>
                <w:szCs w:val="18"/>
              </w:rPr>
              <w:t xml:space="preserve">Tech + Ops</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Week 8+</w:t>
            </w:r>
          </w:p>
        </w:tc>
        <w:tc>
          <w:tcPr>
            <w:tcW w:type="dxa" w:w="6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Pilot live with 1–2 paying vendor subscribers on GPS-as-a-Service tier.</w:t>
            </w:r>
          </w:p>
        </w:tc>
        <w:tc>
          <w:tcPr>
            <w:tcW w:type="dxa" w:w="22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Business + Tech</w:t>
            </w:r>
          </w:p>
        </w:tc>
      </w:tr>
    </w:tbl>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AAAAAA" w:sz="1"/>
              <w:left w:val="single" w:color="AAAAAA" w:sz="1"/>
              <w:bottom w:val="single" w:color="AAAAAA" w:sz="1"/>
              <w:right w:val="single" w:color="AAAAAA" w:sz="1"/>
            </w:tcBorders>
            <w:shd w:fill="D6E4F0" w:val="clear"/>
            <w:tcMar>
              <w:top w:type="dxa" w:w="120"/>
              <w:left w:type="dxa" w:w="160"/>
              <w:bottom w:type="dxa" w:w="120"/>
              <w:right w:type="dxa" w:w="160"/>
            </w:tcMar>
          </w:tcPr>
          <w:p>
            <w:pPr>
              <w:spacing w:after="0" w:before="0"/>
            </w:pPr>
            <w:r>
              <w:rPr>
                <w:rFonts w:ascii="Arial" w:cs="Arial" w:eastAsia="Arial" w:hAnsi="Arial"/>
                <w:b w:val="false"/>
                <w:bCs w:val="false"/>
                <w:sz w:val="19"/>
                <w:szCs w:val="19"/>
              </w:rPr>
              <w:t xml:space="preserve">Summary — What Your Tech Team Must Do First</w:t>
            </w:r>
          </w:p>
          <w:p>
            <w:pPr>
              <w:spacing w:after="0" w:before="40"/>
            </w:pPr>
            <w:r>
              <w:rPr>
                <w:rFonts w:ascii="Arial" w:cs="Arial" w:eastAsia="Arial" w:hAnsi="Arial"/>
                <w:b w:val="false"/>
                <w:bCs w:val="false"/>
                <w:sz w:val="19"/>
                <w:szCs w:val="19"/>
              </w:rPr>
              <w:t xml:space="preserve"/>
            </w:r>
          </w:p>
          <w:p>
            <w:pPr>
              <w:spacing w:after="0" w:before="40"/>
            </w:pPr>
            <w:r>
              <w:rPr>
                <w:rFonts w:ascii="Arial" w:cs="Arial" w:eastAsia="Arial" w:hAnsi="Arial"/>
                <w:b w:val="false"/>
                <w:bCs w:val="false"/>
                <w:sz w:val="19"/>
                <w:szCs w:val="19"/>
              </w:rPr>
              <w:t xml:space="preserve">1. READ: FMC130 Wiki General Description + Codec page + AVL Parameter IDs — in that order.</w:t>
            </w:r>
          </w:p>
          <w:p>
            <w:pPr>
              <w:spacing w:after="0" w:before="40"/>
            </w:pPr>
            <w:r>
              <w:rPr>
                <w:rFonts w:ascii="Arial" w:cs="Arial" w:eastAsia="Arial" w:hAnsi="Arial"/>
                <w:b w:val="false"/>
                <w:bCs w:val="false"/>
                <w:sz w:val="19"/>
                <w:szCs w:val="19"/>
              </w:rPr>
              <w:t xml:space="preserve">2. PROCURE: 2x FMC130 test units from a UAE distributor. Insert UAE SIM cards (du or Etisalat data plan).</w:t>
            </w:r>
          </w:p>
          <w:p>
            <w:pPr>
              <w:spacing w:after="0" w:before="40"/>
            </w:pPr>
            <w:r>
              <w:rPr>
                <w:rFonts w:ascii="Arial" w:cs="Arial" w:eastAsia="Arial" w:hAnsi="Arial"/>
                <w:b w:val="false"/>
                <w:bCs w:val="false"/>
                <w:sz w:val="19"/>
                <w:szCs w:val="19"/>
              </w:rPr>
              <w:t xml:space="preserve">3. DEPLOY: Traccar server on AWS Bahrain (me-south-1). Configure devices to point to server IP:Port 5027.</w:t>
            </w:r>
          </w:p>
          <w:p>
            <w:pPr>
              <w:spacing w:after="0" w:before="40"/>
            </w:pPr>
            <w:r>
              <w:rPr>
                <w:rFonts w:ascii="Arial" w:cs="Arial" w:eastAsia="Arial" w:hAnsi="Arial"/>
                <w:b w:val="false"/>
                <w:bCs w:val="false"/>
                <w:sz w:val="19"/>
                <w:szCs w:val="19"/>
              </w:rPr>
              <w:t xml:space="preserve">4. TEST LOOP: Stand up 1 device → receive 1 AVL record → decode it → see lat/lon in Traccar dashboard.</w:t>
            </w:r>
          </w:p>
          <w:p>
            <w:pPr>
              <w:spacing w:after="0" w:before="40"/>
            </w:pPr>
            <w:r>
              <w:rPr>
                <w:rFonts w:ascii="Arial" w:cs="Arial" w:eastAsia="Arial" w:hAnsi="Arial"/>
                <w:b w:val="false"/>
                <w:bCs w:val="false"/>
                <w:sz w:val="19"/>
                <w:szCs w:val="19"/>
              </w:rPr>
              <w:t xml:space="preserve">   Mastering this single data loop is the foundation of everything else.</w:t>
            </w:r>
          </w:p>
          <w:p>
            <w:pPr>
              <w:spacing w:after="0" w:before="40"/>
            </w:pPr>
            <w:r>
              <w:rPr>
                <w:rFonts w:ascii="Arial" w:cs="Arial" w:eastAsia="Arial" w:hAnsi="Arial"/>
                <w:b w:val="false"/>
                <w:bCs w:val="false"/>
                <w:sz w:val="19"/>
                <w:szCs w:val="19"/>
              </w:rPr>
              <w:t xml:space="preserve">5. CAN TEST: Install FMC130 on 1 machine with electrician → verify engine hours + fuel via CAN.</w:t>
            </w:r>
          </w:p>
          <w:p>
            <w:pPr>
              <w:spacing w:after="0" w:before="40"/>
            </w:pPr>
            <w:r>
              <w:rPr>
                <w:rFonts w:ascii="Arial" w:cs="Arial" w:eastAsia="Arial" w:hAnsi="Arial"/>
                <w:b w:val="false"/>
                <w:bCs w:val="false"/>
                <w:sz w:val="19"/>
                <w:szCs w:val="19"/>
              </w:rPr>
              <w:t xml:space="preserve">6. BUILD: Start dashboard on top of Traccar REST API — do not build a custom backend in Phase 1.</w:t>
            </w:r>
          </w:p>
        </w:tc>
      </w:tr>
    </w:tbl>
    <w:p>
      <w:pPr>
        <w:spacing w:after="60" w:before="60"/>
      </w:pPr>
      <w:r>
        <w:t xml:space="preserve"/>
      </w:r>
    </w:p>
    <w:p>
      <w:pPr>
        <w:spacing w:after="80" w:before="60"/>
      </w:pPr>
      <w:r>
        <w:rPr>
          <w:rFonts w:ascii="Arial" w:cs="Arial" w:eastAsia="Arial" w:hAnsi="Arial"/>
          <w:b w:val="false"/>
          <w:bCs w:val="false"/>
          <w:color w:val="888888"/>
          <w:sz w:val="16"/>
          <w:szCs w:val="16"/>
        </w:rPr>
        <w:t xml:space="preserve">Kasper Engineering Briefing  |  Section 4: Reality Check &amp; Tech Stack  |  April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206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2026-04-30T06:53:24.296Z</dcterms:created>
  <dcterms:modified xsi:type="dcterms:W3CDTF">2026-04-30T06:53:24.296Z</dcterms:modified>
</cp:coreProperties>
</file>

<file path=docProps/custom.xml><?xml version="1.0" encoding="utf-8"?>
<Properties xmlns="http://schemas.openxmlformats.org/officeDocument/2006/custom-properties" xmlns:vt="http://schemas.openxmlformats.org/officeDocument/2006/docPropsVTypes"/>
</file>