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B1628"/>
          <w:sz w:val="48"/>
          <w:szCs w:val="48"/>
        </w:rPr>
        <w:t xml:space="preserve">KASPER TECHNOLOGIES — FEASIBILITY STUDY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Logistics Marketplace + Vendor OS SaaS + GPS-as-a-Service</w:t>
      </w:r>
    </w:p>
    <w:p>
      <w:pPr>
        <w:spacing w:after="48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Kasper Technologies FZ-LLC  ·  Confidential  ·  May 2026</w:t>
      </w:r>
    </w:p>
    <w:p>
      <w:pPr>
        <w:pBdr>
          <w:bottom w:val="single" w:color="F59E0B" w:sz="6"/>
        </w:pBdr>
        <w:spacing w:after="480" w:before="0"/>
      </w:pPr>
    </w:p>
    <w:p>
      <w:pPr>
        <w:pBdr>
          <w:bottom w:val="single" w:color="F59E0B" w:sz="4"/>
        </w:pBdr>
        <w:spacing w:after="120" w:before="4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VERDICT: GO — WITH FOUR SPECIFIC CONDITIONS</w:t>
      </w:r>
    </w:p>
    <w:p>
      <w:pPr>
        <w:pBdr>
          <w:left w:val="single" w:color="F59E0B" w:sz="20"/>
        </w:pBdr>
        <w:shd w:fill="FFFBEB" w:color="FFFBEB" w:val="solid"/>
        <w:spacing w:after="160" w:before="160"/>
        <w:ind w:left="7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market opportunity is real and time-sensitive. The tech foundation exists. The client relationships are real. The business model has a clear monetization path validated by comparable companies that have collectively raised over $1.5B in the same sector.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Condition 1: Solve the cash flow gap before scaling (50% deposit policy, Week 1)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Condition 2: Hire or designate a dedicated operations manager within 60 days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Condition 3: Sign at least one institutional anchor client contract within 90 days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Condition 4: Vendor OS live and first 10 vendors onboarded by Week 8</w:t>
      </w:r>
    </w:p>
    <w:p>
      <w:pPr>
        <w:pBdr>
          <w:bottom w:val="single" w:color="F59E0B" w:sz="4"/>
        </w:pBdr>
        <w:spacing w:after="120" w:before="4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SECTION 1 — MARKET FEASIBILITY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logistics market size (2024)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54–62 billion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rate through 2030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6.1–8.2% CAGR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infrastructure spend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203 billion (2021–2030)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Hormuz transit reduction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 (120 vessels/day → 5–7)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TruKKer daily truck increase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→ 500 (733%)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congestion (Khor Fakkan)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 day delays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equipment rental TAM (2024)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4.86 billion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equipment rental CAGR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8.52% — fastest growing GCC sub-market</w:t>
            </w:r>
          </w:p>
        </w:tc>
      </w:tr>
    </w:tbl>
    <w:p>
      <w:pPr>
        <w:spacing w:before="120"/>
      </w:pPr>
    </w:p>
    <w:p>
      <w:pPr>
        <w:pBdr>
          <w:left w:val="single" w:color="F59E0B" w:sz="20"/>
        </w:pBdr>
        <w:shd w:fill="FFFBEB" w:color="FFFBEB" w:val="solid"/>
        <w:spacing w:after="160" w:before="160"/>
        <w:ind w:left="7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Market Gap: No single platform in the GCC currently combines equipment rental marketplace + freight booking + vendor-facing SaaS (invoicing, dispatch, GPS) + fleet telematics.</w:t>
      </w:r>
    </w:p>
    <w:p>
      <w:pPr>
        <w:pBdr>
          <w:bottom w:val="single" w:color="F59E0B" w:sz="4"/>
        </w:pBdr>
        <w:spacing w:after="120" w:before="4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SECTION 2 — FINANCIAL FEASIBILITY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Logistics Marketplace Projections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Margin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trucks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4,500,000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42%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1,900,000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trucks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9,000,000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44%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3,960,000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trucks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19,500,000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37%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7,215,000</w:t>
            </w:r>
          </w:p>
        </w:tc>
      </w:tr>
    </w:tbl>
    <w:p>
      <w:pPr>
        <w:spacing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Vendor OS SaaS Projections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Vendors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SaaS Revenue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19,950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239,400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59,850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718,200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159,600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1,915,200</w:t>
            </w:r>
          </w:p>
        </w:tc>
      </w:tr>
    </w:tbl>
    <w:p>
      <w:pPr>
        <w:spacing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Combined Revenue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Marketplace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SaaS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4.5M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240K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4.74M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1.8M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9.0M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720K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432K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10.15M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3.8M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19.5M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1.9M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1.15M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22.55M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7.5M</w:t>
            </w:r>
          </w:p>
        </w:tc>
      </w:tr>
    </w:tbl>
    <w:p>
      <w:pPr>
        <w:spacing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Capital Requirements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Immediate (Month 0–3): AED 1,200,000 — Operations hire (AED 180K/yr), platform development (AED 100K), GPS hardware batch (AED 15K), marketing (AED 50K), working capital buffer (AED 700K), legal and contingency (AED 155K).</w:t>
      </w:r>
    </w:p>
    <w:p>
      <w:pPr>
        <w:pBdr>
          <w:left w:val="single" w:color="F59E0B" w:sz="20"/>
        </w:pBdr>
        <w:shd w:fill="FFFBEB" w:color="FFFBEB" w:val="solid"/>
        <w:spacing w:after="160" w:before="160"/>
        <w:ind w:left="7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OWN program structure means Kasper does NOT need to raise capital for fleet expansion. Trucks are purchased by investors. Kasper needs capital only for: operations team, platform, and working capital buffer.</w:t>
      </w:r>
    </w:p>
    <w:p>
      <w:pPr>
        <w:pBdr>
          <w:bottom w:val="single" w:color="F59E0B" w:sz="4"/>
        </w:pBdr>
        <w:spacing w:after="120" w:before="4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SECTION 3 — CASH FLOW RISK (CRITICAL)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the most likely failure mode. Lori Systems collapsed because it paid carriers immediately but collected from enterprise shippers on 30–90 day terms. At 30-truck utilization, Kasper's working capital exposure can reach AED 1M+ per month.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deposit at booking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pays 50% on quote approval, balance on ePOD. Reduces receivables gap from 45 to ~10 days.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policy change only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factoring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FAB, RAKBANK, or Dun &amp; Bradstreet discount receivables at 2–4% per month. AED 200K invoice costs ~AED 6K/month.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2–4% per invoice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payment terms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clients: 7 days. Enterprise: 30 days with 2% early payment discount.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trade-off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payment delay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vendors within 14 days instead of 7 days. Provide invoice financing to compensate.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management</w:t>
            </w:r>
          </w:p>
        </w:tc>
      </w:tr>
    </w:tbl>
    <w:p>
      <w:pPr>
        <w:spacing w:before="120"/>
      </w:pPr>
    </w:p>
    <w:p>
      <w:pPr>
        <w:pBdr>
          <w:bottom w:val="single" w:color="F59E0B" w:sz="4"/>
        </w:pBdr>
        <w:spacing w:after="120" w:before="4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SECTION 4 — TECHNICAL FEASIBILITY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Build Timeline (Antigravity + 1 Developer)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1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— Supabase, CSS, auth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2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portal — 4-tab PWA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3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— GPS, ePOD, signatures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4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views — approve, track, ePOD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5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— quote, PO, invoice, ePOD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6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PWA, WhatsApp, onboarding, deploy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integration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Traccar + Teltonika FMB920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vetting system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onboarding + scoring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UI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RTL redesign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9–12</w:t>
            </w:r>
          </w:p>
        </w:tc>
      </w:tr>
    </w:tbl>
    <w:p>
      <w:pPr>
        <w:spacing w:before="120"/>
      </w:pPr>
    </w:p>
    <w:p>
      <w:pPr>
        <w:pBdr>
          <w:left w:val="single" w:color="F59E0B" w:sz="20"/>
        </w:pBdr>
        <w:shd w:fill="FFFBEB" w:color="FFFBEB" w:val="solid"/>
        <w:spacing w:after="160" w:before="160"/>
        <w:ind w:left="7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Full MVP (logistics + Vendor OS) operational in 8 weeks. Technical feasibility score: 8/10 — stack is lean, proven, and matched to existing codebase.</w:t>
      </w:r>
    </w:p>
    <w:p>
      <w:pPr>
        <w:pBdr>
          <w:bottom w:val="single" w:color="F59E0B" w:sz="4"/>
        </w:pBdr>
        <w:spacing w:after="120" w:before="4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SECTION 5 —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0B1628" w:color="0B162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Hormuz normalization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logistics grows 6–8% regardless; construction marketplace relaunch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crisis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deposit policy + invoice factoring from Month 1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TruKKer targets construction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RTA permits, crane logistics, site gate procedures into platform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quality incident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Kasper Verified badge + SLA penalties in vendor contracts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person risk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ops manager immediately; separate ops and tech roles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build delay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missions are granular and testable; do not skip steps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vendor churn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shd w:fill="F9FAFB"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hardware creates switching cost — vendor won't leave platform</w:t>
            </w:r>
          </w:p>
        </w:tc>
      </w:tr>
    </w:tbl>
    <w:p>
      <w:pPr>
        <w:spacing w:before="12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2026-05-02T10:29:42.594Z</dcterms:created>
  <dcterms:modified xsi:type="dcterms:W3CDTF">2026-05-02T10:29:42.594Z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