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7C3AED" w:val="clear"/>
            <w:tcMar>
              <w:top w:type="dxa" w:w="240"/>
              <w:left w:type="dxa" w:w="360"/>
              <w:bottom w:type="dxa" w:w="240"/>
              <w:right w:type="dxa" w:w="360"/>
            </w:tcMar>
          </w:tcPr>
          <w:p>
            <w:pPr>
              <w:spacing w:after="80" w:before="0"/>
            </w:pPr>
            <w:r>
              <w:rPr>
                <w:rFonts w:ascii="Arial" w:cs="Arial" w:eastAsia="Arial" w:hAnsi="Arial"/>
                <w:b/>
                <w:bCs/>
                <w:color w:val="FFFFFF"/>
                <w:sz w:val="34"/>
                <w:szCs w:val="34"/>
              </w:rPr>
              <w:t xml:space="preserve">TELEMATICS &amp; DATA INTELLIGENCE</w:t>
            </w:r>
          </w:p>
          <w:p>
            <w:r>
              <w:rPr>
                <w:rFonts w:ascii="Arial" w:cs="Arial" w:eastAsia="Arial" w:hAnsi="Arial"/>
                <w:color w:val="EDE4FA"/>
                <w:sz w:val="20"/>
                <w:szCs w:val="20"/>
              </w:rPr>
              <w:t xml:space="preserve">Product 04 — The Long-Term Moat · Data That Makes Kasper Irreplaceable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8F9FA" w:val="clear"/>
            <w:tcMar>
              <w:top w:type="dxa" w:w="120"/>
              <w:left w:type="dxa" w:w="200"/>
              <w:bottom w:type="dxa" w:w="120"/>
              <w:right w:type="dxa" w:w="200"/>
            </w:tcMar>
          </w:tcPr>
          <w:p>
            <w:r>
              <w:rPr>
                <w:rFonts w:ascii="Arial" w:cs="Arial" w:eastAsia="Arial" w:hAnsi="Arial"/>
                <w:b/>
                <w:bCs/>
                <w:color w:val="7C3AED"/>
                <w:sz w:val="20"/>
                <w:szCs w:val="20"/>
              </w:rPr>
              <w:t xml:space="preserve">04  </w:t>
            </w:r>
            <w:r>
              <w:rPr>
                <w:rFonts w:ascii="Arial" w:cs="Arial" w:eastAsia="Arial" w:hAnsi="Arial"/>
                <w:b/>
                <w:bCs/>
                <w:color w:val="0D1B2A"/>
                <w:sz w:val="20"/>
                <w:szCs w:val="20"/>
              </w:rPr>
              <w:t xml:space="preserve">Telematics &amp; Data Intelligence</w:t>
            </w:r>
            <w:r>
              <w:rPr>
                <w:rFonts w:ascii="Arial" w:cs="Arial" w:eastAsia="Arial" w:hAnsi="Arial"/>
                <w:color w:val="7C3AED"/>
                <w:sz w:val="16"/>
                <w:szCs w:val="16"/>
              </w:rPr>
              <w:t xml:space="preserve">   ● Phase 4 — Month 12+</w:t>
            </w:r>
          </w:p>
        </w:tc>
      </w:tr>
    </w:tbl>
    <w:p>
      <w:pPr>
        <w:spacing w:after="0" w:before="120"/>
      </w:pPr>
      <w:r>
        <w:rPr>
          <w:rFonts w:ascii="Arial" w:cs="Arial" w:eastAsia="Arial" w:hAnsi="Arial"/>
          <w:sz w:val="22"/>
          <w:szCs w:val="22"/>
        </w:rPr>
        <w:t xml:space="preserve"/>
      </w:r>
    </w:p>
    <w:p>
      <w:pPr>
        <w:spacing w:after="80" w:before="60"/>
      </w:pPr>
      <w:r>
        <w:rPr>
          <w:rFonts w:ascii="Arial" w:cs="Arial" w:eastAsia="Arial" w:hAnsi="Arial"/>
          <w:color w:val="94A3B8"/>
          <w:sz w:val="22"/>
          <w:szCs w:val="22"/>
        </w:rPr>
        <w:t xml:space="preserve">May 2026  ·  Internal  ·  Kasper Technologies FZ-LLC</w:t>
      </w:r>
    </w:p>
    <w:p>
      <w:pPr>
        <w:pBdr>
          <w:bottom w:val="single" w:color="E0E0E0" w:sz="4" w:space="1"/>
        </w:pBdr>
        <w:spacing w:after="200" w:before="20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Overview</w:t>
      </w:r>
    </w:p>
    <w:p>
      <w:pPr>
        <w:spacing w:after="80" w:before="60"/>
      </w:pPr>
      <w:r>
        <w:rPr>
          <w:rFonts w:ascii="Arial" w:cs="Arial" w:eastAsia="Arial" w:hAnsi="Arial"/>
          <w:color w:val="333333"/>
          <w:sz w:val="22"/>
          <w:szCs w:val="22"/>
        </w:rPr>
        <w:t xml:space="preserve">Once GPS hardware is on hundreds of trucks and thousands of jobs are in the database, the data itself becomes the product. Every job, every GPS ping, every ePOD signature adds to a dataset that no competitor can replicate without running the same jobs. Predictive maintenance, AI dispatch, emissions reporting, lane rate indices, AI dashcam scoring, and dynamic pricing — each is a separately sellable product built entirely on data Kasper already owns from running the marketplace and Vendor OS.</w:t>
      </w:r>
    </w:p>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3FF" w:val="clear"/>
            <w:tcMar>
              <w:top w:type="dxa" w:w="200"/>
              <w:left w:type="dxa" w:w="280"/>
              <w:bottom w:type="dxa" w:w="200"/>
              <w:right w:type="dxa" w:w="280"/>
            </w:tcMar>
          </w:tcPr>
          <w:p>
            <w:pPr>
              <w:spacing w:after="80"/>
            </w:pPr>
            <w:r>
              <w:rPr>
                <w:rFonts w:ascii="Arial" w:cs="Arial" w:eastAsia="Arial" w:hAnsi="Arial"/>
                <w:b/>
                <w:bCs/>
                <w:color w:val="7C3AED"/>
                <w:sz w:val="22"/>
                <w:szCs w:val="22"/>
              </w:rPr>
              <w:t xml:space="preserve">The data moat</w:t>
            </w:r>
          </w:p>
          <w:p>
            <w:r>
              <w:rPr>
                <w:rFonts w:ascii="Arial" w:cs="Arial" w:eastAsia="Arial" w:hAnsi="Arial"/>
                <w:color w:val="333333"/>
                <w:sz w:val="20"/>
                <w:szCs w:val="20"/>
              </w:rPr>
              <w:t xml:space="preserve">After 10,000 jobs and 500 GPS devices, Kasper owns the only comprehensive dataset of UAE construction freight rates by corridor, driver behaviour per route, equipment utilisation per asset class, and delivery performance per vendor. No competitor can replicate this without processing the same volume of real jobs. That dataset is worth far more than the transaction revenue that created it.</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The Problem — What UAE Fleet Operators Cannot Do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Breakdowns are always surprises</w:t>
                  </w:r>
                </w:p>
                <w:p>
                  <w:r>
                    <w:rPr>
                      <w:rFonts w:ascii="Arial" w:cs="Arial" w:eastAsia="Arial" w:hAnsi="Arial"/>
                      <w:color w:val="475569"/>
                      <w:sz w:val="19"/>
                      <w:szCs w:val="19"/>
                    </w:rPr>
                    <w:t xml:space="preserve">Vendors have no early warning system. A truck breaks down mid-job: emergency repair AED 30–80K, client job delayed, contract penalty. All predictable with engine hour data — but nobody has that data today.</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Deadhead trips waste 40% of capacity</w:t>
                  </w:r>
                </w:p>
                <w:p>
                  <w:r>
                    <w:rPr>
                      <w:rFonts w:ascii="Arial" w:cs="Arial" w:eastAsia="Arial" w:hAnsi="Arial"/>
                      <w:color w:val="475569"/>
                      <w:sz w:val="19"/>
                      <w:szCs w:val="19"/>
                    </w:rPr>
                    <w:t xml:space="preserve">A truck delivers to Fujairah and drives back empty. 40% of UAE construction fleet kilometres are dead runs. AI dispatch can match a return load in real time and convert that dead run into revenue.</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ESG reporting is impossible</w:t>
                  </w:r>
                </w:p>
                <w:p>
                  <w:r>
                    <w:rPr>
                      <w:rFonts w:ascii="Arial" w:cs="Arial" w:eastAsia="Arial" w:hAnsi="Arial"/>
                      <w:color w:val="475569"/>
                      <w:sz w:val="19"/>
                      <w:szCs w:val="19"/>
                    </w:rPr>
                    <w:t xml:space="preserve">UAE sustainability mandates and KSA Vision 2030 require CO2 per equipment type per hour. Enterprise clients need this for regulatory compliance. Nobody can provide it today without telematics data.</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Nobody knows what freight rates should be</w:t>
                  </w:r>
                </w:p>
                <w:p>
                  <w:r>
                    <w:rPr>
                      <w:rFonts w:ascii="Arial" w:cs="Arial" w:eastAsia="Arial" w:hAnsi="Arial"/>
                      <w:color w:val="475569"/>
                      <w:sz w:val="19"/>
                      <w:szCs w:val="19"/>
                    </w:rPr>
                    <w:t xml:space="preserve">There is no published UAE freight rate index by lane. Rates are quoted by feel. Freight forwarders, insurers, and developers have no benchmark. Kasper will own this data after 10,000 jobs.</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Insurance is overpriced because drivers are unscored</w:t>
                  </w:r>
                </w:p>
                <w:p>
                  <w:r>
                    <w:rPr>
                      <w:rFonts w:ascii="Arial" w:cs="Arial" w:eastAsia="Arial" w:hAnsi="Arial"/>
                      <w:color w:val="475569"/>
                      <w:sz w:val="19"/>
                      <w:szCs w:val="19"/>
                    </w:rPr>
                    <w:t xml:space="preserve">Logistics SMEs pay full fleet insurance with no proof of driver behaviour. AI dashcam scoring with incident detection can cut premiums 10–20%. Insurance companies will fund the hardware to get the data.</w:t>
                  </w:r>
                </w:p>
              </w:tc>
            </w:tr>
          </w:tbl>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0"/>
              <w:left w:type="dxa" w:w="0"/>
              <w:bottom w:type="dxa" w:w="0"/>
              <w:right w:type="dxa" w:w="0"/>
            </w:tcMar>
          </w:tcPr>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
              <w:gridCol w:w="9200"/>
            </w:tblGrid>
            <w:tr>
              <w:tc>
                <w:tcPr>
                  <w:tcW w:type="dxa" w:w="60"/>
                  <w:tcBorders>
                    <w:top w:val="none"/>
                    <w:left w:val="none"/>
                    <w:bottom w:val="none"/>
                    <w:right w:val="none"/>
                  </w:tcBorders>
                  <w:shd w:fill="C0392B" w:val="clear"/>
                  <w:tcMar>
                    <w:top w:type="dxa" w:w="0"/>
                    <w:left w:type="dxa" w:w="0"/>
                    <w:bottom w:type="dxa" w:w="0"/>
                    <w:right w:type="dxa" w:w="0"/>
                  </w:tcMar>
                </w:tcPr>
                <w:p>
                  <w:r>
                    <w:rPr>
                      <w:rFonts w:ascii="Arial" w:cs="Arial" w:eastAsia="Arial" w:hAnsi="Arial"/>
                      <w:sz w:val="22"/>
                      <w:szCs w:val="22"/>
                    </w:rPr>
                    <w:t xml:space="preserve"/>
                  </w:r>
                </w:p>
              </w:tc>
              <w:tc>
                <w:tcPr>
                  <w:tcW w:type="dxa" w:w="9200"/>
                  <w:tcBorders>
                    <w:top w:val="none"/>
                    <w:left w:val="none"/>
                    <w:bottom w:val="none"/>
                    <w:right w:val="none"/>
                  </w:tcBorders>
                  <w:shd w:fill="FFFFFF" w:val="clear"/>
                  <w:tcMar>
                    <w:top w:type="dxa" w:w="120"/>
                    <w:left w:type="dxa" w:w="160"/>
                    <w:bottom w:type="dxa" w:w="120"/>
                    <w:right w:type="dxa" w:w="160"/>
                  </w:tcMar>
                </w:tcPr>
                <w:p>
                  <w:pPr>
                    <w:spacing w:after="60"/>
                  </w:pPr>
                  <w:r>
                    <w:rPr>
                      <w:rFonts w:ascii="Arial" w:cs="Arial" w:eastAsia="Arial" w:hAnsi="Arial"/>
                      <w:b/>
                      <w:bCs/>
                      <w:color w:val="0D1B2A"/>
                      <w:sz w:val="21"/>
                      <w:szCs w:val="21"/>
                    </w:rPr>
                    <w:t xml:space="preserve">⚡  Surge demand is invisible — rates do not adjust</w:t>
                  </w:r>
                </w:p>
                <w:p>
                  <w:r>
                    <w:rPr>
                      <w:rFonts w:ascii="Arial" w:cs="Arial" w:eastAsia="Arial" w:hAnsi="Arial"/>
                      <w:color w:val="475569"/>
                      <w:sz w:val="19"/>
                      <w:szCs w:val="19"/>
                    </w:rPr>
                    <w:t xml:space="preserve">During the Hormuz crisis, land freight demand surged 733%. Rates did not adjust in real time. With dynamic pricing on a live supply-demand signal, Kasper captures that upside automatically.</w:t>
                  </w:r>
                </w:p>
              </w:tc>
            </w:tr>
          </w:tbl>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Six Intelligence Products Built on Kasper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Product</w:t>
            </w:r>
          </w:p>
        </w:tc>
        <w:tc>
          <w:tcPr>
            <w:tcW w:type="dxa" w:w="6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What it does · Who pays · Why they pay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Predictive Maintenance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ML model on engine hours + sensor data from Teltonika devices. Flags failure risk 2–3 weeks in advance. WhatsApp alert to vendor: "Truck 3 — service due in 14 days." Vendors pay to avoid AED 50,000 breakdown costs. Target: 15–20% reduction in unplanned downtime.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AI Dispatch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every job, platform checks for available return loads near the delivery point. Matches load to nearest driver with the right vehicle. Fills return trips automatically. Cuts deadhead from 40% to under 20%. Kasper earns commission on every matched return load.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Emissions Intelligence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CO2 per equipment type per engine hour from Teltonika fuel + hours data. Generates ESG compliance reports for UAE sustainability mandates and KSA Vision 2030. Enterprise construction clients need this for regulatory reporting. Required for Abu Dhabi government entity contracts from 2027.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Lane Rate 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10,000 jobs: Kasper owns the only comprehensive UAE construction freight rate dataset by corridor — Khor Fakkan to Dubai, Fujairah to Abu Dhabi, and so on. Published as quarterly rate index. Sold to freight forwarders, insurers, developers, and government planning departments. No competitor can replicate without processing the same jobs.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AI Dashcam Scoring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Dashcam + AI scoring for driver behaviour: harsh braking, lane changes, fatigue detection, incident footage. Insurance-grade evidence. AXA Gulf, RSA, and others offer 10–20% premium reductions for verified dashcam users. Insurance companies will co-fund the hardware to access the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Dynamic Pricing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rate adjustment based on live supply-demand signal. When available trucks drop below 20% of typical capacity on a corridor, system suggests surge rate automatically. Kasper captures upside during demand spikes. Commission per booking grows with rate. No manual repricing by ops.</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How the Data Layer Compounds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0F6E56"/>
                <w:sz w:val="18"/>
                <w:szCs w:val="18"/>
              </w:rPr>
              <w:t xml:space="preserve">Marketplace jobs</w:t>
            </w:r>
          </w:p>
        </w:tc>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BA7517"/>
                <w:sz w:val="18"/>
                <w:szCs w:val="18"/>
              </w:rPr>
              <w:t xml:space="preserve">Vendor OS + GPS</w:t>
            </w:r>
          </w:p>
        </w:tc>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7C3AED"/>
                <w:sz w:val="18"/>
                <w:szCs w:val="18"/>
              </w:rPr>
              <w:t xml:space="preserve">Data layer (Kasper)</w:t>
            </w:r>
          </w:p>
        </w:tc>
        <w:tc>
          <w:tcPr>
            <w:tcW w:type="dxa" w:w="23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b/>
                <w:bCs/>
                <w:color w:val="475569"/>
                <w:sz w:val="18"/>
                <w:szCs w:val="18"/>
              </w:rPr>
              <w:t xml:space="preserve">Intelligence products</w:t>
            </w:r>
          </w:p>
        </w:tc>
      </w:tr>
      <w:tr>
        <w:tc>
          <w:tcPr>
            <w:tcW w:type="dxa" w:w="2340"/>
            <w:tcBorders>
              <w:top w:val="single" w:color="CCCCCC" w:sz="1"/>
              <w:left w:val="single" w:color="CCCCCC" w:sz="1"/>
              <w:bottom w:val="single" w:color="CCCCCC" w:sz="1"/>
              <w:right w:val="single" w:color="CCCCCC" w:sz="1"/>
            </w:tcBorders>
            <w:shd w:fill="D5EFE5" w:val="clear"/>
            <w:tcMar>
              <w:top w:type="dxa" w:w="80"/>
              <w:left w:type="dxa" w:w="100"/>
              <w:bottom w:type="dxa" w:w="80"/>
              <w:right w:type="dxa" w:w="100"/>
            </w:tcMar>
          </w:tcPr>
          <w:p>
            <w:pPr>
              <w:spacing w:after="40"/>
            </w:pPr>
            <w:r>
              <w:rPr>
                <w:rFonts w:ascii="Arial" w:cs="Arial" w:eastAsia="Arial" w:hAnsi="Arial"/>
                <w:b/>
                <w:bCs/>
                <w:color w:val="0F6E56"/>
                <w:sz w:val="19"/>
                <w:szCs w:val="19"/>
              </w:rPr>
              <w:t xml:space="preserve">Every booking = rate data</w:t>
            </w:r>
          </w:p>
          <w:p>
            <w:r>
              <w:rPr>
                <w:rFonts w:ascii="Arial" w:cs="Arial" w:eastAsia="Arial" w:hAnsi="Arial"/>
                <w:color w:val="475569"/>
                <w:sz w:val="17"/>
                <w:szCs w:val="17"/>
              </w:rPr>
              <w:t xml:space="preserve">Route, cargo type, price, vendor, time of day. 10,000 jobs = the UAE lane rate index.</w:t>
            </w:r>
          </w:p>
        </w:tc>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Every GPS ping = movement data</w:t>
            </w:r>
          </w:p>
          <w:p>
            <w:r>
              <w:rPr>
                <w:rFonts w:ascii="Arial" w:cs="Arial" w:eastAsia="Arial" w:hAnsi="Arial"/>
                <w:color w:val="475569"/>
                <w:sz w:val="17"/>
                <w:szCs w:val="17"/>
              </w:rPr>
              <w:t xml:space="preserve">500 devices × 6 pings/min = 180,000 data points/hour. Route times, traffic, site dwell times.</w:t>
            </w:r>
          </w:p>
        </w:tc>
        <w:tc>
          <w:tcPr>
            <w:tcW w:type="dxa" w:w="2340"/>
            <w:tcBorders>
              <w:top w:val="single" w:color="CCCCCC" w:sz="1"/>
              <w:left w:val="single" w:color="CCCCCC" w:sz="1"/>
              <w:bottom w:val="single" w:color="CCCCCC" w:sz="1"/>
              <w:right w:val="single" w:color="CCCCCC" w:sz="1"/>
            </w:tcBorders>
            <w:shd w:fill="EDE4FA"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Every ePOD = performance data</w:t>
            </w:r>
          </w:p>
          <w:p>
            <w:r>
              <w:rPr>
                <w:rFonts w:ascii="Arial" w:cs="Arial" w:eastAsia="Arial" w:hAnsi="Arial"/>
                <w:color w:val="475569"/>
                <w:sz w:val="17"/>
                <w:szCs w:val="17"/>
              </w:rPr>
              <w:t xml:space="preserve">On-time rate per driver, per vendor, per route. Dispute rate. Damage rate. Client satisfaction proxy.</w:t>
            </w:r>
          </w:p>
          <w:p>
            <w:r>
              <w:rPr>
                <w:rFonts w:ascii="Arial" w:cs="Arial" w:eastAsia="Arial" w:hAnsi="Arial"/>
                <w:b/>
                <w:bCs/>
                <w:color w:val="0F6E56"/>
                <w:sz w:val="16"/>
                <w:szCs w:val="16"/>
              </w:rPr>
              <w:t xml:space="preserve">ML input</w:t>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475569"/>
                <w:sz w:val="19"/>
                <w:szCs w:val="19"/>
              </w:rPr>
              <w:t xml:space="preserve">Lane Rate Index</w:t>
            </w:r>
          </w:p>
          <w:p>
            <w:r>
              <w:rPr>
                <w:rFonts w:ascii="Arial" w:cs="Arial" w:eastAsia="Arial" w:hAnsi="Arial"/>
                <w:color w:val="475569"/>
                <w:sz w:val="17"/>
                <w:szCs w:val="17"/>
              </w:rPr>
              <w:t xml:space="preserve">Quarterly published rate index per UAE corridor. Sold annually to forwarders, insurers, developers.</w:t>
            </w:r>
          </w:p>
          <w:p>
            <w:r>
              <w:rPr>
                <w:rFonts w:ascii="Arial" w:cs="Arial" w:eastAsia="Arial" w:hAnsi="Arial"/>
                <w:b/>
                <w:bCs/>
                <w:color w:val="0F6E56"/>
                <w:sz w:val="16"/>
                <w:szCs w:val="16"/>
              </w:rPr>
              <w:t xml:space="preserve">Phase 4</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FEF0D3" w:val="clear"/>
            <w:tcMar>
              <w:top w:type="dxa" w:w="80"/>
              <w:left w:type="dxa" w:w="100"/>
              <w:bottom w:type="dxa" w:w="80"/>
              <w:right w:type="dxa" w:w="100"/>
            </w:tcMar>
          </w:tcPr>
          <w:p>
            <w:pPr>
              <w:spacing w:after="40"/>
            </w:pPr>
            <w:r>
              <w:rPr>
                <w:rFonts w:ascii="Arial" w:cs="Arial" w:eastAsia="Arial" w:hAnsi="Arial"/>
                <w:b/>
                <w:bCs/>
                <w:color w:val="BA7517"/>
                <w:sz w:val="19"/>
                <w:szCs w:val="19"/>
              </w:rPr>
              <w:t xml:space="preserve">Engine hours + fuel data</w:t>
            </w:r>
          </w:p>
          <w:p>
            <w:r>
              <w:rPr>
                <w:rFonts w:ascii="Arial" w:cs="Arial" w:eastAsia="Arial" w:hAnsi="Arial"/>
                <w:color w:val="475569"/>
                <w:sz w:val="17"/>
                <w:szCs w:val="17"/>
              </w:rPr>
              <w:t xml:space="preserve">FMB920 reports engine hours, RPM spikes, fuel drops. Maintenance patterns emerge after 90 days.</w:t>
            </w:r>
          </w:p>
        </w:tc>
        <w:tc>
          <w:tcPr>
            <w:tcW w:type="dxa" w:w="2340"/>
            <w:tcBorders>
              <w:top w:val="single" w:color="CCCCCC" w:sz="1"/>
              <w:left w:val="single" w:color="CCCCCC" w:sz="1"/>
              <w:bottom w:val="single" w:color="CCCCCC" w:sz="1"/>
              <w:right w:val="single" w:color="CCCCCC" w:sz="1"/>
            </w:tcBorders>
            <w:shd w:fill="EDE4FA"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ML model trained per asset type</w:t>
            </w:r>
          </w:p>
          <w:p>
            <w:r>
              <w:rPr>
                <w:rFonts w:ascii="Arial" w:cs="Arial" w:eastAsia="Arial" w:hAnsi="Arial"/>
                <w:color w:val="475569"/>
                <w:sz w:val="17"/>
                <w:szCs w:val="17"/>
              </w:rPr>
              <w:t xml:space="preserve">Separate models for truck, crane, generator. Failure prediction per asset class.</w:t>
            </w:r>
          </w:p>
          <w:p>
            <w:r>
              <w:rPr>
                <w:rFonts w:ascii="Arial" w:cs="Arial" w:eastAsia="Arial" w:hAnsi="Arial"/>
                <w:b/>
                <w:bCs/>
                <w:color w:val="0F6E56"/>
                <w:sz w:val="16"/>
                <w:szCs w:val="16"/>
              </w:rPr>
              <w:t xml:space="preserve">AI</w:t>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475569"/>
                <w:sz w:val="19"/>
                <w:szCs w:val="19"/>
              </w:rPr>
              <w:t xml:space="preserve">Predictive Maintenance</w:t>
            </w:r>
          </w:p>
          <w:p>
            <w:r>
              <w:rPr>
                <w:rFonts w:ascii="Arial" w:cs="Arial" w:eastAsia="Arial" w:hAnsi="Arial"/>
                <w:color w:val="475569"/>
                <w:sz w:val="17"/>
                <w:szCs w:val="17"/>
              </w:rPr>
              <w:t xml:space="preserve">WhatsApp alert to vendor 14 days before predicted failure. Vendors pay to avoid AED 50K breakdowns.</w:t>
            </w:r>
          </w:p>
          <w:p>
            <w:r>
              <w:rPr>
                <w:rFonts w:ascii="Arial" w:cs="Arial" w:eastAsia="Arial" w:hAnsi="Arial"/>
                <w:b/>
                <w:bCs/>
                <w:color w:val="0F6E56"/>
                <w:sz w:val="16"/>
                <w:szCs w:val="16"/>
              </w:rPr>
              <w:t xml:space="preserve">Phase 4</w:t>
            </w:r>
          </w:p>
        </w:tc>
      </w:tr>
      <w:tr>
        <w:tc>
          <w:tcPr>
            <w:tcW w:type="dxa" w:w="2340"/>
            <w:tcBorders>
              <w:top w:val="single" w:color="CCCCCC" w:sz="1"/>
              <w:left w:val="single" w:color="CCCCCC" w:sz="1"/>
              <w:bottom w:val="single" w:color="CCCCCC" w:sz="1"/>
              <w:right w:val="single" w:color="CCCCCC" w:sz="1"/>
            </w:tcBorders>
            <w:shd w:fill="D5EFE5" w:val="clear"/>
            <w:tcMar>
              <w:top w:type="dxa" w:w="80"/>
              <w:left w:type="dxa" w:w="100"/>
              <w:bottom w:type="dxa" w:w="80"/>
              <w:right w:type="dxa" w:w="100"/>
            </w:tcMar>
          </w:tcPr>
          <w:p>
            <w:pPr>
              <w:spacing w:after="40"/>
            </w:pPr>
            <w:r>
              <w:rPr>
                <w:rFonts w:ascii="Arial" w:cs="Arial" w:eastAsia="Arial" w:hAnsi="Arial"/>
                <w:b/>
                <w:bCs/>
                <w:color w:val="0F6E56"/>
                <w:sz w:val="19"/>
                <w:szCs w:val="19"/>
              </w:rPr>
              <w:t xml:space="preserve">Live supply-demand signal</w:t>
            </w:r>
          </w:p>
          <w:p>
            <w:r>
              <w:rPr>
                <w:rFonts w:ascii="Arial" w:cs="Arial" w:eastAsia="Arial" w:hAnsi="Arial"/>
                <w:color w:val="475569"/>
                <w:sz w:val="17"/>
                <w:szCs w:val="17"/>
              </w:rPr>
              <w:t xml:space="preserve">Available trucks vs active jobs per corridor in real time. Demand spikes visible before rates adjust.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2"/>
                <w:szCs w:val="22"/>
              </w:rPr>
              <w:t xml:space="preserve"/>
            </w:r>
          </w:p>
        </w:tc>
        <w:tc>
          <w:tcPr>
            <w:tcW w:type="dxa" w:w="2340"/>
            <w:tcBorders>
              <w:top w:val="single" w:color="CCCCCC" w:sz="1"/>
              <w:left w:val="single" w:color="CCCCCC" w:sz="1"/>
              <w:bottom w:val="single" w:color="CCCCCC" w:sz="1"/>
              <w:right w:val="single" w:color="CCCCCC" w:sz="1"/>
            </w:tcBorders>
            <w:shd w:fill="EDE4FA" w:val="clear"/>
            <w:tcMar>
              <w:top w:type="dxa" w:w="80"/>
              <w:left w:type="dxa" w:w="100"/>
              <w:bottom w:type="dxa" w:w="80"/>
              <w:right w:type="dxa" w:w="100"/>
            </w:tcMar>
          </w:tcPr>
          <w:p>
            <w:pPr>
              <w:spacing w:after="40"/>
            </w:pPr>
            <w:r>
              <w:rPr>
                <w:rFonts w:ascii="Arial" w:cs="Arial" w:eastAsia="Arial" w:hAnsi="Arial"/>
                <w:b/>
                <w:bCs/>
                <w:color w:val="7C3AED"/>
                <w:sz w:val="19"/>
                <w:szCs w:val="19"/>
              </w:rPr>
              <w:t xml:space="preserve">Dynamic pricing model</w:t>
            </w:r>
          </w:p>
          <w:p>
            <w:r>
              <w:rPr>
                <w:rFonts w:ascii="Arial" w:cs="Arial" w:eastAsia="Arial" w:hAnsi="Arial"/>
                <w:color w:val="475569"/>
                <w:sz w:val="17"/>
                <w:szCs w:val="17"/>
              </w:rPr>
              <w:t xml:space="preserve">Suggests surge rate when supply drops below threshold on a corridor.</w:t>
            </w:r>
          </w:p>
        </w:tc>
        <w:tc>
          <w:tcPr>
            <w:tcW w:type="dxa" w:w="2340"/>
            <w:tcBorders>
              <w:top w:val="single" w:color="CCCCCC" w:sz="1"/>
              <w:left w:val="single" w:color="CCCCCC" w:sz="1"/>
              <w:bottom w:val="single" w:color="CCCCCC" w:sz="1"/>
              <w:right w:val="single" w:color="CCCCCC" w:sz="1"/>
            </w:tcBorders>
            <w:shd w:fill="EEF2F7" w:val="clear"/>
            <w:tcMar>
              <w:top w:type="dxa" w:w="80"/>
              <w:left w:type="dxa" w:w="100"/>
              <w:bottom w:type="dxa" w:w="80"/>
              <w:right w:type="dxa" w:w="100"/>
            </w:tcMar>
          </w:tcPr>
          <w:p>
            <w:pPr>
              <w:spacing w:after="40"/>
            </w:pPr>
            <w:r>
              <w:rPr>
                <w:rFonts w:ascii="Arial" w:cs="Arial" w:eastAsia="Arial" w:hAnsi="Arial"/>
                <w:b/>
                <w:bCs/>
                <w:color w:val="475569"/>
                <w:sz w:val="19"/>
                <w:szCs w:val="19"/>
              </w:rPr>
              <w:t xml:space="preserve">AI Dispatch + Dynamic Pricing</w:t>
            </w:r>
          </w:p>
          <w:p>
            <w:r>
              <w:rPr>
                <w:rFonts w:ascii="Arial" w:cs="Arial" w:eastAsia="Arial" w:hAnsi="Arial"/>
                <w:color w:val="475569"/>
                <w:sz w:val="17"/>
                <w:szCs w:val="17"/>
              </w:rPr>
              <w:t xml:space="preserve">Return load matching fills dead runs. Surge pricing captures demand spikes. Kasper earns more automatically.</w:t>
            </w:r>
          </w:p>
          <w:p>
            <w:r>
              <w:rPr>
                <w:rFonts w:ascii="Arial" w:cs="Arial" w:eastAsia="Arial" w:hAnsi="Arial"/>
                <w:b/>
                <w:bCs/>
                <w:color w:val="0F6E56"/>
                <w:sz w:val="16"/>
                <w:szCs w:val="16"/>
              </w:rPr>
              <w:t xml:space="preserve">Phase 4</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Telematics SaaS Pricing —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Product</w:t>
            </w:r>
          </w:p>
        </w:tc>
        <w:tc>
          <w:tcPr>
            <w:tcW w:type="dxa" w:w="65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Pricing model and target buyer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Fleet Intelligence SaaS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AED 1,500–5,000/month per fleet operator. Includes predictive maintenance, AI dispatch, driver scoring dashboard, fleet utilisation report. Target: mid-size operators 10–100 trucks.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ESG &amp; Emissions Reporting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2,000–8,000 per project or subscription. CO2 per equipment type per hour. Regulatory compliance reports. Target: enterprise construction clients, developers, government contractors.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Lane Rate Index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AED 5,000–20,000 annual subscription. Quarterly UAE freight rate by corridor plus demand index. Target: freight forwarders, insurers, developers, banks financing logistics assets.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AI Dashcam 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AED 150–300/device/month. Driver behaviour scoring, incident detection, insurance-grade footage. 10–20% insurance premium reduction. Insurance companies co-fund hardware.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B2A"/>
                <w:sz w:val="20"/>
                <w:szCs w:val="20"/>
              </w:rPr>
              <w:t xml:space="preserve">White-label Telematics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AED 5,000/month. Large fleet operators (50+ trucks) license the platform under their own brand. Kasper becomes invisible infrastructure.</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Revenue Model — Why This Layer Has Near-100% Gross Margin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160"/>
      </w:tblGrid>
      <w:tr>
        <w:tc>
          <w:tcPr>
            <w:tcW w:type="dxa" w:w="22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30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Revenue model</w:t>
            </w:r>
          </w:p>
        </w:tc>
        <w:tc>
          <w:tcPr>
            <w:tcW w:type="dxa" w:w="216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Why margin is near 100%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Predictive maintenance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Included in fleet SaaS AED 1,500–5,000/mo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C3AED"/>
                <w:sz w:val="19"/>
                <w:szCs w:val="19"/>
              </w:rPr>
              <w:t xml:space="preserve">ML model trained once. Runs on data Kasper already has. Zero incremental cost per alert 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AI dispatch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Commission on matched return loads 8–12%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C3AED"/>
                <w:sz w:val="19"/>
                <w:szCs w:val="19"/>
              </w:rPr>
              <w:t xml:space="preserve">Pure matching. Kasper earns on return load with no additional ops cost. Data does the 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Emissions reporting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2,000–8,000 per project or subscription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C3AED"/>
                <w:sz w:val="19"/>
                <w:szCs w:val="19"/>
              </w:rPr>
              <w:t xml:space="preserve">Report generated from existing GPS + engine data. Incremental cost: near zero. Compliance urgency is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Lane rate 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AED 5,000–20,000 annual subscription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C3AED"/>
                <w:sz w:val="19"/>
                <w:szCs w:val="19"/>
              </w:rPr>
              <w:t xml:space="preserve">Data already collected from marketplace jobs. Publishing it costs nothing. Demand is institutional.</w:t>
            </w:r>
          </w:p>
        </w:tc>
      </w:tr>
    </w:tbl>
    <w:p>
      <w:pPr>
        <w:spacing w:after="0" w:before="120"/>
      </w:pPr>
      <w:r>
        <w:rPr>
          <w:rFonts w:ascii="Arial" w:cs="Arial" w:eastAsia="Arial" w:hAnsi="Arial"/>
          <w:sz w:val="22"/>
          <w:szCs w:val="22"/>
        </w:rPr>
        <w:t xml:space="preserve"/>
      </w:r>
    </w:p>
    <w:p>
      <w:pPr>
        <w:pStyle w:val="Heading2"/>
        <w:spacing w:after="120" w:before="240"/>
      </w:pPr>
      <w:r>
        <w:rPr>
          <w:rFonts w:ascii="Arial" w:cs="Arial" w:eastAsia="Arial" w:hAnsi="Arial"/>
          <w:b/>
          <w:bCs/>
          <w:color w:val="1D9E75"/>
          <w:sz w:val="28"/>
          <w:szCs w:val="28"/>
        </w:rPr>
        <w:t xml:space="preserve">Why Every Job We Run Today Builds This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3FF" w:val="clear"/>
            <w:tcMar>
              <w:top w:type="dxa" w:w="200"/>
              <w:left w:type="dxa" w:w="280"/>
              <w:bottom w:type="dxa" w:w="200"/>
              <w:right w:type="dxa" w:w="280"/>
            </w:tcMar>
          </w:tcPr>
          <w:p>
            <w:pPr>
              <w:spacing w:after="80"/>
            </w:pPr>
            <w:r>
              <w:rPr>
                <w:rFonts w:ascii="Arial" w:cs="Arial" w:eastAsia="Arial" w:hAnsi="Arial"/>
                <w:b/>
                <w:bCs/>
                <w:color w:val="7C3AED"/>
                <w:sz w:val="22"/>
                <w:szCs w:val="22"/>
              </w:rPr>
              <w:t xml:space="preserve">Every job from day one is an investment in Product 4</w:t>
            </w:r>
          </w:p>
          <w:p>
            <w:r>
              <w:rPr>
                <w:rFonts w:ascii="Arial" w:cs="Arial" w:eastAsia="Arial" w:hAnsi="Arial"/>
                <w:color w:val="333333"/>
                <w:sz w:val="20"/>
                <w:szCs w:val="20"/>
              </w:rPr>
              <w:t xml:space="preserve">Every booking in the marketplace, every GPS ping from a Vendor OS driver, every ePOD signature — all of it feeds the telematics data model. The team running the marketplace in Month 1 is not just earning commission. They are training the dataset that makes Kasper irreplaceable in Year 3. This is the reason we do not build only the marketplace. The data lock-in starts from day one.</w:t>
            </w:r>
          </w:p>
        </w:tc>
      </w:tr>
    </w:tbl>
    <w:p>
      <w:pPr>
        <w:spacing w:after="0" w:before="120"/>
      </w:pP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color w:val="333333"/>
          <w:sz w:val="22"/>
          <w:szCs w:val="22"/>
        </w:rPr>
        <w:t xml:space="preserve">Zero competitors have this data in GCC. No platform is collecting this specific combination of construction freight rates + GPS + ePOD performance data. The window to own this dataset is open now.</w:t>
      </w:r>
    </w:p>
    <w:p>
      <w:pPr>
        <w:pStyle w:val="ListParagraph"/>
        <w:numPr>
          <w:ilvl w:val="0"/>
          <w:numId w:val="2"/>
        </w:numPr>
        <w:spacing w:after="60"/>
      </w:pPr>
      <w:r>
        <w:rPr>
          <w:rFonts w:ascii="Arial" w:cs="Arial" w:eastAsia="Arial" w:hAnsi="Arial"/>
          <w:color w:val="333333"/>
          <w:sz w:val="22"/>
          <w:szCs w:val="22"/>
        </w:rPr>
        <w:t xml:space="preserve">Near-100% gross margin on data products. Once the ML models are trained and the rate index is built, serving another subscriber costs essentially nothing.</w:t>
      </w:r>
    </w:p>
    <w:p>
      <w:pPr>
        <w:pStyle w:val="ListParagraph"/>
        <w:numPr>
          <w:ilvl w:val="0"/>
          <w:numId w:val="2"/>
        </w:numPr>
        <w:spacing w:after="60"/>
      </w:pPr>
      <w:r>
        <w:rPr>
          <w:rFonts w:ascii="Arial" w:cs="Arial" w:eastAsia="Arial" w:hAnsi="Arial"/>
          <w:color w:val="333333"/>
          <w:sz w:val="22"/>
          <w:szCs w:val="22"/>
        </w:rPr>
        <w:t xml:space="preserve">Year 3 combined ARR target: Marketplace AED 19.5M + Vendor SaaS AED 1.9M + GPS AED 1.15M + Telematics on top. Three independent revenue streams, each growing separately.</w:t>
      </w:r>
    </w:p>
    <w:p>
      <w:pPr>
        <w:pStyle w:val="ListParagraph"/>
        <w:numPr>
          <w:ilvl w:val="0"/>
          <w:numId w:val="2"/>
        </w:numPr>
        <w:spacing w:after="60"/>
      </w:pPr>
      <w:r>
        <w:rPr>
          <w:rFonts w:ascii="Arial" w:cs="Arial" w:eastAsia="Arial" w:hAnsi="Arial"/>
          <w:color w:val="333333"/>
          <w:sz w:val="22"/>
          <w:szCs w:val="22"/>
        </w:rPr>
        <w:t xml:space="preserve">Defensibility: by Year 3 with 10,000 jobs and 500 GPS devices, the telematics layer is what makes Kasper defensible against any well-funded competitor who tries to enter the market.</w:t>
      </w:r>
    </w:p>
    <w:p>
      <w:pPr>
        <w:spacing w:after="0" w:before="200"/>
      </w:pPr>
      <w:r>
        <w:rPr>
          <w:rFonts w:ascii="Arial" w:cs="Arial" w:eastAsia="Arial" w:hAnsi="Arial"/>
          <w:sz w:val="22"/>
          <w:szCs w:val="22"/>
        </w:rPr>
        <w:t xml:space="preserve"/>
      </w:r>
    </w:p>
    <w:p>
      <w:pPr>
        <w:jc w:val="center"/>
      </w:pPr>
      <w:r>
        <w:rPr>
          <w:rFonts w:ascii="Arial" w:cs="Arial" w:eastAsia="Arial" w:hAnsi="Arial"/>
          <w:color w:val="94A3B8"/>
          <w:sz w:val="18"/>
          <w:szCs w:val="18"/>
        </w:rPr>
        <w:t xml:space="preserve">Kasper Technologies FZ-LLC  ·  in5 / TECOM Group, Dubai  ·  May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D9E7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Kasper Telematics &amp; Data Intelligence — Product Explainer</dc:title>
  <dc:creator>Un-named</dc:creator>
  <cp:lastModifiedBy>Un-named</cp:lastModifiedBy>
  <cp:revision>1</cp:revision>
  <dcterms:created xsi:type="dcterms:W3CDTF">2026-05-04T18:57:11.509Z</dcterms:created>
  <dcterms:modified xsi:type="dcterms:W3CDTF">2026-05-04T18:57:11.509Z</dcterms:modified>
</cp:coreProperties>
</file>

<file path=docProps/custom.xml><?xml version="1.0" encoding="utf-8"?>
<Properties xmlns="http://schemas.openxmlformats.org/officeDocument/2006/custom-properties" xmlns:vt="http://schemas.openxmlformats.org/officeDocument/2006/docPropsVTypes"/>
</file>