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Space Mono" w:cs="Space Mono" w:eastAsia="Space Mono" w:hAnsi="Space Mono"/>
          <w:caps/>
          <w:color w:val="5B5F66"/>
          <w:spacing w:val="40"/>
          <w:sz w:val="15"/>
          <w:szCs w:val="15"/>
        </w:rPr>
        <w:t xml:space="preserve">Dozr · Product Review</w:t>
      </w:r>
    </w:p>
    <w:p>
      <w:pPr>
        <w:pStyle w:val="Title"/>
        <w:spacing w:after="60"/>
      </w:pPr>
      <w:r>
        <w:t xml:space="preserve">IoT BRD Draft — Review &amp; Feedback</w:t>
      </w:r>
    </w:p>
    <w:p>
      <w:pPr>
        <w:spacing w:after="80" w:line="276"/>
      </w:pPr>
      <w:r>
        <w:rPr>
          <w:rFonts w:ascii="Hanken Grotesk" w:cs="Hanken Grotesk" w:eastAsia="Hanken Grotesk" w:hAnsi="Hanken Grotesk"/>
          <w:i/>
          <w:iCs/>
          <w:color w:val="5B5F66"/>
          <w:sz w:val="21"/>
          <w:szCs w:val="21"/>
        </w:rPr>
        <w:t xml:space="preserve">Assessment of the Kasper IoT Business Requirements Document (v1.0, 27 Aug 2026) against the IoT BRD template and Dozr's product scope.</w:t>
      </w:r>
    </w:p>
    <w:p>
      <w:pPr>
        <w:pBdr>
          <w:bottom w:val="single" w:color="FFC400" w:sz="12" w:space="6"/>
        </w:pBdr>
        <w:spacing w:after="60"/>
      </w:pPr>
      <w:r>
        <w:rPr>
          <w:rFonts w:ascii="Space Mono" w:cs="Space Mono" w:eastAsia="Space Mono" w:hAnsi="Space Mono"/>
          <w:color w:val="5B5F66"/>
          <w:sz w:val="15"/>
          <w:szCs w:val="15"/>
        </w:rPr>
        <w:t xml:space="preserve">For: BRD authoring team    ·    Purpose: review-call briefing    ·    Classification: Internal</w:t>
      </w:r>
    </w:p>
    <w:p>
      <w:pPr>
        <w:spacing w:after="160"/>
      </w:pPr>
    </w:p>
    <w:tbl>
      <w:tblPr>
        <w:tblW w:type="dxa" w:w="9020"/>
        <w:tblBorders>
          <w:top w:val="single" w:color="FFF6D6" w:sz="2"/>
          <w:left w:val="single" w:color="FFC400" w:sz="24"/>
          <w:bottom w:val="single" w:color="FFF6D6" w:sz="2"/>
          <w:right w:val="single" w:color="FFF6D6" w:sz="2"/>
          <w:insideH w:val="none"/>
          <w:insideV w:val="none"/>
        </w:tblBorders>
      </w:tblPr>
      <w:tblGrid>
        <w:gridCol w:w="9020"/>
      </w:tblGrid>
      <w:tr>
        <w:tc>
          <w:tcPr>
            <w:tcW w:type="dxa" w:w="9020"/>
            <w:shd w:fill="FFF6D6" w:color="auto" w:val="clear"/>
            <w:tcMar>
              <w:top w:type="dxa" w:w="140"/>
              <w:left w:type="dxa" w:w="200"/>
              <w:bottom w:type="dxa" w:w="140"/>
              <w:right w:type="dxa" w:w="200"/>
            </w:tcMar>
          </w:tcPr>
          <w:p>
            <w:pPr>
              <w:spacing w:after="60"/>
            </w:pPr>
            <w:r>
              <w:rPr>
                <w:rFonts w:ascii="Space Mono" w:cs="Space Mono" w:eastAsia="Space Mono" w:hAnsi="Space Mono"/>
                <w:caps/>
                <w:color w:val="E6AF00"/>
                <w:spacing w:val="30"/>
                <w:sz w:val="15"/>
                <w:szCs w:val="15"/>
              </w:rPr>
              <w:t xml:space="preserve">At a glance</w:t>
            </w:r>
          </w:p>
          <w:p>
            <w:r>
              <w:rPr>
                <w:rFonts w:ascii="Hanken Grotesk" w:cs="Hanken Grotesk" w:eastAsia="Hanken Grotesk" w:hAnsi="Hanken Grotesk"/>
                <w:color w:val="141518"/>
                <w:sz w:val="21"/>
                <w:szCs w:val="21"/>
              </w:rPr>
              <w:t xml:space="preserve">Strong work — but a first draft in the literal sense. The document is a well-researched, domain-accurate first third of the BRD: it ends at Section 5 of the 16 its own contents page lists, and it covers only the equipment-utilization use case, leaving the logistics / vehicle-movement side of the business largely unaddressed. The path forward is to finish the missing sections and widen the scope — not to rework what is already there.</w:t>
            </w:r>
          </w:p>
        </w:tc>
      </w:tr>
    </w:tbl>
    <w:p>
      <w:pPr>
        <w:spacing w:after="120"/>
      </w:pPr>
    </w:p>
    <w:p>
      <w:pPr>
        <w:pStyle w:val="Heading1"/>
      </w:pPr>
      <w:r>
        <w:t xml:space="preserve">What's working well</w:t>
      </w:r>
    </w:p>
    <w:p>
      <w:pPr>
        <w:spacing w:after="120" w:line="276"/>
      </w:pPr>
      <w:r>
        <w:rPr>
          <w:rFonts w:ascii="Hanken Grotesk" w:cs="Hanken Grotesk" w:eastAsia="Hanken Grotesk" w:hAnsi="Hanken Grotesk"/>
          <w:color w:val="141518"/>
          <w:sz w:val="21"/>
          <w:szCs w:val="21"/>
        </w:rPr>
        <w:t xml:space="preserve">This is well above a fill-in-the-template exercise. The team clearly understood the product and the domain, and that deserves to be said plainly before the gaps:</w:t>
      </w:r>
    </w:p>
    <w:p>
      <w:pPr>
        <w:pStyle w:val="ListParagraph"/>
        <w:numPr>
          <w:ilvl w:val="0"/>
          <w:numId w:val="1"/>
        </w:numPr>
        <w:spacing w:after="90" w:line="268"/>
      </w:pPr>
      <w:r>
        <w:rPr>
          <w:rFonts w:ascii="Hanken Grotesk" w:cs="Hanken Grotesk" w:eastAsia="Hanken Grotesk" w:hAnsi="Hanken Grotesk"/>
          <w:b/>
          <w:bCs/>
          <w:color w:val="141518"/>
          <w:sz w:val="21"/>
          <w:szCs w:val="21"/>
        </w:rPr>
        <w:t xml:space="preserve">Domain-specific rewrite</w:t>
      </w:r>
      <w:r>
        <w:rPr>
          <w:rFonts w:ascii="Hanken Grotesk" w:cs="Hanken Grotesk" w:eastAsia="Hanken Grotesk" w:hAnsi="Hanken Grotesk"/>
          <w:color w:val="141518"/>
          <w:sz w:val="21"/>
          <w:szCs w:val="21"/>
        </w:rPr>
        <w:t xml:space="preserve"> — they adapted the generic template into Dozr's actual business rather than filling blanks — Monthly Utilization Certificates, PMV timesheets and the paper-to-telematics story are all framed correctly.</w:t>
      </w:r>
    </w:p>
    <w:p>
      <w:pPr>
        <w:pStyle w:val="ListParagraph"/>
        <w:numPr>
          <w:ilvl w:val="0"/>
          <w:numId w:val="1"/>
        </w:numPr>
        <w:spacing w:after="90" w:line="268"/>
      </w:pPr>
      <w:r>
        <w:rPr>
          <w:rFonts w:ascii="Hanken Grotesk" w:cs="Hanken Grotesk" w:eastAsia="Hanken Grotesk" w:hAnsi="Hanken Grotesk"/>
          <w:b/>
          <w:bCs/>
          <w:color w:val="141518"/>
          <w:sz w:val="21"/>
          <w:szCs w:val="21"/>
        </w:rPr>
        <w:t xml:space="preserve">The capability-tier model</w:t>
      </w:r>
      <w:r>
        <w:rPr>
          <w:rFonts w:ascii="Hanken Grotesk" w:cs="Hanken Grotesk" w:eastAsia="Hanken Grotesk" w:hAnsi="Hanken Grotesk"/>
          <w:color w:val="141518"/>
          <w:sz w:val="21"/>
          <w:szCs w:val="21"/>
        </w:rPr>
        <w:t xml:space="preserve"> — treating capability as device × machine (not the tier label alone), and the hard constraint that the platform must refuse to open a utilization-billed hire on any asset that cannot source engine hours from the ECU, is the single most important scoping insight in the product. They got it right.</w:t>
      </w:r>
    </w:p>
    <w:p>
      <w:pPr>
        <w:pStyle w:val="ListParagraph"/>
        <w:numPr>
          <w:ilvl w:val="0"/>
          <w:numId w:val="1"/>
        </w:numPr>
        <w:spacing w:after="90" w:line="268"/>
      </w:pPr>
      <w:r>
        <w:rPr>
          <w:rFonts w:ascii="Hanken Grotesk" w:cs="Hanken Grotesk" w:eastAsia="Hanken Grotesk" w:hAnsi="Hanken Grotesk"/>
          <w:b/>
          <w:bCs/>
          <w:color w:val="141518"/>
          <w:sz w:val="21"/>
          <w:szCs w:val="21"/>
        </w:rPr>
        <w:t xml:space="preserve">Data-integrity discipline</w:t>
      </w:r>
      <w:r>
        <w:rPr>
          <w:rFonts w:ascii="Hanken Grotesk" w:cs="Hanken Grotesk" w:eastAsia="Hanken Grotesk" w:hAnsi="Hanken Grotesk"/>
          <w:color w:val="141518"/>
          <w:sz w:val="21"/>
          <w:szCs w:val="21"/>
        </w:rPr>
        <w:t xml:space="preserve"> — source labels on every fuel and engine-hour figure ('ECU' vs 'estimated'), 'not measured' never shown as zero, and monotonic engine hours that flag rather than bill a decrease. This is what makes the record dispute-proof.</w:t>
      </w:r>
    </w:p>
    <w:p>
      <w:pPr>
        <w:pStyle w:val="ListParagraph"/>
        <w:numPr>
          <w:ilvl w:val="0"/>
          <w:numId w:val="1"/>
        </w:numPr>
        <w:spacing w:after="90" w:line="268"/>
      </w:pPr>
      <w:r>
        <w:rPr>
          <w:rFonts w:ascii="Hanken Grotesk" w:cs="Hanken Grotesk" w:eastAsia="Hanken Grotesk" w:hAnsi="Hanken Grotesk"/>
          <w:b/>
          <w:bCs/>
          <w:color w:val="141518"/>
          <w:sz w:val="21"/>
          <w:szCs w:val="21"/>
        </w:rPr>
        <w:t xml:space="preserve">Store-and-forward as first-class</w:t>
      </w:r>
      <w:r>
        <w:rPr>
          <w:rFonts w:ascii="Hanken Grotesk" w:cs="Hanken Grotesk" w:eastAsia="Hanken Grotesk" w:hAnsi="Hanken Grotesk"/>
          <w:color w:val="141518"/>
          <w:sz w:val="21"/>
          <w:szCs w:val="21"/>
        </w:rPr>
        <w:t xml:space="preserve"> — device-time vs received-time, duplicate-safe replay, 'gaps disclosed never inferred', no stale alerts. It correctly treats patchy coverage in basements and ports as normal, not exceptional.</w:t>
      </w:r>
    </w:p>
    <w:p>
      <w:pPr>
        <w:pStyle w:val="ListParagraph"/>
        <w:numPr>
          <w:ilvl w:val="0"/>
          <w:numId w:val="1"/>
        </w:numPr>
        <w:spacing w:after="90" w:line="268"/>
      </w:pPr>
      <w:r>
        <w:rPr>
          <w:rFonts w:ascii="Hanken Grotesk" w:cs="Hanken Grotesk" w:eastAsia="Hanken Grotesk" w:hAnsi="Hanken Grotesk"/>
          <w:b/>
          <w:bCs/>
          <w:color w:val="141518"/>
          <w:sz w:val="21"/>
          <w:szCs w:val="21"/>
        </w:rPr>
        <w:t xml:space="preserve">Correct, real specifics</w:t>
      </w:r>
      <w:r>
        <w:rPr>
          <w:rFonts w:ascii="Hanken Grotesk" w:cs="Hanken Grotesk" w:eastAsia="Hanken Grotesk" w:hAnsi="Hanken Grotesk"/>
          <w:color w:val="141518"/>
          <w:sz w:val="21"/>
          <w:szCs w:val="21"/>
        </w:rPr>
        <w:t xml:space="preserve"> — FMC130, ALL-CAN300, LVCAN200, Codec 8 Extended, Du/Etisalat, and sensible signal and range values. The technical grounding is real, not decorative.</w:t>
      </w:r>
    </w:p>
    <w:p>
      <w:pPr>
        <w:pStyle w:val="ListParagraph"/>
        <w:numPr>
          <w:ilvl w:val="0"/>
          <w:numId w:val="1"/>
        </w:numPr>
        <w:spacing w:after="90" w:line="268"/>
      </w:pPr>
      <w:r>
        <w:rPr>
          <w:rFonts w:ascii="Hanken Grotesk" w:cs="Hanken Grotesk" w:eastAsia="Hanken Grotesk" w:hAnsi="Hanken Grotesk"/>
          <w:b/>
          <w:bCs/>
          <w:color w:val="141518"/>
          <w:sz w:val="21"/>
          <w:szCs w:val="21"/>
        </w:rPr>
        <w:t xml:space="preserve">Clear commercial framing and clean presentation</w:t>
      </w:r>
      <w:r>
        <w:rPr>
          <w:rFonts w:ascii="Hanken Grotesk" w:cs="Hanken Grotesk" w:eastAsia="Hanken Grotesk" w:hAnsi="Hanken Grotesk"/>
          <w:color w:val="141518"/>
          <w:sz w:val="21"/>
          <w:szCs w:val="21"/>
        </w:rPr>
        <w:t xml:space="preserve"> — value is tied to money (fuel theft in AED, idle time, dispute settlement), in a professionally formatted document with good tables and callouts.</w:t>
      </w:r>
    </w:p>
    <w:p>
      <w:pPr>
        <w:pStyle w:val="Heading1"/>
      </w:pPr>
      <w:r>
        <w:t xml:space="preserve">Headline gap 1 — the document is unfinished</w:t>
      </w:r>
    </w:p>
    <w:p>
      <w:pPr>
        <w:spacing w:after="120" w:line="276"/>
      </w:pPr>
      <w:r>
        <w:rPr>
          <w:rFonts w:ascii="Hanken Grotesk" w:cs="Hanken Grotesk" w:eastAsia="Hanken Grotesk" w:hAnsi="Hanken Grotesk"/>
          <w:color w:val="141518"/>
          <w:sz w:val="21"/>
          <w:szCs w:val="21"/>
        </w:rPr>
        <w:t xml:space="preserve">The draft ends at Section 5 (Data Requirements). Sections 6–16, listed in its own table of contents, are not yet written. These are not filler — several are where the build actually gets defined. In rough priority order for the engineering effort:</w:t>
      </w:r>
    </w:p>
    <w:p>
      <w:pPr>
        <w:pStyle w:val="ListParagraph"/>
        <w:numPr>
          <w:ilvl w:val="0"/>
          <w:numId w:val="1"/>
        </w:numPr>
        <w:spacing w:after="90" w:line="268"/>
      </w:pPr>
      <w:r>
        <w:rPr>
          <w:rFonts w:ascii="Hanken Grotesk" w:cs="Hanken Grotesk" w:eastAsia="Hanken Grotesk" w:hAnsi="Hanken Grotesk"/>
          <w:b/>
          <w:bCs/>
          <w:color w:val="141518"/>
          <w:sz w:val="21"/>
          <w:szCs w:val="21"/>
        </w:rPr>
        <w:t xml:space="preserve">Business Rules (§7)</w:t>
      </w:r>
      <w:r>
        <w:rPr>
          <w:rFonts w:ascii="Hanken Grotesk" w:cs="Hanken Grotesk" w:eastAsia="Hanken Grotesk" w:hAnsi="Hanken Grotesk"/>
          <w:color w:val="141518"/>
          <w:sz w:val="21"/>
          <w:szCs w:val="21"/>
        </w:rPr>
        <w:t xml:space="preserve"> — the most important section, and it is empty. This is the logic that makes the product work: the definition of idle (ignition on + no movement for N minutes), geofence enter/exit rules, fuel-drop detection (a drop over X% in Y minutes = theft alert), service-due thresholds (engine-hours since last service), and how a hire period is sealed at month-end. The draft refers to rules 'in Sections 5 and 10' but never writes them.</w:t>
      </w:r>
    </w:p>
    <w:p>
      <w:pPr>
        <w:pStyle w:val="ListParagraph"/>
        <w:numPr>
          <w:ilvl w:val="0"/>
          <w:numId w:val="1"/>
        </w:numPr>
        <w:spacing w:after="90" w:line="268"/>
      </w:pPr>
      <w:r>
        <w:rPr>
          <w:rFonts w:ascii="Hanken Grotesk" w:cs="Hanken Grotesk" w:eastAsia="Hanken Grotesk" w:hAnsi="Hanken Grotesk"/>
          <w:b/>
          <w:bCs/>
          <w:color w:val="141518"/>
          <w:sz w:val="21"/>
          <w:szCs w:val="21"/>
        </w:rPr>
        <w:t xml:space="preserve">Alerts (§8)</w:t>
      </w:r>
      <w:r>
        <w:rPr>
          <w:rFonts w:ascii="Hanken Grotesk" w:cs="Hanken Grotesk" w:eastAsia="Hanken Grotesk" w:hAnsi="Hanken Grotesk"/>
          <w:color w:val="141518"/>
          <w:sz w:val="21"/>
          <w:szCs w:val="21"/>
        </w:rPr>
        <w:t xml:space="preserve"> — the scope lists alert types but not their specification. Each alert needs a condition, severity, channel (WhatsApp / email / in-app), recipients, escalation, and de-duplication / stale suppression. WhatsApp routing is central to the product and cannot be left implicit.</w:t>
      </w:r>
    </w:p>
    <w:p>
      <w:pPr>
        <w:pStyle w:val="ListParagraph"/>
        <w:numPr>
          <w:ilvl w:val="0"/>
          <w:numId w:val="1"/>
        </w:numPr>
        <w:spacing w:after="90" w:line="268"/>
      </w:pPr>
      <w:r>
        <w:rPr>
          <w:rFonts w:ascii="Hanken Grotesk" w:cs="Hanken Grotesk" w:eastAsia="Hanken Grotesk" w:hAnsi="Hanken Grotesk"/>
          <w:b/>
          <w:bCs/>
          <w:color w:val="141518"/>
          <w:sz w:val="21"/>
          <w:szCs w:val="21"/>
        </w:rPr>
        <w:t xml:space="preserve">Integration / API (§6)</w:t>
      </w:r>
      <w:r>
        <w:rPr>
          <w:rFonts w:ascii="Hanken Grotesk" w:cs="Hanken Grotesk" w:eastAsia="Hanken Grotesk" w:hAnsi="Hanken Grotesk"/>
          <w:color w:val="141518"/>
          <w:sz w:val="21"/>
          <w:szCs w:val="21"/>
        </w:rPr>
        <w:t xml:space="preserve"> — the scope name-drops AWS IoT Core, an ECS bridge, Lambda → TimescaleDB, ASP.NET Core and MQTT, but there is no API contract: authentication, endpoints, request/response shapes, error codes, retry/timeout, rate limits, encryption. The backend team has nothing to build against.</w:t>
      </w:r>
    </w:p>
    <w:p>
      <w:pPr>
        <w:pStyle w:val="ListParagraph"/>
        <w:numPr>
          <w:ilvl w:val="0"/>
          <w:numId w:val="1"/>
        </w:numPr>
        <w:spacing w:after="90" w:line="268"/>
      </w:pPr>
      <w:r>
        <w:rPr>
          <w:rFonts w:ascii="Hanken Grotesk" w:cs="Hanken Grotesk" w:eastAsia="Hanken Grotesk" w:hAnsi="Hanken Grotesk"/>
          <w:b/>
          <w:bCs/>
          <w:color w:val="141518"/>
          <w:sz w:val="21"/>
          <w:szCs w:val="21"/>
        </w:rPr>
        <w:t xml:space="preserve">Security (§10)</w:t>
      </w:r>
      <w:r>
        <w:rPr>
          <w:rFonts w:ascii="Hanken Grotesk" w:cs="Hanken Grotesk" w:eastAsia="Hanken Grotesk" w:hAnsi="Hanken Grotesk"/>
          <w:color w:val="141518"/>
          <w:sz w:val="21"/>
          <w:szCs w:val="21"/>
        </w:rPr>
        <w:t xml:space="preserve"> — absent, and critical for a fleet of field devices: device authentication and allow-listing, API authentication, encryption in transit and at rest, role-based access, audit logs, and protection of the 7-year immutable evidence store that underpins the dispute-proof promise.</w:t>
      </w:r>
    </w:p>
    <w:p>
      <w:pPr>
        <w:pStyle w:val="ListParagraph"/>
        <w:numPr>
          <w:ilvl w:val="0"/>
          <w:numId w:val="1"/>
        </w:numPr>
        <w:spacing w:after="90" w:line="268"/>
      </w:pPr>
      <w:r>
        <w:rPr>
          <w:rFonts w:ascii="Hanken Grotesk" w:cs="Hanken Grotesk" w:eastAsia="Hanken Grotesk" w:hAnsi="Hanken Grotesk"/>
          <w:b/>
          <w:bCs/>
          <w:color w:val="141518"/>
          <w:sz w:val="21"/>
          <w:szCs w:val="21"/>
        </w:rPr>
        <w:t xml:space="preserve">Acceptance Criteria (§13)</w:t>
      </w:r>
      <w:r>
        <w:rPr>
          <w:rFonts w:ascii="Hanken Grotesk" w:cs="Hanken Grotesk" w:eastAsia="Hanken Grotesk" w:hAnsi="Hanken Grotesk"/>
          <w:color w:val="141518"/>
          <w:sz w:val="21"/>
          <w:szCs w:val="21"/>
        </w:rPr>
        <w:t xml:space="preserve"> — needs to be measurable and numeric — for example ≥99% transmission success under normal coverage, engine-hours accurate to a defined tolerance against the ECU, 100% duplicate-safe replay, and the generated MUC matching the manual certificate within X% during a parallel-run pilot.</w:t>
      </w:r>
    </w:p>
    <w:p>
      <w:pPr>
        <w:pStyle w:val="ListParagraph"/>
        <w:numPr>
          <w:ilvl w:val="0"/>
          <w:numId w:val="1"/>
        </w:numPr>
        <w:spacing w:after="90" w:line="268"/>
      </w:pPr>
      <w:r>
        <w:rPr>
          <w:rFonts w:ascii="Hanken Grotesk" w:cs="Hanken Grotesk" w:eastAsia="Hanken Grotesk" w:hAnsi="Hanken Grotesk"/>
          <w:b/>
          <w:bCs/>
          <w:color w:val="141518"/>
          <w:sz w:val="21"/>
          <w:szCs w:val="21"/>
        </w:rPr>
        <w:t xml:space="preserve">Dashboard/Reports (§9), Testing (§11), UAT (§12), Implementation Plan (§14), Dependencies (§15), Sign-off (§16)</w:t>
      </w:r>
      <w:r>
        <w:rPr>
          <w:rFonts w:ascii="Hanken Grotesk" w:cs="Hanken Grotesk" w:eastAsia="Hanken Grotesk" w:hAnsi="Hanken Grotesk"/>
          <w:color w:val="141518"/>
          <w:sz w:val="21"/>
          <w:szCs w:val="21"/>
        </w:rPr>
        <w:t xml:space="preserve"> — all still to be written. Two deserve a specific nudge: Testing must include CAN-decode validation per machine make/model plus replay and coverage-gap testing, not just generic test layers; and Dependencies should promote the per-machine Teltonika CAN program number from a footnote in §5.4 to a project-blocking dependency, alongside SIM provisioning, carrier agreements, installer availability and the AWS environment.</w:t>
      </w:r>
    </w:p>
    <w:p>
      <w:pPr>
        <w:pStyle w:val="Heading1"/>
      </w:pPr>
      <w:r>
        <w:t xml:space="preserve">Headline gap 2 — the logistics / vehicle-movement use case is missing</w:t>
      </w:r>
    </w:p>
    <w:p>
      <w:pPr>
        <w:spacing w:after="120" w:line="276"/>
      </w:pPr>
      <w:r>
        <w:rPr>
          <w:rFonts w:ascii="Hanken Grotesk" w:cs="Hanken Grotesk" w:eastAsia="Hanken Grotesk" w:hAnsi="Hanken Grotesk"/>
          <w:color w:val="141518"/>
          <w:sz w:val="21"/>
          <w:szCs w:val="21"/>
        </w:rPr>
        <w:t xml:space="preserve">Dozr's devices serve two businesses, not one — and the draft covers the first thoroughly and the second barely.</w:t>
      </w:r>
    </w:p>
    <w:p>
      <w:pPr>
        <w:spacing w:after="120" w:line="276"/>
      </w:pPr>
      <w:r>
        <w:rPr>
          <w:rFonts w:ascii="Hanken Grotesk" w:cs="Hanken Grotesk" w:eastAsia="Hanken Grotesk" w:hAnsi="Hanken Grotesk"/>
          <w:color w:val="141518"/>
          <w:sz w:val="21"/>
          <w:szCs w:val="21"/>
        </w:rPr>
        <w:t xml:space="preserve">The first is </w:t>
      </w:r>
      <w:r>
        <w:rPr>
          <w:rFonts w:ascii="Hanken Grotesk" w:cs="Hanken Grotesk" w:eastAsia="Hanken Grotesk" w:hAnsi="Hanken Grotesk"/>
          <w:b/>
          <w:bCs/>
          <w:color w:val="141518"/>
          <w:sz w:val="21"/>
          <w:szCs w:val="21"/>
        </w:rPr>
        <w:t xml:space="preserve">equipment utilization</w:t>
      </w:r>
      <w:r>
        <w:rPr>
          <w:rFonts w:ascii="Hanken Grotesk" w:cs="Hanken Grotesk" w:eastAsia="Hanken Grotesk" w:hAnsi="Hanken Grotesk"/>
          <w:color w:val="141518"/>
          <w:sz w:val="21"/>
          <w:szCs w:val="21"/>
        </w:rPr>
        <w:t xml:space="preserve"> — engine hours on a hired machine, billed via the Monthly Utilization Certificate. The draft handles this well. The second is </w:t>
      </w:r>
      <w:r>
        <w:rPr>
          <w:rFonts w:ascii="Hanken Grotesk" w:cs="Hanken Grotesk" w:eastAsia="Hanken Grotesk" w:hAnsi="Hanken Grotesk"/>
          <w:b/>
          <w:bCs/>
          <w:color w:val="141518"/>
          <w:sz w:val="21"/>
          <w:szCs w:val="21"/>
        </w:rPr>
        <w:t xml:space="preserve">logistics and vehicle movement</w:t>
      </w:r>
      <w:r>
        <w:rPr>
          <w:rFonts w:ascii="Hanken Grotesk" w:cs="Hanken Grotesk" w:eastAsia="Hanken Grotesk" w:hAnsi="Hanken Grotesk"/>
          <w:color w:val="141518"/>
          <w:sz w:val="21"/>
          <w:szCs w:val="21"/>
        </w:rPr>
        <w:t xml:space="preserve"> — dispatching a truck or trailer to move equipment or freight between yards, sites and ports, and tracking that journey to completion. In the current draft this appears only as an incidental 'location' attribute and a single 'Truck 3 entered Site A' alert. Tier 1 assets (flatbeds, tipper trucks, light vehicles) are described only as things 'that need to be seen, not billed by the hour' — with no requirement for what seeing them actually delivers.</w:t>
      </w:r>
    </w:p>
    <w:p>
      <w:pPr>
        <w:spacing w:after="120" w:line="276"/>
      </w:pPr>
      <w:r>
        <w:rPr>
          <w:rFonts w:ascii="Hanken Grotesk" w:cs="Hanken Grotesk" w:eastAsia="Hanken Grotesk" w:hAnsi="Hanken Grotesk"/>
          <w:color w:val="141518"/>
          <w:sz w:val="21"/>
          <w:szCs w:val="21"/>
        </w:rPr>
        <w:t xml:space="preserve">This side needs its own requirements, roughly:</w:t>
      </w:r>
    </w:p>
    <w:p>
      <w:pPr>
        <w:pStyle w:val="ListParagraph"/>
        <w:numPr>
          <w:ilvl w:val="0"/>
          <w:numId w:val="1"/>
        </w:numPr>
        <w:spacing w:after="90" w:line="268"/>
      </w:pPr>
      <w:r>
        <w:rPr>
          <w:rFonts w:ascii="Hanken Grotesk" w:cs="Hanken Grotesk" w:eastAsia="Hanken Grotesk" w:hAnsi="Hanken Grotesk"/>
          <w:b/>
          <w:bCs/>
          <w:color w:val="141518"/>
          <w:sz w:val="21"/>
          <w:szCs w:val="21"/>
        </w:rPr>
        <w:t xml:space="preserve">Trips / journeys</w:t>
      </w:r>
      <w:r>
        <w:rPr>
          <w:rFonts w:ascii="Hanken Grotesk" w:cs="Hanken Grotesk" w:eastAsia="Hanken Grotesk" w:hAnsi="Hanken Grotesk"/>
          <w:color w:val="141518"/>
          <w:sz w:val="21"/>
          <w:szCs w:val="21"/>
        </w:rPr>
        <w:t xml:space="preserve"> — start and end of a movement, origin and destination, distance, duration, route and stop/dwell time — the logistics equivalent of the engine-hour record.</w:t>
      </w:r>
    </w:p>
    <w:p>
      <w:pPr>
        <w:pStyle w:val="ListParagraph"/>
        <w:numPr>
          <w:ilvl w:val="0"/>
          <w:numId w:val="1"/>
        </w:numPr>
        <w:spacing w:after="90" w:line="268"/>
      </w:pPr>
      <w:r>
        <w:rPr>
          <w:rFonts w:ascii="Hanken Grotesk" w:cs="Hanken Grotesk" w:eastAsia="Hanken Grotesk" w:hAnsi="Hanken Grotesk"/>
          <w:b/>
          <w:bCs/>
          <w:color w:val="141518"/>
          <w:sz w:val="21"/>
          <w:szCs w:val="21"/>
        </w:rPr>
        <w:t xml:space="preserve">Dispatch linkage</w:t>
      </w:r>
      <w:r>
        <w:rPr>
          <w:rFonts w:ascii="Hanken Grotesk" w:cs="Hanken Grotesk" w:eastAsia="Hanken Grotesk" w:hAnsi="Hanken Grotesk"/>
          <w:color w:val="141518"/>
          <w:sz w:val="21"/>
          <w:szCs w:val="21"/>
        </w:rPr>
        <w:t xml:space="preserve"> — tying a device's movement to a marketplace job (booking → dispatch → delivery) so a live vehicle maps to a specific hire or freight order rather than existing in isolation.</w:t>
      </w:r>
    </w:p>
    <w:p>
      <w:pPr>
        <w:pStyle w:val="ListParagraph"/>
        <w:numPr>
          <w:ilvl w:val="0"/>
          <w:numId w:val="1"/>
        </w:numPr>
        <w:spacing w:after="90" w:line="268"/>
      </w:pPr>
      <w:r>
        <w:rPr>
          <w:rFonts w:ascii="Hanken Grotesk" w:cs="Hanken Grotesk" w:eastAsia="Hanken Grotesk" w:hAnsi="Hanken Grotesk"/>
          <w:b/>
          <w:bCs/>
          <w:color w:val="141518"/>
          <w:sz w:val="21"/>
          <w:szCs w:val="21"/>
        </w:rPr>
        <w:t xml:space="preserve">Arrival / departure &amp; ETA</w:t>
      </w:r>
      <w:r>
        <w:rPr>
          <w:rFonts w:ascii="Hanken Grotesk" w:cs="Hanken Grotesk" w:eastAsia="Hanken Grotesk" w:hAnsi="Hanken Grotesk"/>
          <w:color w:val="141518"/>
          <w:sz w:val="21"/>
          <w:szCs w:val="21"/>
        </w:rPr>
        <w:t xml:space="preserve"> — geofenced site and port boundaries that fire arrival and departure events, plus an ETA for in-transit vehicles — the data a coordinator or client actually wants.</w:t>
      </w:r>
    </w:p>
    <w:p>
      <w:pPr>
        <w:pStyle w:val="ListParagraph"/>
        <w:numPr>
          <w:ilvl w:val="0"/>
          <w:numId w:val="1"/>
        </w:numPr>
        <w:spacing w:after="90" w:line="268"/>
      </w:pPr>
      <w:r>
        <w:rPr>
          <w:rFonts w:ascii="Hanken Grotesk" w:cs="Hanken Grotesk" w:eastAsia="Hanken Grotesk" w:hAnsi="Hanken Grotesk"/>
          <w:b/>
          <w:bCs/>
          <w:color w:val="141518"/>
          <w:sz w:val="21"/>
          <w:szCs w:val="21"/>
        </w:rPr>
        <w:t xml:space="preserve">Proof of delivery (ePOD)</w:t>
      </w:r>
      <w:r>
        <w:rPr>
          <w:rFonts w:ascii="Hanken Grotesk" w:cs="Hanken Grotesk" w:eastAsia="Hanken Grotesk" w:hAnsi="Hanken Grotesk"/>
          <w:color w:val="141518"/>
          <w:sz w:val="21"/>
          <w:szCs w:val="21"/>
        </w:rPr>
        <w:t xml:space="preserve"> — the movement record that closes the loop in the job flow (… dispatch → GPS tracking → ePOD → invoice), linking a completed journey to delivery confirmation.</w:t>
      </w:r>
    </w:p>
    <w:p>
      <w:pPr>
        <w:pStyle w:val="ListParagraph"/>
        <w:numPr>
          <w:ilvl w:val="0"/>
          <w:numId w:val="1"/>
        </w:numPr>
        <w:spacing w:after="90" w:line="268"/>
      </w:pPr>
      <w:r>
        <w:rPr>
          <w:rFonts w:ascii="Hanken Grotesk" w:cs="Hanken Grotesk" w:eastAsia="Hanken Grotesk" w:hAnsi="Hanken Grotesk"/>
          <w:b/>
          <w:bCs/>
          <w:color w:val="141518"/>
          <w:sz w:val="21"/>
          <w:szCs w:val="21"/>
        </w:rPr>
        <w:t xml:space="preserve">Movement-centric alerts &amp; views</w:t>
      </w:r>
      <w:r>
        <w:rPr>
          <w:rFonts w:ascii="Hanken Grotesk" w:cs="Hanken Grotesk" w:eastAsia="Hanken Grotesk" w:hAnsi="Hanken Grotesk"/>
          <w:color w:val="141518"/>
          <w:sz w:val="21"/>
          <w:szCs w:val="21"/>
        </w:rPr>
        <w:t xml:space="preserve"> — route deviation, unauthorized or after-hours movement, extended stops, and a live logistics / dispatch view distinct from the utilization and fleet-health view.</w:t>
      </w:r>
    </w:p>
    <w:p>
      <w:pPr>
        <w:spacing w:after="120" w:line="276"/>
      </w:pPr>
      <w:r>
        <w:rPr>
          <w:rFonts w:ascii="Hanken Grotesk" w:cs="Hanken Grotesk" w:eastAsia="Hanken Grotesk" w:hAnsi="Hanken Grotesk"/>
          <w:color w:val="141518"/>
          <w:sz w:val="21"/>
          <w:szCs w:val="21"/>
        </w:rPr>
        <w:t xml:space="preserve">Worth deciding with the team whether this belongs in this BRD or a companion 'Logistics / Movement' BRD — but right now it has no home in either, and it is half the reason the devices exist.</w:t>
      </w:r>
    </w:p>
    <w:p>
      <w:pPr>
        <w:pStyle w:val="Heading1"/>
      </w:pPr>
      <w:r>
        <w:t xml:space="preserve">Gaps within the completed sections</w:t>
      </w:r>
    </w:p>
    <w:p>
      <w:pPr>
        <w:pStyle w:val="ListParagraph"/>
        <w:numPr>
          <w:ilvl w:val="0"/>
          <w:numId w:val="1"/>
        </w:numPr>
        <w:spacing w:after="90" w:line="268"/>
      </w:pPr>
      <w:r>
        <w:rPr>
          <w:rFonts w:ascii="Hanken Grotesk" w:cs="Hanken Grotesk" w:eastAsia="Hanken Grotesk" w:hAnsi="Hanken Grotesk"/>
          <w:b/>
          <w:bCs/>
          <w:color w:val="141518"/>
          <w:sz w:val="21"/>
          <w:szCs w:val="21"/>
        </w:rPr>
        <w:t xml:space="preserve">Empty stakeholders table (§1.6)</w:t>
      </w:r>
      <w:r>
        <w:rPr>
          <w:rFonts w:ascii="Hanken Grotesk" w:cs="Hanken Grotesk" w:eastAsia="Hanken Grotesk" w:hAnsi="Hanken Grotesk"/>
          <w:color w:val="141518"/>
          <w:sz w:val="21"/>
          <w:szCs w:val="21"/>
        </w:rPr>
        <w:t xml:space="preserve"> — headers only. Needs sponsor, product owner, Ops, install / auto-electrician partner, carrier and client representative.</w:t>
      </w:r>
    </w:p>
    <w:p>
      <w:pPr>
        <w:pStyle w:val="ListParagraph"/>
        <w:numPr>
          <w:ilvl w:val="0"/>
          <w:numId w:val="1"/>
        </w:numPr>
        <w:spacing w:after="90" w:line="268"/>
      </w:pPr>
      <w:r>
        <w:rPr>
          <w:rFonts w:ascii="Hanken Grotesk" w:cs="Hanken Grotesk" w:eastAsia="Hanken Grotesk" w:hAnsi="Hanken Grotesk"/>
          <w:b/>
          <w:bCs/>
          <w:color w:val="141518"/>
          <w:sz w:val="21"/>
          <w:szCs w:val="21"/>
        </w:rPr>
        <w:t xml:space="preserve">Blank tier pricing (§1.5, §3.2)</w:t>
      </w:r>
      <w:r>
        <w:rPr>
          <w:rFonts w:ascii="Hanken Grotesk" w:cs="Hanken Grotesk" w:eastAsia="Hanken Grotesk" w:hAnsi="Hanken Grotesk"/>
          <w:color w:val="141518"/>
          <w:sz w:val="21"/>
          <w:szCs w:val="21"/>
        </w:rPr>
        <w:t xml:space="preserve"> — shown as '~AED /mo'. If pricing is not set, mark it 'TBD' with an owner rather than leaving it dangling.</w:t>
      </w:r>
    </w:p>
    <w:p>
      <w:pPr>
        <w:pStyle w:val="ListParagraph"/>
        <w:numPr>
          <w:ilvl w:val="0"/>
          <w:numId w:val="1"/>
        </w:numPr>
        <w:spacing w:after="90" w:line="268"/>
      </w:pPr>
      <w:r>
        <w:rPr>
          <w:rFonts w:ascii="Hanken Grotesk" w:cs="Hanken Grotesk" w:eastAsia="Hanken Grotesk" w:hAnsi="Hanken Grotesk"/>
          <w:b/>
          <w:bCs/>
          <w:color w:val="141518"/>
          <w:sz w:val="21"/>
          <w:szCs w:val="21"/>
        </w:rPr>
        <w:t xml:space="preserve">No Non-Functional Requirements and no Risks section</w:t>
      </w:r>
      <w:r>
        <w:rPr>
          <w:rFonts w:ascii="Hanken Grotesk" w:cs="Hanken Grotesk" w:eastAsia="Hanken Grotesk" w:hAnsi="Hanken Grotesk"/>
          <w:color w:val="141518"/>
          <w:sz w:val="21"/>
          <w:szCs w:val="21"/>
        </w:rPr>
        <w:t xml:space="preserve"> — the draft follows the template's 'recommended flow', which happens to drop the standalone NFR, Hardware, Firmware and Risks sections. Defensible — but NFRs (uptime target, alert latency, devices supported, concurrent users, recovery time) and Risks both need a home somewhere.</w:t>
      </w:r>
    </w:p>
    <w:p>
      <w:pPr>
        <w:pStyle w:val="ListParagraph"/>
        <w:numPr>
          <w:ilvl w:val="0"/>
          <w:numId w:val="1"/>
        </w:numPr>
        <w:spacing w:after="90" w:line="268"/>
      </w:pPr>
      <w:r>
        <w:rPr>
          <w:rFonts w:ascii="Hanken Grotesk" w:cs="Hanken Grotesk" w:eastAsia="Hanken Grotesk" w:hAnsi="Hanken Grotesk"/>
          <w:b/>
          <w:bCs/>
          <w:color w:val="141518"/>
          <w:sz w:val="21"/>
          <w:szCs w:val="21"/>
        </w:rPr>
        <w:t xml:space="preserve">'In Scope' is written at engineering altitude (§1.3)</w:t>
      </w:r>
      <w:r>
        <w:rPr>
          <w:rFonts w:ascii="Hanken Grotesk" w:cs="Hanken Grotesk" w:eastAsia="Hanken Grotesk" w:hAnsi="Hanken Grotesk"/>
          <w:color w:val="141518"/>
          <w:sz w:val="21"/>
          <w:szCs w:val="21"/>
        </w:rPr>
        <w:t xml:space="preserve"> — it lists NLB, ECS bridge, Lambda and Vue components. A BRD should state what the business needs and why; the how — specific AWS services, front-end framework — belongs in the Functional Spec the document itself references. A useful lesson on document altitude.</w:t>
      </w:r>
    </w:p>
    <w:p>
      <w:pPr>
        <w:pStyle w:val="Heading1"/>
      </w:pPr>
      <w:r>
        <w:t xml:space="preserve">Precision fixes</w:t>
      </w:r>
    </w:p>
    <w:p>
      <w:pPr>
        <w:pStyle w:val="ListParagraph"/>
        <w:numPr>
          <w:ilvl w:val="0"/>
          <w:numId w:val="1"/>
        </w:numPr>
        <w:spacing w:after="90" w:line="268"/>
      </w:pPr>
      <w:r>
        <w:rPr>
          <w:rFonts w:ascii="Hanken Grotesk" w:cs="Hanken Grotesk" w:eastAsia="Hanken Grotesk" w:hAnsi="Hanken Grotesk"/>
          <w:b/>
          <w:bCs/>
          <w:color w:val="141518"/>
          <w:sz w:val="21"/>
          <w:szCs w:val="21"/>
        </w:rPr>
        <w:t xml:space="preserve">Volume math (§5.3)</w:t>
      </w:r>
      <w:r>
        <w:rPr>
          <w:rFonts w:ascii="Hanken Grotesk" w:cs="Hanken Grotesk" w:eastAsia="Hanken Grotesk" w:hAnsi="Hanken Grotesk"/>
          <w:color w:val="141518"/>
          <w:sz w:val="21"/>
          <w:szCs w:val="21"/>
        </w:rPr>
        <w:t xml:space="preserve"> — the estimate of 1,300–3,500 records per device per day does not hold if the reporting interval drops to 10 seconds, which would produce several times that. Reconcile the figure with whichever interval is chosen.</w:t>
      </w:r>
    </w:p>
    <w:p>
      <w:pPr>
        <w:pStyle w:val="ListParagraph"/>
        <w:numPr>
          <w:ilvl w:val="0"/>
          <w:numId w:val="1"/>
        </w:numPr>
        <w:spacing w:after="90" w:line="268"/>
      </w:pPr>
      <w:r>
        <w:rPr>
          <w:rFonts w:ascii="Hanken Grotesk" w:cs="Hanken Grotesk" w:eastAsia="Hanken Grotesk" w:hAnsi="Hanken Grotesk"/>
          <w:b/>
          <w:bCs/>
          <w:color w:val="141518"/>
          <w:sz w:val="21"/>
          <w:szCs w:val="21"/>
        </w:rPr>
        <w:t xml:space="preserve">Received-timestamp example (§5.2)</w:t>
      </w:r>
      <w:r>
        <w:rPr>
          <w:rFonts w:ascii="Hanken Grotesk" w:cs="Hanken Grotesk" w:eastAsia="Hanken Grotesk" w:hAnsi="Hanken Grotesk"/>
          <w:color w:val="141518"/>
          <w:sz w:val="21"/>
          <w:szCs w:val="21"/>
        </w:rPr>
        <w:t xml:space="preserve"> — the sample shows the platform receiving a reading three seconds after it was recorded, which undersells the store-and-forward design the document otherwise makes well. A replay example measured in hours would illustrate the point.</w:t>
      </w:r>
    </w:p>
    <w:p>
      <w:pPr>
        <w:pStyle w:val="Heading1"/>
      </w:pPr>
      <w:r>
        <w:t xml:space="preserve">Presentation &amp; brand</w:t>
      </w:r>
    </w:p>
    <w:p>
      <w:pPr>
        <w:spacing w:after="120" w:line="276"/>
      </w:pPr>
      <w:r>
        <w:rPr>
          <w:rFonts w:ascii="Hanken Grotesk" w:cs="Hanken Grotesk" w:eastAsia="Hanken Grotesk" w:hAnsi="Hanken Grotesk"/>
          <w:color w:val="141518"/>
          <w:sz w:val="21"/>
          <w:szCs w:val="21"/>
        </w:rPr>
        <w:t xml:space="preserve">The layout is genuinely professional — well-structured tables, priority pills, callouts and running headers. Two things to settle:</w:t>
      </w:r>
    </w:p>
    <w:p>
      <w:pPr>
        <w:pStyle w:val="ListParagraph"/>
        <w:numPr>
          <w:ilvl w:val="0"/>
          <w:numId w:val="1"/>
        </w:numPr>
        <w:spacing w:after="90" w:line="268"/>
      </w:pPr>
      <w:r>
        <w:rPr>
          <w:rFonts w:ascii="Hanken Grotesk" w:cs="Hanken Grotesk" w:eastAsia="Hanken Grotesk" w:hAnsi="Hanken Grotesk"/>
          <w:b/>
          <w:bCs/>
          <w:color w:val="141518"/>
          <w:sz w:val="21"/>
          <w:szCs w:val="21"/>
        </w:rPr>
        <w:t xml:space="preserve">Naming</w:t>
      </w:r>
      <w:r>
        <w:rPr>
          <w:rFonts w:ascii="Hanken Grotesk" w:cs="Hanken Grotesk" w:eastAsia="Hanken Grotesk" w:hAnsi="Hanken Grotesk"/>
          <w:color w:val="141518"/>
          <w:sz w:val="21"/>
          <w:szCs w:val="21"/>
        </w:rPr>
        <w:t xml:space="preserve"> — the document still reads 'Kasper', not Dozr, on a file dated three days ago. Confirm the product name going forward.</w:t>
      </w:r>
    </w:p>
    <w:p>
      <w:pPr>
        <w:pStyle w:val="ListParagraph"/>
        <w:numPr>
          <w:ilvl w:val="0"/>
          <w:numId w:val="1"/>
        </w:numPr>
        <w:spacing w:after="90" w:line="268"/>
      </w:pPr>
      <w:r>
        <w:rPr>
          <w:rFonts w:ascii="Hanken Grotesk" w:cs="Hanken Grotesk" w:eastAsia="Hanken Grotesk" w:hAnsi="Hanken Grotesk"/>
          <w:b/>
          <w:bCs/>
          <w:color w:val="141518"/>
          <w:sz w:val="21"/>
          <w:szCs w:val="21"/>
        </w:rPr>
        <w:t xml:space="preserve">Visual theme</w:t>
      </w:r>
      <w:r>
        <w:rPr>
          <w:rFonts w:ascii="Hanken Grotesk" w:cs="Hanken Grotesk" w:eastAsia="Hanken Grotesk" w:hAnsi="Hanken Grotesk"/>
          <w:color w:val="141518"/>
          <w:sz w:val="21"/>
          <w:szCs w:val="21"/>
        </w:rPr>
        <w:t xml:space="preserve"> — it uses a generic navy/teal, not the Dozr brand system (ink / yellow / canvas; Space Grotesk / Hanken Grotesk). Decide whether brand styling is even in scope for an internal BRD — it may not need to be — but the name at least should be consistent.</w:t>
      </w:r>
    </w:p>
    <w:p>
      <w:pPr>
        <w:pStyle w:val="Heading1"/>
      </w:pPr>
      <w:r>
        <w:t xml:space="preserve">Suggested next steps</w:t>
      </w:r>
    </w:p>
    <w:p>
      <w:pPr>
        <w:pStyle w:val="ListParagraph"/>
        <w:numPr>
          <w:ilvl w:val="0"/>
          <w:numId w:val="2"/>
        </w:numPr>
        <w:spacing w:after="90" w:line="268"/>
      </w:pPr>
      <w:r>
        <w:rPr>
          <w:rFonts w:ascii="Hanken Grotesk" w:cs="Hanken Grotesk" w:eastAsia="Hanken Grotesk" w:hAnsi="Hanken Grotesk"/>
          <w:color w:val="141518"/>
          <w:sz w:val="21"/>
          <w:szCs w:val="21"/>
        </w:rPr>
        <w:t xml:space="preserve">Finish the document — write Sections 6–16, starting with Business Rules, Alerts, API and Security, the sections the build depends on.</w:t>
      </w:r>
    </w:p>
    <w:p>
      <w:pPr>
        <w:pStyle w:val="ListParagraph"/>
        <w:numPr>
          <w:ilvl w:val="0"/>
          <w:numId w:val="2"/>
        </w:numPr>
        <w:spacing w:after="90" w:line="268"/>
      </w:pPr>
      <w:r>
        <w:rPr>
          <w:rFonts w:ascii="Hanken Grotesk" w:cs="Hanken Grotesk" w:eastAsia="Hanken Grotesk" w:hAnsi="Hanken Grotesk"/>
          <w:color w:val="141518"/>
          <w:sz w:val="21"/>
          <w:szCs w:val="21"/>
        </w:rPr>
        <w:t xml:space="preserve">Add the logistics / vehicle-movement use case — decide whether it lives here or in a companion BRD, then specify trips, dispatch linkage, arrival/departure &amp; ETA, ePOD and movement alerts.</w:t>
      </w:r>
    </w:p>
    <w:p>
      <w:pPr>
        <w:pStyle w:val="ListParagraph"/>
        <w:numPr>
          <w:ilvl w:val="0"/>
          <w:numId w:val="2"/>
        </w:numPr>
        <w:spacing w:after="90" w:line="268"/>
      </w:pPr>
      <w:r>
        <w:rPr>
          <w:rFonts w:ascii="Hanken Grotesk" w:cs="Hanken Grotesk" w:eastAsia="Hanken Grotesk" w:hAnsi="Hanken Grotesk"/>
          <w:color w:val="141518"/>
          <w:sz w:val="21"/>
          <w:szCs w:val="21"/>
        </w:rPr>
        <w:t xml:space="preserve">Make acceptance criteria measurable — numeric targets tied to a parallel-run pilot.</w:t>
      </w:r>
    </w:p>
    <w:p>
      <w:pPr>
        <w:pStyle w:val="ListParagraph"/>
        <w:numPr>
          <w:ilvl w:val="0"/>
          <w:numId w:val="2"/>
        </w:numPr>
        <w:spacing w:after="90" w:line="268"/>
      </w:pPr>
      <w:r>
        <w:rPr>
          <w:rFonts w:ascii="Hanken Grotesk" w:cs="Hanken Grotesk" w:eastAsia="Hanken Grotesk" w:hAnsi="Hanken Grotesk"/>
          <w:color w:val="141518"/>
          <w:sz w:val="21"/>
          <w:szCs w:val="21"/>
        </w:rPr>
        <w:t xml:space="preserve">Fill the blanks — stakeholders and tier pricing (or TBD + owner), and reinstate NFRs and Risks.</w:t>
      </w:r>
    </w:p>
    <w:p>
      <w:pPr>
        <w:pStyle w:val="ListParagraph"/>
        <w:numPr>
          <w:ilvl w:val="0"/>
          <w:numId w:val="2"/>
        </w:numPr>
        <w:spacing w:after="90" w:line="268"/>
      </w:pPr>
      <w:r>
        <w:rPr>
          <w:rFonts w:ascii="Hanken Grotesk" w:cs="Hanken Grotesk" w:eastAsia="Hanken Grotesk" w:hAnsi="Hanken Grotesk"/>
          <w:color w:val="141518"/>
          <w:sz w:val="21"/>
          <w:szCs w:val="21"/>
        </w:rPr>
        <w:t xml:space="preserve">Tighten altitude and precision — move implementation detail to the Functional Spec, and fix the volume-math and timestamp examples.</w:t>
      </w:r>
    </w:p>
    <w:p>
      <w:pPr>
        <w:pStyle w:val="ListParagraph"/>
        <w:numPr>
          <w:ilvl w:val="0"/>
          <w:numId w:val="2"/>
        </w:numPr>
        <w:spacing w:after="90" w:line="268"/>
      </w:pPr>
      <w:r>
        <w:rPr>
          <w:rFonts w:ascii="Hanken Grotesk" w:cs="Hanken Grotesk" w:eastAsia="Hanken Grotesk" w:hAnsi="Hanken Grotesk"/>
          <w:color w:val="141518"/>
          <w:sz w:val="21"/>
          <w:szCs w:val="21"/>
        </w:rPr>
        <w:t xml:space="preserve">Confirm brand &amp; naming — Dozr vs Kasper, and whether brand styling applies.</w:t>
      </w:r>
    </w:p>
    <w:p>
      <w:pPr>
        <w:pStyle w:val="Heading1"/>
      </w:pPr>
      <w:r>
        <w:t xml:space="preserve">Appendix — completeness checklist</w:t>
      </w:r>
    </w:p>
    <w:p>
      <w:pPr>
        <w:spacing w:after="120" w:line="276"/>
      </w:pPr>
      <w:r>
        <w:rPr>
          <w:rFonts w:ascii="Hanken Grotesk" w:cs="Hanken Grotesk" w:eastAsia="Hanken Grotesk" w:hAnsi="Hanken Grotesk"/>
          <w:i/>
          <w:iCs/>
          <w:color w:val="5B5F66"/>
          <w:sz w:val="19"/>
          <w:szCs w:val="19"/>
        </w:rPr>
        <w:t xml:space="preserve">Status of every section against the template and the Dozr scope. Use it to track the rewrite.</w:t>
      </w:r>
    </w:p>
    <w:tbl>
      <w:tblPr>
        <w:tblW w:type="dxa" w:w="9020"/>
        <w:tblBorders>
          <w:top w:val="single" w:color="E8E8E3" w:sz="2"/>
          <w:left w:val="none"/>
          <w:bottom w:val="single" w:color="E8E8E3" w:sz="2"/>
          <w:right w:val="none"/>
          <w:insideH w:val="single" w:color="E8E8E3" w:sz="2"/>
          <w:insideV w:val="none"/>
        </w:tblBorders>
      </w:tblPr>
      <w:tblGrid>
        <w:gridCol w:w="2500"/>
        <w:gridCol w:w="1250"/>
        <w:gridCol w:w="5270"/>
      </w:tblGrid>
      <w:tr>
        <w:trPr>
          <w:tblHeader/>
        </w:trPr>
        <w:tc>
          <w:tcPr>
            <w:tcW w:type="dxa" w:w="2500"/>
            <w:shd w:fill="141518" w:color="auto" w:val="clear"/>
            <w:tcMar>
              <w:top w:type="dxa" w:w="70"/>
              <w:left w:type="dxa" w:w="120"/>
              <w:bottom w:type="dxa" w:w="70"/>
              <w:right w:type="dxa" w:w="120"/>
            </w:tcMar>
          </w:tcPr>
          <w:p>
            <w:r>
              <w:rPr>
                <w:rFonts w:ascii="Space Mono" w:cs="Space Mono" w:eastAsia="Space Mono" w:hAnsi="Space Mono"/>
                <w:caps/>
                <w:color w:val="FFFFFF"/>
                <w:spacing w:val="20"/>
                <w:sz w:val="15"/>
                <w:szCs w:val="15"/>
              </w:rPr>
              <w:t xml:space="preserve">Section</w:t>
            </w:r>
          </w:p>
        </w:tc>
        <w:tc>
          <w:tcPr>
            <w:tcW w:type="dxa" w:w="1250"/>
            <w:shd w:fill="141518" w:color="auto" w:val="clear"/>
            <w:tcMar>
              <w:top w:type="dxa" w:w="70"/>
              <w:left w:type="dxa" w:w="120"/>
              <w:bottom w:type="dxa" w:w="70"/>
              <w:right w:type="dxa" w:w="120"/>
            </w:tcMar>
          </w:tcPr>
          <w:p>
            <w:r>
              <w:rPr>
                <w:rFonts w:ascii="Space Mono" w:cs="Space Mono" w:eastAsia="Space Mono" w:hAnsi="Space Mono"/>
                <w:caps/>
                <w:color w:val="FFFFFF"/>
                <w:spacing w:val="20"/>
                <w:sz w:val="15"/>
                <w:szCs w:val="15"/>
              </w:rPr>
              <w:t xml:space="preserve">Status</w:t>
            </w:r>
          </w:p>
        </w:tc>
        <w:tc>
          <w:tcPr>
            <w:tcW w:type="dxa" w:w="5270"/>
            <w:shd w:fill="141518" w:color="auto" w:val="clear"/>
            <w:tcMar>
              <w:top w:type="dxa" w:w="70"/>
              <w:left w:type="dxa" w:w="120"/>
              <w:bottom w:type="dxa" w:w="70"/>
              <w:right w:type="dxa" w:w="120"/>
            </w:tcMar>
          </w:tcPr>
          <w:p>
            <w:r>
              <w:rPr>
                <w:rFonts w:ascii="Space Mono" w:cs="Space Mono" w:eastAsia="Space Mono" w:hAnsi="Space Mono"/>
                <w:caps/>
                <w:color w:val="FFFFFF"/>
                <w:spacing w:val="20"/>
                <w:sz w:val="15"/>
                <w:szCs w:val="15"/>
              </w:rPr>
              <w:t xml:space="preserve">What's needed</w:t>
            </w:r>
          </w:p>
        </w:tc>
      </w:tr>
      <w:tr>
        <w:tc>
          <w:tcPr>
            <w:tcW w:type="dxa" w:w="2500"/>
            <w:tcMar>
              <w:top w:type="dxa" w:w="60"/>
              <w:left w:type="dxa" w:w="120"/>
              <w:bottom w:type="dxa" w:w="60"/>
              <w:right w:type="dxa" w:w="120"/>
            </w:tcMar>
            <w:vAlign w:val="center"/>
          </w:tcPr>
          <w:p>
            <w:r>
              <w:rPr>
                <w:rFonts w:ascii="Hanken Grotesk" w:cs="Hanken Grotesk" w:eastAsia="Hanken Grotesk" w:hAnsi="Hanken Grotesk"/>
                <w:b/>
                <w:bCs/>
                <w:color w:val="141518"/>
                <w:sz w:val="18"/>
                <w:szCs w:val="18"/>
              </w:rPr>
              <w:t xml:space="preserve">1 · Project Scope</w:t>
            </w:r>
          </w:p>
        </w:tc>
        <w:tc>
          <w:tcPr>
            <w:tcW w:type="dxa" w:w="1250"/>
            <w:tcMar>
              <w:top w:type="dxa" w:w="60"/>
              <w:left w:type="dxa" w:w="120"/>
              <w:bottom w:type="dxa" w:w="60"/>
              <w:right w:type="dxa" w:w="120"/>
            </w:tcMar>
            <w:vAlign w:val="center"/>
          </w:tcPr>
          <w:p>
            <w:r>
              <w:rPr>
                <w:rFonts w:ascii="Hanken Grotesk" w:cs="Hanken Grotesk" w:eastAsia="Hanken Grotesk" w:hAnsi="Hanken Grotesk"/>
                <w:b/>
                <w:bCs/>
                <w:color w:val="1F9A6D"/>
                <w:sz w:val="18"/>
                <w:szCs w:val="18"/>
              </w:rPr>
              <w:t xml:space="preserve">Present</w:t>
            </w:r>
          </w:p>
        </w:tc>
        <w:tc>
          <w:tcPr>
            <w:tcW w:type="dxa" w:w="5270"/>
            <w:tcMar>
              <w:top w:type="dxa" w:w="60"/>
              <w:left w:type="dxa" w:w="120"/>
              <w:bottom w:type="dxa" w:w="60"/>
              <w:right w:type="dxa" w:w="120"/>
            </w:tcMar>
            <w:vAlign w:val="center"/>
          </w:tcPr>
          <w:p>
            <w:r>
              <w:rPr>
                <w:rFonts w:ascii="Hanken Grotesk" w:cs="Hanken Grotesk" w:eastAsia="Hanken Grotesk" w:hAnsi="Hanken Grotesk"/>
                <w:color w:val="141518"/>
                <w:sz w:val="18"/>
                <w:szCs w:val="18"/>
              </w:rPr>
              <w:t xml:space="preserve">Widen scope to logistics; move engineering detail to the Functional Spec; fill tier prices</w:t>
            </w:r>
          </w:p>
        </w:tc>
      </w:tr>
      <w:tr>
        <w:tc>
          <w:tcPr>
            <w:tcW w:type="dxa" w:w="2500"/>
            <w:shd w:fill="F6F6F3" w:color="auto" w:val="clear"/>
            <w:tcMar>
              <w:top w:type="dxa" w:w="60"/>
              <w:left w:type="dxa" w:w="120"/>
              <w:bottom w:type="dxa" w:w="60"/>
              <w:right w:type="dxa" w:w="120"/>
            </w:tcMar>
            <w:vAlign w:val="center"/>
          </w:tcPr>
          <w:p>
            <w:r>
              <w:rPr>
                <w:rFonts w:ascii="Hanken Grotesk" w:cs="Hanken Grotesk" w:eastAsia="Hanken Grotesk" w:hAnsi="Hanken Grotesk"/>
                <w:b/>
                <w:bCs/>
                <w:color w:val="141518"/>
                <w:sz w:val="18"/>
                <w:szCs w:val="18"/>
              </w:rPr>
              <w:t xml:space="preserve">2 · Business Process</w:t>
            </w:r>
          </w:p>
        </w:tc>
        <w:tc>
          <w:tcPr>
            <w:tcW w:type="dxa" w:w="1250"/>
            <w:shd w:fill="F6F6F3" w:color="auto" w:val="clear"/>
            <w:tcMar>
              <w:top w:type="dxa" w:w="60"/>
              <w:left w:type="dxa" w:w="120"/>
              <w:bottom w:type="dxa" w:w="60"/>
              <w:right w:type="dxa" w:w="120"/>
            </w:tcMar>
            <w:vAlign w:val="center"/>
          </w:tcPr>
          <w:p>
            <w:r>
              <w:rPr>
                <w:rFonts w:ascii="Hanken Grotesk" w:cs="Hanken Grotesk" w:eastAsia="Hanken Grotesk" w:hAnsi="Hanken Grotesk"/>
                <w:b/>
                <w:bCs/>
                <w:color w:val="1F9A6D"/>
                <w:sz w:val="18"/>
                <w:szCs w:val="18"/>
              </w:rPr>
              <w:t xml:space="preserve">Strong</w:t>
            </w:r>
          </w:p>
        </w:tc>
        <w:tc>
          <w:tcPr>
            <w:tcW w:type="dxa" w:w="5270"/>
            <w:shd w:fill="F6F6F3" w:color="auto" w:val="clear"/>
            <w:tcMar>
              <w:top w:type="dxa" w:w="60"/>
              <w:left w:type="dxa" w:w="120"/>
              <w:bottom w:type="dxa" w:w="60"/>
              <w:right w:type="dxa" w:w="120"/>
            </w:tcMar>
            <w:vAlign w:val="center"/>
          </w:tcPr>
          <w:p>
            <w:r>
              <w:rPr>
                <w:rFonts w:ascii="Hanken Grotesk" w:cs="Hanken Grotesk" w:eastAsia="Hanken Grotesk" w:hAnsi="Hanken Grotesk"/>
                <w:color w:val="141518"/>
                <w:sz w:val="18"/>
                <w:szCs w:val="18"/>
              </w:rPr>
              <w:t xml:space="preserve">Add a logistics / dispatch scenario alongside the utilization flow</w:t>
            </w:r>
          </w:p>
        </w:tc>
      </w:tr>
      <w:tr>
        <w:tc>
          <w:tcPr>
            <w:tcW w:type="dxa" w:w="2500"/>
            <w:tcMar>
              <w:top w:type="dxa" w:w="60"/>
              <w:left w:type="dxa" w:w="120"/>
              <w:bottom w:type="dxa" w:w="60"/>
              <w:right w:type="dxa" w:w="120"/>
            </w:tcMar>
            <w:vAlign w:val="center"/>
          </w:tcPr>
          <w:p>
            <w:r>
              <w:rPr>
                <w:rFonts w:ascii="Hanken Grotesk" w:cs="Hanken Grotesk" w:eastAsia="Hanken Grotesk" w:hAnsi="Hanken Grotesk"/>
                <w:b/>
                <w:bCs/>
                <w:color w:val="141518"/>
                <w:sz w:val="18"/>
                <w:szCs w:val="18"/>
              </w:rPr>
              <w:t xml:space="preserve">3 · Device Requirements</w:t>
            </w:r>
          </w:p>
        </w:tc>
        <w:tc>
          <w:tcPr>
            <w:tcW w:type="dxa" w:w="1250"/>
            <w:tcMar>
              <w:top w:type="dxa" w:w="60"/>
              <w:left w:type="dxa" w:w="120"/>
              <w:bottom w:type="dxa" w:w="60"/>
              <w:right w:type="dxa" w:w="120"/>
            </w:tcMar>
            <w:vAlign w:val="center"/>
          </w:tcPr>
          <w:p>
            <w:r>
              <w:rPr>
                <w:rFonts w:ascii="Hanken Grotesk" w:cs="Hanken Grotesk" w:eastAsia="Hanken Grotesk" w:hAnsi="Hanken Grotesk"/>
                <w:b/>
                <w:bCs/>
                <w:color w:val="1F9A6D"/>
                <w:sz w:val="18"/>
                <w:szCs w:val="18"/>
              </w:rPr>
              <w:t xml:space="preserve">Strong</w:t>
            </w:r>
          </w:p>
        </w:tc>
        <w:tc>
          <w:tcPr>
            <w:tcW w:type="dxa" w:w="5270"/>
            <w:tcMar>
              <w:top w:type="dxa" w:w="60"/>
              <w:left w:type="dxa" w:w="120"/>
              <w:bottom w:type="dxa" w:w="60"/>
              <w:right w:type="dxa" w:w="120"/>
            </w:tcMar>
            <w:vAlign w:val="center"/>
          </w:tcPr>
          <w:p>
            <w:r>
              <w:rPr>
                <w:rFonts w:ascii="Hanken Grotesk" w:cs="Hanken Grotesk" w:eastAsia="Hanken Grotesk" w:hAnsi="Hanken Grotesk"/>
                <w:color w:val="141518"/>
                <w:sz w:val="18"/>
                <w:szCs w:val="18"/>
              </w:rPr>
              <w:t xml:space="preserve">Tier logic is excellent — no change needed</w:t>
            </w:r>
          </w:p>
        </w:tc>
      </w:tr>
      <w:tr>
        <w:tc>
          <w:tcPr>
            <w:tcW w:type="dxa" w:w="2500"/>
            <w:shd w:fill="F6F6F3" w:color="auto" w:val="clear"/>
            <w:tcMar>
              <w:top w:type="dxa" w:w="60"/>
              <w:left w:type="dxa" w:w="120"/>
              <w:bottom w:type="dxa" w:w="60"/>
              <w:right w:type="dxa" w:w="120"/>
            </w:tcMar>
            <w:vAlign w:val="center"/>
          </w:tcPr>
          <w:p>
            <w:r>
              <w:rPr>
                <w:rFonts w:ascii="Hanken Grotesk" w:cs="Hanken Grotesk" w:eastAsia="Hanken Grotesk" w:hAnsi="Hanken Grotesk"/>
                <w:b/>
                <w:bCs/>
                <w:color w:val="141518"/>
                <w:sz w:val="18"/>
                <w:szCs w:val="18"/>
              </w:rPr>
              <w:t xml:space="preserve">4 · Sensor Requirements</w:t>
            </w:r>
          </w:p>
        </w:tc>
        <w:tc>
          <w:tcPr>
            <w:tcW w:type="dxa" w:w="1250"/>
            <w:shd w:fill="F6F6F3" w:color="auto" w:val="clear"/>
            <w:tcMar>
              <w:top w:type="dxa" w:w="60"/>
              <w:left w:type="dxa" w:w="120"/>
              <w:bottom w:type="dxa" w:w="60"/>
              <w:right w:type="dxa" w:w="120"/>
            </w:tcMar>
            <w:vAlign w:val="center"/>
          </w:tcPr>
          <w:p>
            <w:r>
              <w:rPr>
                <w:rFonts w:ascii="Hanken Grotesk" w:cs="Hanken Grotesk" w:eastAsia="Hanken Grotesk" w:hAnsi="Hanken Grotesk"/>
                <w:b/>
                <w:bCs/>
                <w:color w:val="1F9A6D"/>
                <w:sz w:val="18"/>
                <w:szCs w:val="18"/>
              </w:rPr>
              <w:t xml:space="preserve">Present</w:t>
            </w:r>
          </w:p>
        </w:tc>
        <w:tc>
          <w:tcPr>
            <w:tcW w:type="dxa" w:w="5270"/>
            <w:shd w:fill="F6F6F3" w:color="auto" w:val="clear"/>
            <w:tcMar>
              <w:top w:type="dxa" w:w="60"/>
              <w:left w:type="dxa" w:w="120"/>
              <w:bottom w:type="dxa" w:w="60"/>
              <w:right w:type="dxa" w:w="120"/>
            </w:tcMar>
            <w:vAlign w:val="center"/>
          </w:tcPr>
          <w:p>
            <w:r>
              <w:rPr>
                <w:rFonts w:ascii="Hanken Grotesk" w:cs="Hanken Grotesk" w:eastAsia="Hanken Grotesk" w:hAnsi="Hanken Grotesk"/>
                <w:color w:val="141518"/>
                <w:sz w:val="18"/>
                <w:szCs w:val="18"/>
              </w:rPr>
              <w:t xml:space="preserve">Consider movement / trip-relevant signals for Tier 1 assets</w:t>
            </w:r>
          </w:p>
        </w:tc>
      </w:tr>
      <w:tr>
        <w:tc>
          <w:tcPr>
            <w:tcW w:type="dxa" w:w="2500"/>
            <w:tcMar>
              <w:top w:type="dxa" w:w="60"/>
              <w:left w:type="dxa" w:w="120"/>
              <w:bottom w:type="dxa" w:w="60"/>
              <w:right w:type="dxa" w:w="120"/>
            </w:tcMar>
            <w:vAlign w:val="center"/>
          </w:tcPr>
          <w:p>
            <w:r>
              <w:rPr>
                <w:rFonts w:ascii="Hanken Grotesk" w:cs="Hanken Grotesk" w:eastAsia="Hanken Grotesk" w:hAnsi="Hanken Grotesk"/>
                <w:b/>
                <w:bCs/>
                <w:color w:val="141518"/>
                <w:sz w:val="18"/>
                <w:szCs w:val="18"/>
              </w:rPr>
              <w:t xml:space="preserve">5 · Data Requirements</w:t>
            </w:r>
          </w:p>
        </w:tc>
        <w:tc>
          <w:tcPr>
            <w:tcW w:type="dxa" w:w="1250"/>
            <w:tcMar>
              <w:top w:type="dxa" w:w="60"/>
              <w:left w:type="dxa" w:w="120"/>
              <w:bottom w:type="dxa" w:w="60"/>
              <w:right w:type="dxa" w:w="120"/>
            </w:tcMar>
            <w:vAlign w:val="center"/>
          </w:tcPr>
          <w:p>
            <w:r>
              <w:rPr>
                <w:rFonts w:ascii="Hanken Grotesk" w:cs="Hanken Grotesk" w:eastAsia="Hanken Grotesk" w:hAnsi="Hanken Grotesk"/>
                <w:b/>
                <w:bCs/>
                <w:color w:val="1F9A6D"/>
                <w:sz w:val="18"/>
                <w:szCs w:val="18"/>
              </w:rPr>
              <w:t xml:space="preserve">Strong</w:t>
            </w:r>
          </w:p>
        </w:tc>
        <w:tc>
          <w:tcPr>
            <w:tcW w:type="dxa" w:w="5270"/>
            <w:tcMar>
              <w:top w:type="dxa" w:w="60"/>
              <w:left w:type="dxa" w:w="120"/>
              <w:bottom w:type="dxa" w:w="60"/>
              <w:right w:type="dxa" w:w="120"/>
            </w:tcMar>
            <w:vAlign w:val="center"/>
          </w:tcPr>
          <w:p>
            <w:r>
              <w:rPr>
                <w:rFonts w:ascii="Hanken Grotesk" w:cs="Hanken Grotesk" w:eastAsia="Hanken Grotesk" w:hAnsi="Hanken Grotesk"/>
                <w:color w:val="141518"/>
                <w:sz w:val="18"/>
                <w:szCs w:val="18"/>
              </w:rPr>
              <w:t xml:space="preserve">Reconcile the volume estimate; add trip / journey data fields</w:t>
            </w:r>
          </w:p>
        </w:tc>
      </w:tr>
      <w:tr>
        <w:tc>
          <w:tcPr>
            <w:tcW w:type="dxa" w:w="2500"/>
            <w:shd w:fill="F6F6F3" w:color="auto" w:val="clear"/>
            <w:tcMar>
              <w:top w:type="dxa" w:w="60"/>
              <w:left w:type="dxa" w:w="120"/>
              <w:bottom w:type="dxa" w:w="60"/>
              <w:right w:type="dxa" w:w="120"/>
            </w:tcMar>
            <w:vAlign w:val="center"/>
          </w:tcPr>
          <w:p>
            <w:r>
              <w:rPr>
                <w:rFonts w:ascii="Hanken Grotesk" w:cs="Hanken Grotesk" w:eastAsia="Hanken Grotesk" w:hAnsi="Hanken Grotesk"/>
                <w:b/>
                <w:bCs/>
                <w:color w:val="141518"/>
                <w:sz w:val="18"/>
                <w:szCs w:val="18"/>
              </w:rPr>
              <w:t xml:space="preserve">6 · Integration / API</w:t>
            </w:r>
          </w:p>
        </w:tc>
        <w:tc>
          <w:tcPr>
            <w:tcW w:type="dxa" w:w="1250"/>
            <w:shd w:fill="F6F6F3" w:color="auto" w:val="clear"/>
            <w:tcMar>
              <w:top w:type="dxa" w:w="60"/>
              <w:left w:type="dxa" w:w="120"/>
              <w:bottom w:type="dxa" w:w="60"/>
              <w:right w:type="dxa" w:w="120"/>
            </w:tcMar>
            <w:vAlign w:val="center"/>
          </w:tcPr>
          <w:p>
            <w:r>
              <w:rPr>
                <w:rFonts w:ascii="Hanken Grotesk" w:cs="Hanken Grotesk" w:eastAsia="Hanken Grotesk" w:hAnsi="Hanken Grotesk"/>
                <w:b/>
                <w:bCs/>
                <w:color w:val="D64545"/>
                <w:sz w:val="18"/>
                <w:szCs w:val="18"/>
              </w:rPr>
              <w:t xml:space="preserve">Missing</w:t>
            </w:r>
          </w:p>
        </w:tc>
        <w:tc>
          <w:tcPr>
            <w:tcW w:type="dxa" w:w="5270"/>
            <w:shd w:fill="F6F6F3" w:color="auto" w:val="clear"/>
            <w:tcMar>
              <w:top w:type="dxa" w:w="60"/>
              <w:left w:type="dxa" w:w="120"/>
              <w:bottom w:type="dxa" w:w="60"/>
              <w:right w:type="dxa" w:w="120"/>
            </w:tcMar>
            <w:vAlign w:val="center"/>
          </w:tcPr>
          <w:p>
            <w:r>
              <w:rPr>
                <w:rFonts w:ascii="Hanken Grotesk" w:cs="Hanken Grotesk" w:eastAsia="Hanken Grotesk" w:hAnsi="Hanken Grotesk"/>
                <w:color w:val="141518"/>
                <w:sz w:val="18"/>
                <w:szCs w:val="18"/>
              </w:rPr>
              <w:t xml:space="preserve">Full API contract: auth, endpoints, request/response, error codes, limits</w:t>
            </w:r>
          </w:p>
        </w:tc>
      </w:tr>
      <w:tr>
        <w:tc>
          <w:tcPr>
            <w:tcW w:type="dxa" w:w="2500"/>
            <w:tcMar>
              <w:top w:type="dxa" w:w="60"/>
              <w:left w:type="dxa" w:w="120"/>
              <w:bottom w:type="dxa" w:w="60"/>
              <w:right w:type="dxa" w:w="120"/>
            </w:tcMar>
            <w:vAlign w:val="center"/>
          </w:tcPr>
          <w:p>
            <w:r>
              <w:rPr>
                <w:rFonts w:ascii="Hanken Grotesk" w:cs="Hanken Grotesk" w:eastAsia="Hanken Grotesk" w:hAnsi="Hanken Grotesk"/>
                <w:b/>
                <w:bCs/>
                <w:color w:val="141518"/>
                <w:sz w:val="18"/>
                <w:szCs w:val="18"/>
              </w:rPr>
              <w:t xml:space="preserve">7 · Business Rules</w:t>
            </w:r>
          </w:p>
        </w:tc>
        <w:tc>
          <w:tcPr>
            <w:tcW w:type="dxa" w:w="1250"/>
            <w:tcMar>
              <w:top w:type="dxa" w:w="60"/>
              <w:left w:type="dxa" w:w="120"/>
              <w:bottom w:type="dxa" w:w="60"/>
              <w:right w:type="dxa" w:w="120"/>
            </w:tcMar>
            <w:vAlign w:val="center"/>
          </w:tcPr>
          <w:p>
            <w:r>
              <w:rPr>
                <w:rFonts w:ascii="Hanken Grotesk" w:cs="Hanken Grotesk" w:eastAsia="Hanken Grotesk" w:hAnsi="Hanken Grotesk"/>
                <w:b/>
                <w:bCs/>
                <w:color w:val="D64545"/>
                <w:sz w:val="18"/>
                <w:szCs w:val="18"/>
              </w:rPr>
              <w:t xml:space="preserve">Missing</w:t>
            </w:r>
          </w:p>
        </w:tc>
        <w:tc>
          <w:tcPr>
            <w:tcW w:type="dxa" w:w="5270"/>
            <w:tcMar>
              <w:top w:type="dxa" w:w="60"/>
              <w:left w:type="dxa" w:w="120"/>
              <w:bottom w:type="dxa" w:w="60"/>
              <w:right w:type="dxa" w:w="120"/>
            </w:tcMar>
            <w:vAlign w:val="center"/>
          </w:tcPr>
          <w:p>
            <w:r>
              <w:rPr>
                <w:rFonts w:ascii="Hanken Grotesk" w:cs="Hanken Grotesk" w:eastAsia="Hanken Grotesk" w:hAnsi="Hanken Grotesk"/>
                <w:color w:val="141518"/>
                <w:sz w:val="18"/>
                <w:szCs w:val="18"/>
              </w:rPr>
              <w:t xml:space="preserve">Thresholds &amp; logic: idle, geofence, fuel-drop, service-due, month-end seal</w:t>
            </w:r>
          </w:p>
        </w:tc>
      </w:tr>
      <w:tr>
        <w:tc>
          <w:tcPr>
            <w:tcW w:type="dxa" w:w="2500"/>
            <w:shd w:fill="F6F6F3" w:color="auto" w:val="clear"/>
            <w:tcMar>
              <w:top w:type="dxa" w:w="60"/>
              <w:left w:type="dxa" w:w="120"/>
              <w:bottom w:type="dxa" w:w="60"/>
              <w:right w:type="dxa" w:w="120"/>
            </w:tcMar>
            <w:vAlign w:val="center"/>
          </w:tcPr>
          <w:p>
            <w:r>
              <w:rPr>
                <w:rFonts w:ascii="Hanken Grotesk" w:cs="Hanken Grotesk" w:eastAsia="Hanken Grotesk" w:hAnsi="Hanken Grotesk"/>
                <w:b/>
                <w:bCs/>
                <w:color w:val="141518"/>
                <w:sz w:val="18"/>
                <w:szCs w:val="18"/>
              </w:rPr>
              <w:t xml:space="preserve">8 · Alerts</w:t>
            </w:r>
          </w:p>
        </w:tc>
        <w:tc>
          <w:tcPr>
            <w:tcW w:type="dxa" w:w="1250"/>
            <w:shd w:fill="F6F6F3" w:color="auto" w:val="clear"/>
            <w:tcMar>
              <w:top w:type="dxa" w:w="60"/>
              <w:left w:type="dxa" w:w="120"/>
              <w:bottom w:type="dxa" w:w="60"/>
              <w:right w:type="dxa" w:w="120"/>
            </w:tcMar>
            <w:vAlign w:val="center"/>
          </w:tcPr>
          <w:p>
            <w:r>
              <w:rPr>
                <w:rFonts w:ascii="Hanken Grotesk" w:cs="Hanken Grotesk" w:eastAsia="Hanken Grotesk" w:hAnsi="Hanken Grotesk"/>
                <w:b/>
                <w:bCs/>
                <w:color w:val="D64545"/>
                <w:sz w:val="18"/>
                <w:szCs w:val="18"/>
              </w:rPr>
              <w:t xml:space="preserve">Missing</w:t>
            </w:r>
          </w:p>
        </w:tc>
        <w:tc>
          <w:tcPr>
            <w:tcW w:type="dxa" w:w="5270"/>
            <w:shd w:fill="F6F6F3" w:color="auto" w:val="clear"/>
            <w:tcMar>
              <w:top w:type="dxa" w:w="60"/>
              <w:left w:type="dxa" w:w="120"/>
              <w:bottom w:type="dxa" w:w="60"/>
              <w:right w:type="dxa" w:w="120"/>
            </w:tcMar>
            <w:vAlign w:val="center"/>
          </w:tcPr>
          <w:p>
            <w:r>
              <w:rPr>
                <w:rFonts w:ascii="Hanken Grotesk" w:cs="Hanken Grotesk" w:eastAsia="Hanken Grotesk" w:hAnsi="Hanken Grotesk"/>
                <w:color w:val="141518"/>
                <w:sz w:val="18"/>
                <w:szCs w:val="18"/>
              </w:rPr>
              <w:t xml:space="preserve">Per alert: condition, severity, channel, recipients, escalation, de-dupe</w:t>
            </w:r>
          </w:p>
        </w:tc>
      </w:tr>
      <w:tr>
        <w:tc>
          <w:tcPr>
            <w:tcW w:type="dxa" w:w="2500"/>
            <w:tcMar>
              <w:top w:type="dxa" w:w="60"/>
              <w:left w:type="dxa" w:w="120"/>
              <w:bottom w:type="dxa" w:w="60"/>
              <w:right w:type="dxa" w:w="120"/>
            </w:tcMar>
            <w:vAlign w:val="center"/>
          </w:tcPr>
          <w:p>
            <w:r>
              <w:rPr>
                <w:rFonts w:ascii="Hanken Grotesk" w:cs="Hanken Grotesk" w:eastAsia="Hanken Grotesk" w:hAnsi="Hanken Grotesk"/>
                <w:b/>
                <w:bCs/>
                <w:color w:val="141518"/>
                <w:sz w:val="18"/>
                <w:szCs w:val="18"/>
              </w:rPr>
              <w:t xml:space="preserve">9 · Dashboard / Reports</w:t>
            </w:r>
          </w:p>
        </w:tc>
        <w:tc>
          <w:tcPr>
            <w:tcW w:type="dxa" w:w="1250"/>
            <w:tcMar>
              <w:top w:type="dxa" w:w="60"/>
              <w:left w:type="dxa" w:w="120"/>
              <w:bottom w:type="dxa" w:w="60"/>
              <w:right w:type="dxa" w:w="120"/>
            </w:tcMar>
            <w:vAlign w:val="center"/>
          </w:tcPr>
          <w:p>
            <w:r>
              <w:rPr>
                <w:rFonts w:ascii="Hanken Grotesk" w:cs="Hanken Grotesk" w:eastAsia="Hanken Grotesk" w:hAnsi="Hanken Grotesk"/>
                <w:b/>
                <w:bCs/>
                <w:color w:val="D64545"/>
                <w:sz w:val="18"/>
                <w:szCs w:val="18"/>
              </w:rPr>
              <w:t xml:space="preserve">Missing</w:t>
            </w:r>
          </w:p>
        </w:tc>
        <w:tc>
          <w:tcPr>
            <w:tcW w:type="dxa" w:w="5270"/>
            <w:tcMar>
              <w:top w:type="dxa" w:w="60"/>
              <w:left w:type="dxa" w:w="120"/>
              <w:bottom w:type="dxa" w:w="60"/>
              <w:right w:type="dxa" w:w="120"/>
            </w:tcMar>
            <w:vAlign w:val="center"/>
          </w:tcPr>
          <w:p>
            <w:r>
              <w:rPr>
                <w:rFonts w:ascii="Hanken Grotesk" w:cs="Hanken Grotesk" w:eastAsia="Hanken Grotesk" w:hAnsi="Hanken Grotesk"/>
                <w:color w:val="141518"/>
                <w:sz w:val="18"/>
                <w:szCs w:val="18"/>
              </w:rPr>
              <w:t xml:space="preserve">Dashboard widgets/states + report catalogue (filters, exports)</w:t>
            </w:r>
          </w:p>
        </w:tc>
      </w:tr>
      <w:tr>
        <w:tc>
          <w:tcPr>
            <w:tcW w:type="dxa" w:w="2500"/>
            <w:shd w:fill="F6F6F3" w:color="auto" w:val="clear"/>
            <w:tcMar>
              <w:top w:type="dxa" w:w="60"/>
              <w:left w:type="dxa" w:w="120"/>
              <w:bottom w:type="dxa" w:w="60"/>
              <w:right w:type="dxa" w:w="120"/>
            </w:tcMar>
            <w:vAlign w:val="center"/>
          </w:tcPr>
          <w:p>
            <w:r>
              <w:rPr>
                <w:rFonts w:ascii="Hanken Grotesk" w:cs="Hanken Grotesk" w:eastAsia="Hanken Grotesk" w:hAnsi="Hanken Grotesk"/>
                <w:b/>
                <w:bCs/>
                <w:color w:val="141518"/>
                <w:sz w:val="18"/>
                <w:szCs w:val="18"/>
              </w:rPr>
              <w:t xml:space="preserve">10 · Security</w:t>
            </w:r>
          </w:p>
        </w:tc>
        <w:tc>
          <w:tcPr>
            <w:tcW w:type="dxa" w:w="1250"/>
            <w:shd w:fill="F6F6F3" w:color="auto" w:val="clear"/>
            <w:tcMar>
              <w:top w:type="dxa" w:w="60"/>
              <w:left w:type="dxa" w:w="120"/>
              <w:bottom w:type="dxa" w:w="60"/>
              <w:right w:type="dxa" w:w="120"/>
            </w:tcMar>
            <w:vAlign w:val="center"/>
          </w:tcPr>
          <w:p>
            <w:r>
              <w:rPr>
                <w:rFonts w:ascii="Hanken Grotesk" w:cs="Hanken Grotesk" w:eastAsia="Hanken Grotesk" w:hAnsi="Hanken Grotesk"/>
                <w:b/>
                <w:bCs/>
                <w:color w:val="D64545"/>
                <w:sz w:val="18"/>
                <w:szCs w:val="18"/>
              </w:rPr>
              <w:t xml:space="preserve">Missing</w:t>
            </w:r>
          </w:p>
        </w:tc>
        <w:tc>
          <w:tcPr>
            <w:tcW w:type="dxa" w:w="5270"/>
            <w:shd w:fill="F6F6F3" w:color="auto" w:val="clear"/>
            <w:tcMar>
              <w:top w:type="dxa" w:w="60"/>
              <w:left w:type="dxa" w:w="120"/>
              <w:bottom w:type="dxa" w:w="60"/>
              <w:right w:type="dxa" w:w="120"/>
            </w:tcMar>
            <w:vAlign w:val="center"/>
          </w:tcPr>
          <w:p>
            <w:r>
              <w:rPr>
                <w:rFonts w:ascii="Hanken Grotesk" w:cs="Hanken Grotesk" w:eastAsia="Hanken Grotesk" w:hAnsi="Hanken Grotesk"/>
                <w:color w:val="141518"/>
                <w:sz w:val="18"/>
                <w:szCs w:val="18"/>
              </w:rPr>
              <w:t xml:space="preserve">Device/API auth, encryption, RBAC, audit logs, evidence-store protection</w:t>
            </w:r>
          </w:p>
        </w:tc>
      </w:tr>
      <w:tr>
        <w:tc>
          <w:tcPr>
            <w:tcW w:type="dxa" w:w="2500"/>
            <w:tcMar>
              <w:top w:type="dxa" w:w="60"/>
              <w:left w:type="dxa" w:w="120"/>
              <w:bottom w:type="dxa" w:w="60"/>
              <w:right w:type="dxa" w:w="120"/>
            </w:tcMar>
            <w:vAlign w:val="center"/>
          </w:tcPr>
          <w:p>
            <w:r>
              <w:rPr>
                <w:rFonts w:ascii="Hanken Grotesk" w:cs="Hanken Grotesk" w:eastAsia="Hanken Grotesk" w:hAnsi="Hanken Grotesk"/>
                <w:b/>
                <w:bCs/>
                <w:color w:val="141518"/>
                <w:sz w:val="18"/>
                <w:szCs w:val="18"/>
              </w:rPr>
              <w:t xml:space="preserve">11 · Testing</w:t>
            </w:r>
          </w:p>
        </w:tc>
        <w:tc>
          <w:tcPr>
            <w:tcW w:type="dxa" w:w="1250"/>
            <w:tcMar>
              <w:top w:type="dxa" w:w="60"/>
              <w:left w:type="dxa" w:w="120"/>
              <w:bottom w:type="dxa" w:w="60"/>
              <w:right w:type="dxa" w:w="120"/>
            </w:tcMar>
            <w:vAlign w:val="center"/>
          </w:tcPr>
          <w:p>
            <w:r>
              <w:rPr>
                <w:rFonts w:ascii="Hanken Grotesk" w:cs="Hanken Grotesk" w:eastAsia="Hanken Grotesk" w:hAnsi="Hanken Grotesk"/>
                <w:b/>
                <w:bCs/>
                <w:color w:val="D64545"/>
                <w:sz w:val="18"/>
                <w:szCs w:val="18"/>
              </w:rPr>
              <w:t xml:space="preserve">Missing</w:t>
            </w:r>
          </w:p>
        </w:tc>
        <w:tc>
          <w:tcPr>
            <w:tcW w:type="dxa" w:w="5270"/>
            <w:tcMar>
              <w:top w:type="dxa" w:w="60"/>
              <w:left w:type="dxa" w:w="120"/>
              <w:bottom w:type="dxa" w:w="60"/>
              <w:right w:type="dxa" w:w="120"/>
            </w:tcMar>
            <w:vAlign w:val="center"/>
          </w:tcPr>
          <w:p>
            <w:r>
              <w:rPr>
                <w:rFonts w:ascii="Hanken Grotesk" w:cs="Hanken Grotesk" w:eastAsia="Hanken Grotesk" w:hAnsi="Hanken Grotesk"/>
                <w:color w:val="141518"/>
                <w:sz w:val="18"/>
                <w:szCs w:val="18"/>
              </w:rPr>
              <w:t xml:space="preserve">Incl. CAN-decode per machine model, replay, coverage-gap testing</w:t>
            </w:r>
          </w:p>
        </w:tc>
      </w:tr>
      <w:tr>
        <w:tc>
          <w:tcPr>
            <w:tcW w:type="dxa" w:w="2500"/>
            <w:shd w:fill="F6F6F3" w:color="auto" w:val="clear"/>
            <w:tcMar>
              <w:top w:type="dxa" w:w="60"/>
              <w:left w:type="dxa" w:w="120"/>
              <w:bottom w:type="dxa" w:w="60"/>
              <w:right w:type="dxa" w:w="120"/>
            </w:tcMar>
            <w:vAlign w:val="center"/>
          </w:tcPr>
          <w:p>
            <w:r>
              <w:rPr>
                <w:rFonts w:ascii="Hanken Grotesk" w:cs="Hanken Grotesk" w:eastAsia="Hanken Grotesk" w:hAnsi="Hanken Grotesk"/>
                <w:b/>
                <w:bCs/>
                <w:color w:val="141518"/>
                <w:sz w:val="18"/>
                <w:szCs w:val="18"/>
              </w:rPr>
              <w:t xml:space="preserve">12 · UAT</w:t>
            </w:r>
          </w:p>
        </w:tc>
        <w:tc>
          <w:tcPr>
            <w:tcW w:type="dxa" w:w="1250"/>
            <w:shd w:fill="F6F6F3" w:color="auto" w:val="clear"/>
            <w:tcMar>
              <w:top w:type="dxa" w:w="60"/>
              <w:left w:type="dxa" w:w="120"/>
              <w:bottom w:type="dxa" w:w="60"/>
              <w:right w:type="dxa" w:w="120"/>
            </w:tcMar>
            <w:vAlign w:val="center"/>
          </w:tcPr>
          <w:p>
            <w:r>
              <w:rPr>
                <w:rFonts w:ascii="Hanken Grotesk" w:cs="Hanken Grotesk" w:eastAsia="Hanken Grotesk" w:hAnsi="Hanken Grotesk"/>
                <w:b/>
                <w:bCs/>
                <w:color w:val="D64545"/>
                <w:sz w:val="18"/>
                <w:szCs w:val="18"/>
              </w:rPr>
              <w:t xml:space="preserve">Missing</w:t>
            </w:r>
          </w:p>
        </w:tc>
        <w:tc>
          <w:tcPr>
            <w:tcW w:type="dxa" w:w="5270"/>
            <w:shd w:fill="F6F6F3" w:color="auto" w:val="clear"/>
            <w:tcMar>
              <w:top w:type="dxa" w:w="60"/>
              <w:left w:type="dxa" w:w="120"/>
              <w:bottom w:type="dxa" w:w="60"/>
              <w:right w:type="dxa" w:w="120"/>
            </w:tcMar>
            <w:vAlign w:val="center"/>
          </w:tcPr>
          <w:p>
            <w:r>
              <w:rPr>
                <w:rFonts w:ascii="Hanken Grotesk" w:cs="Hanken Grotesk" w:eastAsia="Hanken Grotesk" w:hAnsi="Hanken Grotesk"/>
                <w:color w:val="141518"/>
                <w:sz w:val="18"/>
                <w:szCs w:val="18"/>
              </w:rPr>
              <w:t xml:space="preserve">Commissioning acceptance + sign-off roles and scenarios</w:t>
            </w:r>
          </w:p>
        </w:tc>
      </w:tr>
      <w:tr>
        <w:tc>
          <w:tcPr>
            <w:tcW w:type="dxa" w:w="2500"/>
            <w:tcMar>
              <w:top w:type="dxa" w:w="60"/>
              <w:left w:type="dxa" w:w="120"/>
              <w:bottom w:type="dxa" w:w="60"/>
              <w:right w:type="dxa" w:w="120"/>
            </w:tcMar>
            <w:vAlign w:val="center"/>
          </w:tcPr>
          <w:p>
            <w:r>
              <w:rPr>
                <w:rFonts w:ascii="Hanken Grotesk" w:cs="Hanken Grotesk" w:eastAsia="Hanken Grotesk" w:hAnsi="Hanken Grotesk"/>
                <w:b/>
                <w:bCs/>
                <w:color w:val="141518"/>
                <w:sz w:val="18"/>
                <w:szCs w:val="18"/>
              </w:rPr>
              <w:t xml:space="preserve">13 · Acceptance Criteria</w:t>
            </w:r>
          </w:p>
        </w:tc>
        <w:tc>
          <w:tcPr>
            <w:tcW w:type="dxa" w:w="1250"/>
            <w:tcMar>
              <w:top w:type="dxa" w:w="60"/>
              <w:left w:type="dxa" w:w="120"/>
              <w:bottom w:type="dxa" w:w="60"/>
              <w:right w:type="dxa" w:w="120"/>
            </w:tcMar>
            <w:vAlign w:val="center"/>
          </w:tcPr>
          <w:p>
            <w:r>
              <w:rPr>
                <w:rFonts w:ascii="Hanken Grotesk" w:cs="Hanken Grotesk" w:eastAsia="Hanken Grotesk" w:hAnsi="Hanken Grotesk"/>
                <w:b/>
                <w:bCs/>
                <w:color w:val="D64545"/>
                <w:sz w:val="18"/>
                <w:szCs w:val="18"/>
              </w:rPr>
              <w:t xml:space="preserve">Missing</w:t>
            </w:r>
          </w:p>
        </w:tc>
        <w:tc>
          <w:tcPr>
            <w:tcW w:type="dxa" w:w="5270"/>
            <w:tcMar>
              <w:top w:type="dxa" w:w="60"/>
              <w:left w:type="dxa" w:w="120"/>
              <w:bottom w:type="dxa" w:w="60"/>
              <w:right w:type="dxa" w:w="120"/>
            </w:tcMar>
            <w:vAlign w:val="center"/>
          </w:tcPr>
          <w:p>
            <w:r>
              <w:rPr>
                <w:rFonts w:ascii="Hanken Grotesk" w:cs="Hanken Grotesk" w:eastAsia="Hanken Grotesk" w:hAnsi="Hanken Grotesk"/>
                <w:color w:val="141518"/>
                <w:sz w:val="18"/>
                <w:szCs w:val="18"/>
              </w:rPr>
              <w:t xml:space="preserve">Measurable, numeric targets tied to a parallel-run pilot</w:t>
            </w:r>
          </w:p>
        </w:tc>
      </w:tr>
      <w:tr>
        <w:tc>
          <w:tcPr>
            <w:tcW w:type="dxa" w:w="2500"/>
            <w:shd w:fill="F6F6F3" w:color="auto" w:val="clear"/>
            <w:tcMar>
              <w:top w:type="dxa" w:w="60"/>
              <w:left w:type="dxa" w:w="120"/>
              <w:bottom w:type="dxa" w:w="60"/>
              <w:right w:type="dxa" w:w="120"/>
            </w:tcMar>
            <w:vAlign w:val="center"/>
          </w:tcPr>
          <w:p>
            <w:r>
              <w:rPr>
                <w:rFonts w:ascii="Hanken Grotesk" w:cs="Hanken Grotesk" w:eastAsia="Hanken Grotesk" w:hAnsi="Hanken Grotesk"/>
                <w:b/>
                <w:bCs/>
                <w:color w:val="141518"/>
                <w:sz w:val="18"/>
                <w:szCs w:val="18"/>
              </w:rPr>
              <w:t xml:space="preserve">14 · Implementation Plan</w:t>
            </w:r>
          </w:p>
        </w:tc>
        <w:tc>
          <w:tcPr>
            <w:tcW w:type="dxa" w:w="1250"/>
            <w:shd w:fill="F6F6F3" w:color="auto" w:val="clear"/>
            <w:tcMar>
              <w:top w:type="dxa" w:w="60"/>
              <w:left w:type="dxa" w:w="120"/>
              <w:bottom w:type="dxa" w:w="60"/>
              <w:right w:type="dxa" w:w="120"/>
            </w:tcMar>
            <w:vAlign w:val="center"/>
          </w:tcPr>
          <w:p>
            <w:r>
              <w:rPr>
                <w:rFonts w:ascii="Hanken Grotesk" w:cs="Hanken Grotesk" w:eastAsia="Hanken Grotesk" w:hAnsi="Hanken Grotesk"/>
                <w:b/>
                <w:bCs/>
                <w:color w:val="D64545"/>
                <w:sz w:val="18"/>
                <w:szCs w:val="18"/>
              </w:rPr>
              <w:t xml:space="preserve">Missing</w:t>
            </w:r>
          </w:p>
        </w:tc>
        <w:tc>
          <w:tcPr>
            <w:tcW w:type="dxa" w:w="5270"/>
            <w:shd w:fill="F6F6F3" w:color="auto" w:val="clear"/>
            <w:tcMar>
              <w:top w:type="dxa" w:w="60"/>
              <w:left w:type="dxa" w:w="120"/>
              <w:bottom w:type="dxa" w:w="60"/>
              <w:right w:type="dxa" w:w="120"/>
            </w:tcMar>
            <w:vAlign w:val="center"/>
          </w:tcPr>
          <w:p>
            <w:r>
              <w:rPr>
                <w:rFonts w:ascii="Hanken Grotesk" w:cs="Hanken Grotesk" w:eastAsia="Hanken Grotesk" w:hAnsi="Hanken Grotesk"/>
                <w:color w:val="141518"/>
                <w:sz w:val="18"/>
                <w:szCs w:val="18"/>
              </w:rPr>
              <w:t xml:space="preserve">Phases, owners, dates, pilot fleet size</w:t>
            </w:r>
          </w:p>
        </w:tc>
      </w:tr>
      <w:tr>
        <w:tc>
          <w:tcPr>
            <w:tcW w:type="dxa" w:w="2500"/>
            <w:tcMar>
              <w:top w:type="dxa" w:w="60"/>
              <w:left w:type="dxa" w:w="120"/>
              <w:bottom w:type="dxa" w:w="60"/>
              <w:right w:type="dxa" w:w="120"/>
            </w:tcMar>
            <w:vAlign w:val="center"/>
          </w:tcPr>
          <w:p>
            <w:r>
              <w:rPr>
                <w:rFonts w:ascii="Hanken Grotesk" w:cs="Hanken Grotesk" w:eastAsia="Hanken Grotesk" w:hAnsi="Hanken Grotesk"/>
                <w:b/>
                <w:bCs/>
                <w:color w:val="141518"/>
                <w:sz w:val="18"/>
                <w:szCs w:val="18"/>
              </w:rPr>
              <w:t xml:space="preserve">15 · Dependencies</w:t>
            </w:r>
          </w:p>
        </w:tc>
        <w:tc>
          <w:tcPr>
            <w:tcW w:type="dxa" w:w="1250"/>
            <w:tcMar>
              <w:top w:type="dxa" w:w="60"/>
              <w:left w:type="dxa" w:w="120"/>
              <w:bottom w:type="dxa" w:w="60"/>
              <w:right w:type="dxa" w:w="120"/>
            </w:tcMar>
            <w:vAlign w:val="center"/>
          </w:tcPr>
          <w:p>
            <w:r>
              <w:rPr>
                <w:rFonts w:ascii="Hanken Grotesk" w:cs="Hanken Grotesk" w:eastAsia="Hanken Grotesk" w:hAnsi="Hanken Grotesk"/>
                <w:b/>
                <w:bCs/>
                <w:color w:val="D64545"/>
                <w:sz w:val="18"/>
                <w:szCs w:val="18"/>
              </w:rPr>
              <w:t xml:space="preserve">Missing</w:t>
            </w:r>
          </w:p>
        </w:tc>
        <w:tc>
          <w:tcPr>
            <w:tcW w:type="dxa" w:w="5270"/>
            <w:tcMar>
              <w:top w:type="dxa" w:w="60"/>
              <w:left w:type="dxa" w:w="120"/>
              <w:bottom w:type="dxa" w:w="60"/>
              <w:right w:type="dxa" w:w="120"/>
            </w:tcMar>
            <w:vAlign w:val="center"/>
          </w:tcPr>
          <w:p>
            <w:r>
              <w:rPr>
                <w:rFonts w:ascii="Hanken Grotesk" w:cs="Hanken Grotesk" w:eastAsia="Hanken Grotesk" w:hAnsi="Hanken Grotesk"/>
                <w:color w:val="141518"/>
                <w:sz w:val="18"/>
                <w:szCs w:val="18"/>
              </w:rPr>
              <w:t xml:space="preserve">CAN program numbers, SIMs, carrier agreements, installers, AWS</w:t>
            </w:r>
          </w:p>
        </w:tc>
      </w:tr>
      <w:tr>
        <w:tc>
          <w:tcPr>
            <w:tcW w:type="dxa" w:w="2500"/>
            <w:shd w:fill="F6F6F3" w:color="auto" w:val="clear"/>
            <w:tcMar>
              <w:top w:type="dxa" w:w="60"/>
              <w:left w:type="dxa" w:w="120"/>
              <w:bottom w:type="dxa" w:w="60"/>
              <w:right w:type="dxa" w:w="120"/>
            </w:tcMar>
            <w:vAlign w:val="center"/>
          </w:tcPr>
          <w:p>
            <w:r>
              <w:rPr>
                <w:rFonts w:ascii="Hanken Grotesk" w:cs="Hanken Grotesk" w:eastAsia="Hanken Grotesk" w:hAnsi="Hanken Grotesk"/>
                <w:b/>
                <w:bCs/>
                <w:color w:val="141518"/>
                <w:sz w:val="18"/>
                <w:szCs w:val="18"/>
              </w:rPr>
              <w:t xml:space="preserve">16 · Sign-off</w:t>
            </w:r>
          </w:p>
        </w:tc>
        <w:tc>
          <w:tcPr>
            <w:tcW w:type="dxa" w:w="1250"/>
            <w:shd w:fill="F6F6F3" w:color="auto" w:val="clear"/>
            <w:tcMar>
              <w:top w:type="dxa" w:w="60"/>
              <w:left w:type="dxa" w:w="120"/>
              <w:bottom w:type="dxa" w:w="60"/>
              <w:right w:type="dxa" w:w="120"/>
            </w:tcMar>
            <w:vAlign w:val="center"/>
          </w:tcPr>
          <w:p>
            <w:r>
              <w:rPr>
                <w:rFonts w:ascii="Hanken Grotesk" w:cs="Hanken Grotesk" w:eastAsia="Hanken Grotesk" w:hAnsi="Hanken Grotesk"/>
                <w:b/>
                <w:bCs/>
                <w:color w:val="D64545"/>
                <w:sz w:val="18"/>
                <w:szCs w:val="18"/>
              </w:rPr>
              <w:t xml:space="preserve">Missing</w:t>
            </w:r>
          </w:p>
        </w:tc>
        <w:tc>
          <w:tcPr>
            <w:tcW w:type="dxa" w:w="5270"/>
            <w:shd w:fill="F6F6F3" w:color="auto" w:val="clear"/>
            <w:tcMar>
              <w:top w:type="dxa" w:w="60"/>
              <w:left w:type="dxa" w:w="120"/>
              <w:bottom w:type="dxa" w:w="60"/>
              <w:right w:type="dxa" w:w="120"/>
            </w:tcMar>
            <w:vAlign w:val="center"/>
          </w:tcPr>
          <w:p>
            <w:r>
              <w:rPr>
                <w:rFonts w:ascii="Hanken Grotesk" w:cs="Hanken Grotesk" w:eastAsia="Hanken Grotesk" w:hAnsi="Hanken Grotesk"/>
                <w:color w:val="141518"/>
                <w:sz w:val="18"/>
                <w:szCs w:val="18"/>
              </w:rPr>
              <w:t xml:space="preserve">Sign-off table</w:t>
            </w:r>
          </w:p>
        </w:tc>
      </w:tr>
      <w:tr>
        <w:tc>
          <w:tcPr>
            <w:tcW w:type="dxa" w:w="2500"/>
            <w:tcMar>
              <w:top w:type="dxa" w:w="60"/>
              <w:left w:type="dxa" w:w="120"/>
              <w:bottom w:type="dxa" w:w="60"/>
              <w:right w:type="dxa" w:w="120"/>
            </w:tcMar>
            <w:vAlign w:val="center"/>
          </w:tcPr>
          <w:p>
            <w:r>
              <w:rPr>
                <w:rFonts w:ascii="Hanken Grotesk" w:cs="Hanken Grotesk" w:eastAsia="Hanken Grotesk" w:hAnsi="Hanken Grotesk"/>
                <w:b/>
                <w:bCs/>
                <w:color w:val="141518"/>
                <w:sz w:val="18"/>
                <w:szCs w:val="18"/>
              </w:rPr>
              <w:t xml:space="preserve">Stakeholders (§1.6)</w:t>
            </w:r>
          </w:p>
        </w:tc>
        <w:tc>
          <w:tcPr>
            <w:tcW w:type="dxa" w:w="1250"/>
            <w:tcMar>
              <w:top w:type="dxa" w:w="60"/>
              <w:left w:type="dxa" w:w="120"/>
              <w:bottom w:type="dxa" w:w="60"/>
              <w:right w:type="dxa" w:w="120"/>
            </w:tcMar>
            <w:vAlign w:val="center"/>
          </w:tcPr>
          <w:p>
            <w:r>
              <w:rPr>
                <w:rFonts w:ascii="Hanken Grotesk" w:cs="Hanken Grotesk" w:eastAsia="Hanken Grotesk" w:hAnsi="Hanken Grotesk"/>
                <w:b/>
                <w:bCs/>
                <w:color w:val="D64545"/>
                <w:sz w:val="18"/>
                <w:szCs w:val="18"/>
              </w:rPr>
              <w:t xml:space="preserve">Missing</w:t>
            </w:r>
          </w:p>
        </w:tc>
        <w:tc>
          <w:tcPr>
            <w:tcW w:type="dxa" w:w="5270"/>
            <w:tcMar>
              <w:top w:type="dxa" w:w="60"/>
              <w:left w:type="dxa" w:w="120"/>
              <w:bottom w:type="dxa" w:w="60"/>
              <w:right w:type="dxa" w:w="120"/>
            </w:tcMar>
            <w:vAlign w:val="center"/>
          </w:tcPr>
          <w:p>
            <w:r>
              <w:rPr>
                <w:rFonts w:ascii="Hanken Grotesk" w:cs="Hanken Grotesk" w:eastAsia="Hanken Grotesk" w:hAnsi="Hanken Grotesk"/>
                <w:color w:val="141518"/>
                <w:sz w:val="18"/>
                <w:szCs w:val="18"/>
              </w:rPr>
              <w:t xml:space="preserve">Table is empty — fill sponsor, owner, Ops, install partner, carrier, client</w:t>
            </w:r>
          </w:p>
        </w:tc>
      </w:tr>
      <w:tr>
        <w:tc>
          <w:tcPr>
            <w:tcW w:type="dxa" w:w="2500"/>
            <w:shd w:fill="F6F6F3" w:color="auto" w:val="clear"/>
            <w:tcMar>
              <w:top w:type="dxa" w:w="60"/>
              <w:left w:type="dxa" w:w="120"/>
              <w:bottom w:type="dxa" w:w="60"/>
              <w:right w:type="dxa" w:w="120"/>
            </w:tcMar>
            <w:vAlign w:val="center"/>
          </w:tcPr>
          <w:p>
            <w:r>
              <w:rPr>
                <w:rFonts w:ascii="Hanken Grotesk" w:cs="Hanken Grotesk" w:eastAsia="Hanken Grotesk" w:hAnsi="Hanken Grotesk"/>
                <w:b/>
                <w:bCs/>
                <w:color w:val="141518"/>
                <w:sz w:val="18"/>
                <w:szCs w:val="18"/>
              </w:rPr>
              <w:t xml:space="preserve">Non-Functional Reqs</w:t>
            </w:r>
          </w:p>
        </w:tc>
        <w:tc>
          <w:tcPr>
            <w:tcW w:type="dxa" w:w="1250"/>
            <w:shd w:fill="F6F6F3" w:color="auto" w:val="clear"/>
            <w:tcMar>
              <w:top w:type="dxa" w:w="60"/>
              <w:left w:type="dxa" w:w="120"/>
              <w:bottom w:type="dxa" w:w="60"/>
              <w:right w:type="dxa" w:w="120"/>
            </w:tcMar>
            <w:vAlign w:val="center"/>
          </w:tcPr>
          <w:p>
            <w:r>
              <w:rPr>
                <w:rFonts w:ascii="Hanken Grotesk" w:cs="Hanken Grotesk" w:eastAsia="Hanken Grotesk" w:hAnsi="Hanken Grotesk"/>
                <w:b/>
                <w:bCs/>
                <w:color w:val="D64545"/>
                <w:sz w:val="18"/>
                <w:szCs w:val="18"/>
              </w:rPr>
              <w:t xml:space="preserve">Missing</w:t>
            </w:r>
          </w:p>
        </w:tc>
        <w:tc>
          <w:tcPr>
            <w:tcW w:type="dxa" w:w="5270"/>
            <w:shd w:fill="F6F6F3" w:color="auto" w:val="clear"/>
            <w:tcMar>
              <w:top w:type="dxa" w:w="60"/>
              <w:left w:type="dxa" w:w="120"/>
              <w:bottom w:type="dxa" w:w="60"/>
              <w:right w:type="dxa" w:w="120"/>
            </w:tcMar>
            <w:vAlign w:val="center"/>
          </w:tcPr>
          <w:p>
            <w:r>
              <w:rPr>
                <w:rFonts w:ascii="Hanken Grotesk" w:cs="Hanken Grotesk" w:eastAsia="Hanken Grotesk" w:hAnsi="Hanken Grotesk"/>
                <w:color w:val="141518"/>
                <w:sz w:val="18"/>
                <w:szCs w:val="18"/>
              </w:rPr>
              <w:t xml:space="preserve">Add: uptime, alert latency, capacity, recovery time</w:t>
            </w:r>
          </w:p>
        </w:tc>
      </w:tr>
      <w:tr>
        <w:tc>
          <w:tcPr>
            <w:tcW w:type="dxa" w:w="2500"/>
            <w:tcMar>
              <w:top w:type="dxa" w:w="60"/>
              <w:left w:type="dxa" w:w="120"/>
              <w:bottom w:type="dxa" w:w="60"/>
              <w:right w:type="dxa" w:w="120"/>
            </w:tcMar>
            <w:vAlign w:val="center"/>
          </w:tcPr>
          <w:p>
            <w:r>
              <w:rPr>
                <w:rFonts w:ascii="Hanken Grotesk" w:cs="Hanken Grotesk" w:eastAsia="Hanken Grotesk" w:hAnsi="Hanken Grotesk"/>
                <w:b/>
                <w:bCs/>
                <w:color w:val="141518"/>
                <w:sz w:val="18"/>
                <w:szCs w:val="18"/>
              </w:rPr>
              <w:t xml:space="preserve">Risks</w:t>
            </w:r>
          </w:p>
        </w:tc>
        <w:tc>
          <w:tcPr>
            <w:tcW w:type="dxa" w:w="1250"/>
            <w:tcMar>
              <w:top w:type="dxa" w:w="60"/>
              <w:left w:type="dxa" w:w="120"/>
              <w:bottom w:type="dxa" w:w="60"/>
              <w:right w:type="dxa" w:w="120"/>
            </w:tcMar>
            <w:vAlign w:val="center"/>
          </w:tcPr>
          <w:p>
            <w:r>
              <w:rPr>
                <w:rFonts w:ascii="Hanken Grotesk" w:cs="Hanken Grotesk" w:eastAsia="Hanken Grotesk" w:hAnsi="Hanken Grotesk"/>
                <w:b/>
                <w:bCs/>
                <w:color w:val="D64545"/>
                <w:sz w:val="18"/>
                <w:szCs w:val="18"/>
              </w:rPr>
              <w:t xml:space="preserve">Missing</w:t>
            </w:r>
          </w:p>
        </w:tc>
        <w:tc>
          <w:tcPr>
            <w:tcW w:type="dxa" w:w="5270"/>
            <w:tcMar>
              <w:top w:type="dxa" w:w="60"/>
              <w:left w:type="dxa" w:w="120"/>
              <w:bottom w:type="dxa" w:w="60"/>
              <w:right w:type="dxa" w:w="120"/>
            </w:tcMar>
            <w:vAlign w:val="center"/>
          </w:tcPr>
          <w:p>
            <w:r>
              <w:rPr>
                <w:rFonts w:ascii="Hanken Grotesk" w:cs="Hanken Grotesk" w:eastAsia="Hanken Grotesk" w:hAnsi="Hanken Grotesk"/>
                <w:color w:val="141518"/>
                <w:sz w:val="18"/>
                <w:szCs w:val="18"/>
              </w:rPr>
              <w:t xml:space="preserve">Add a risk register with mitigations</w:t>
            </w:r>
          </w:p>
        </w:tc>
      </w:tr>
      <w:tr>
        <w:tc>
          <w:tcPr>
            <w:tcW w:type="dxa" w:w="2500"/>
            <w:shd w:fill="F6F6F3" w:color="auto" w:val="clear"/>
            <w:tcMar>
              <w:top w:type="dxa" w:w="60"/>
              <w:left w:type="dxa" w:w="120"/>
              <w:bottom w:type="dxa" w:w="60"/>
              <w:right w:type="dxa" w:w="120"/>
            </w:tcMar>
            <w:vAlign w:val="center"/>
          </w:tcPr>
          <w:p>
            <w:r>
              <w:rPr>
                <w:rFonts w:ascii="Hanken Grotesk" w:cs="Hanken Grotesk" w:eastAsia="Hanken Grotesk" w:hAnsi="Hanken Grotesk"/>
                <w:b/>
                <w:bCs/>
                <w:color w:val="141518"/>
                <w:sz w:val="18"/>
                <w:szCs w:val="18"/>
              </w:rPr>
              <w:t xml:space="preserve">Logistics / movement</w:t>
            </w:r>
          </w:p>
        </w:tc>
        <w:tc>
          <w:tcPr>
            <w:tcW w:type="dxa" w:w="1250"/>
            <w:shd w:fill="F6F6F3" w:color="auto" w:val="clear"/>
            <w:tcMar>
              <w:top w:type="dxa" w:w="60"/>
              <w:left w:type="dxa" w:w="120"/>
              <w:bottom w:type="dxa" w:w="60"/>
              <w:right w:type="dxa" w:w="120"/>
            </w:tcMar>
            <w:vAlign w:val="center"/>
          </w:tcPr>
          <w:p>
            <w:r>
              <w:rPr>
                <w:rFonts w:ascii="Hanken Grotesk" w:cs="Hanken Grotesk" w:eastAsia="Hanken Grotesk" w:hAnsi="Hanken Grotesk"/>
                <w:b/>
                <w:bCs/>
                <w:color w:val="D64545"/>
                <w:sz w:val="18"/>
                <w:szCs w:val="18"/>
              </w:rPr>
              <w:t xml:space="preserve">Missing</w:t>
            </w:r>
          </w:p>
        </w:tc>
        <w:tc>
          <w:tcPr>
            <w:tcW w:type="dxa" w:w="5270"/>
            <w:shd w:fill="F6F6F3" w:color="auto" w:val="clear"/>
            <w:tcMar>
              <w:top w:type="dxa" w:w="60"/>
              <w:left w:type="dxa" w:w="120"/>
              <w:bottom w:type="dxa" w:w="60"/>
              <w:right w:type="dxa" w:w="120"/>
            </w:tcMar>
            <w:vAlign w:val="center"/>
          </w:tcPr>
          <w:p>
            <w:r>
              <w:rPr>
                <w:rFonts w:ascii="Hanken Grotesk" w:cs="Hanken Grotesk" w:eastAsia="Hanken Grotesk" w:hAnsi="Hanken Grotesk"/>
                <w:color w:val="141518"/>
                <w:sz w:val="18"/>
                <w:szCs w:val="18"/>
              </w:rPr>
              <w:t xml:space="preserve">Add the use case — here or in a companion BRD</w:t>
            </w:r>
          </w:p>
        </w:tc>
      </w:tr>
      <w:tr>
        <w:tc>
          <w:tcPr>
            <w:tcW w:type="dxa" w:w="2500"/>
            <w:tcMar>
              <w:top w:type="dxa" w:w="60"/>
              <w:left w:type="dxa" w:w="120"/>
              <w:bottom w:type="dxa" w:w="60"/>
              <w:right w:type="dxa" w:w="120"/>
            </w:tcMar>
            <w:vAlign w:val="center"/>
          </w:tcPr>
          <w:p>
            <w:r>
              <w:rPr>
                <w:rFonts w:ascii="Hanken Grotesk" w:cs="Hanken Grotesk" w:eastAsia="Hanken Grotesk" w:hAnsi="Hanken Grotesk"/>
                <w:b/>
                <w:bCs/>
                <w:color w:val="141518"/>
                <w:sz w:val="18"/>
                <w:szCs w:val="18"/>
              </w:rPr>
              <w:t xml:space="preserve">Brand / naming</w:t>
            </w:r>
          </w:p>
        </w:tc>
        <w:tc>
          <w:tcPr>
            <w:tcW w:type="dxa" w:w="1250"/>
            <w:tcMar>
              <w:top w:type="dxa" w:w="60"/>
              <w:left w:type="dxa" w:w="120"/>
              <w:bottom w:type="dxa" w:w="60"/>
              <w:right w:type="dxa" w:w="120"/>
            </w:tcMar>
            <w:vAlign w:val="center"/>
          </w:tcPr>
          <w:p>
            <w:r>
              <w:rPr>
                <w:rFonts w:ascii="Hanken Grotesk" w:cs="Hanken Grotesk" w:eastAsia="Hanken Grotesk" w:hAnsi="Hanken Grotesk"/>
                <w:b/>
                <w:bCs/>
                <w:color w:val="E6AF00"/>
                <w:sz w:val="18"/>
                <w:szCs w:val="18"/>
              </w:rPr>
              <w:t xml:space="preserve">Attention</w:t>
            </w:r>
          </w:p>
        </w:tc>
        <w:tc>
          <w:tcPr>
            <w:tcW w:type="dxa" w:w="5270"/>
            <w:tcMar>
              <w:top w:type="dxa" w:w="60"/>
              <w:left w:type="dxa" w:w="120"/>
              <w:bottom w:type="dxa" w:w="60"/>
              <w:right w:type="dxa" w:w="120"/>
            </w:tcMar>
            <w:vAlign w:val="center"/>
          </w:tcPr>
          <w:p>
            <w:r>
              <w:rPr>
                <w:rFonts w:ascii="Hanken Grotesk" w:cs="Hanken Grotesk" w:eastAsia="Hanken Grotesk" w:hAnsi="Hanken Grotesk"/>
                <w:color w:val="141518"/>
                <w:sz w:val="18"/>
                <w:szCs w:val="18"/>
              </w:rPr>
              <w:t xml:space="preserve">Reads 'Kasper', not Dozr; brand styling TBD</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8E3" w:sz="4" w:space="6"/>
      </w:pBdr>
      <w:tabs>
        <w:tab w:val="right" w:pos="9020"/>
      </w:tabs>
    </w:pPr>
    <w:r>
      <w:rPr>
        <w:rFonts w:ascii="Space Mono" w:cs="Space Mono" w:eastAsia="Space Mono" w:hAnsi="Space Mono"/>
        <w:color w:val="5B5F66"/>
        <w:sz w:val="14"/>
        <w:szCs w:val="14"/>
      </w:rPr>
      <w:t xml:space="preserve">Dozr · IoT BRD Draft Review — Confidential, Internal</w:t>
    </w:r>
    <w:r>
      <w:rPr>
        <w:rFonts w:ascii="Space Mono" w:cs="Space Mono" w:eastAsia="Space Mono" w:hAnsi="Space Mono"/>
        <w:color w:val="5B5F66"/>
        <w:sz w:val="14"/>
        <w:szCs w:val="14"/>
      </w:rPr>
      <w:tab/>
    </w:r>
    <w:r>
      <w:rPr>
        <w:rFonts w:ascii="Space Mono" w:cs="Space Mono" w:eastAsia="Space Mono" w:hAnsi="Space Mono"/>
        <w:color w:val="5B5F66"/>
        <w:sz w:val="14"/>
        <w:szCs w:val="14"/>
      </w:rPr>
      <w:t xml:space="preserve">Page </w:t>
    </w:r>
    <w:r>
      <w:rPr>
        <w:rFonts w:ascii="Space Mono" w:cs="Space Mono" w:eastAsia="Space Mono" w:hAnsi="Space Mono"/>
        <w:color w:val="5B5F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80"/>
      </w:pPr>
      <w:rPr>
        <w:rFonts w:ascii="Hanken Grotesk" w:cs="Hanken Grotesk" w:eastAsia="Hanken Grotesk" w:hAnsi="Hanken Grotesk"/>
        <w:b/>
        <w:bCs/>
        <w:color w:val="E6AF0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anken Grotesk" w:cs="Hanken Grotesk" w:eastAsia="Hanken Grotesk" w:hAnsi="Hanken Grotesk"/>
        <w:color w:val="14151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60"/>
    </w:pPr>
    <w:rPr>
      <w:rFonts w:ascii="Space Grotesk" w:cs="Space Grotesk" w:eastAsia="Space Grotesk" w:hAnsi="Space Grotesk"/>
      <w:b/>
      <w:bCs/>
      <w:color w:val="141518"/>
      <w:sz w:val="46"/>
      <w:szCs w:val="46"/>
    </w:rPr>
  </w:style>
  <w:style w:type="paragraph" w:styleId="Heading1">
    <w:name w:val="Heading 1"/>
    <w:basedOn w:val="Normal"/>
    <w:next w:val="Normal"/>
    <w:qFormat/>
    <w:pPr>
      <w:pBdr>
        <w:bottom w:val="single" w:color="E8E8E3" w:sz="6" w:space="6"/>
      </w:pBdr>
      <w:spacing w:after="140" w:before="340"/>
    </w:pPr>
    <w:rPr>
      <w:rFonts w:ascii="Space Grotesk" w:cs="Space Grotesk" w:eastAsia="Space Grotesk" w:hAnsi="Space Grotesk"/>
      <w:b/>
      <w:bCs/>
      <w:color w:val="141518"/>
      <w:sz w:val="30"/>
      <w:szCs w:val="30"/>
    </w:rPr>
  </w:style>
  <w:style w:type="paragraph" w:styleId="Heading2">
    <w:name w:val="Heading 2"/>
    <w:basedOn w:val="Normal"/>
    <w:next w:val="Normal"/>
    <w:qFormat/>
    <w:pPr>
      <w:spacing w:after="90" w:before="220"/>
    </w:pPr>
    <w:rPr>
      <w:rFonts w:ascii="Space Grotesk" w:cs="Space Grotesk" w:eastAsia="Space Grotesk" w:hAnsi="Space Grotesk"/>
      <w:b/>
      <w:bCs/>
      <w:color w:val="14151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Dozr IoT BRD — Draft Review &amp; Feedback</dc:title>
  <dc:creator>Dozr</dc:creator>
  <cp:lastModifiedBy>Un-named</cp:lastModifiedBy>
  <cp:revision>1</cp:revision>
  <dcterms:created xsi:type="dcterms:W3CDTF">2026-08-30T17:30:40.254Z</dcterms:created>
  <dcterms:modified xsi:type="dcterms:W3CDTF">2026-08-30T17:30:40.255Z</dcterms:modified>
</cp:coreProperties>
</file>

<file path=docProps/custom.xml><?xml version="1.0" encoding="utf-8"?>
<Properties xmlns="http://schemas.openxmlformats.org/officeDocument/2006/custom-properties" xmlns:vt="http://schemas.openxmlformats.org/officeDocument/2006/docPropsVTypes"/>
</file>