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5760" w:hanging="5618"/>
        <w:rPr>
          <w:b/>
          <w:i/>
          <w:sz w:val="52"/>
          <w:szCs w:val="52"/>
        </w:rPr>
      </w:pPr>
      <w:r>
        <w:drawing>
          <wp:inline distT="0" distB="0" distL="0" distR="0">
            <wp:extent cx="5843270" cy="330200"/>
            <wp:effectExtent l="0" t="0" r="508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srcRect l="428" r="448"/>
                    <a:stretch>
                      <a:fillRect/>
                    </a:stretch>
                  </pic:blipFill>
                  <pic:spPr>
                    <a:xfrm rot="10800000" flipH="1" flipV="1">
                      <a:off x="0" y="0"/>
                      <a:ext cx="8488472" cy="479653"/>
                    </a:xfrm>
                    <a:prstGeom prst="rect">
                      <a:avLst/>
                    </a:prstGeom>
                    <a:ln>
                      <a:noFill/>
                    </a:ln>
                  </pic:spPr>
                </pic:pic>
              </a:graphicData>
            </a:graphic>
          </wp:inline>
        </w:drawing>
      </w:r>
    </w:p>
    <w:p>
      <w:pPr>
        <w:pStyle w:val="7"/>
        <w:bidi w:val="0"/>
        <w:rPr>
          <w:b/>
          <w:bCs/>
          <w:sz w:val="32"/>
          <w:szCs w:val="32"/>
        </w:rPr>
      </w:pPr>
      <w:r>
        <w:rPr>
          <w:b/>
          <w:bCs/>
          <w:sz w:val="32"/>
          <w:szCs w:val="32"/>
        </w:rPr>
        <w:t xml:space="preserve">Digital Pirani Vacuum Gauge – DPRG-1GH-2SP </w:t>
      </w:r>
    </w:p>
    <w:p>
      <w:r>
        <w:drawing>
          <wp:inline distT="0" distB="0" distL="0" distR="0">
            <wp:extent cx="1710690" cy="1515745"/>
            <wp:effectExtent l="0" t="0" r="381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17068" cy="1520934"/>
                    </a:xfrm>
                    <a:prstGeom prst="rect">
                      <a:avLst/>
                    </a:prstGeom>
                    <a:noFill/>
                    <a:ln>
                      <a:noFill/>
                    </a:ln>
                  </pic:spPr>
                </pic:pic>
              </a:graphicData>
            </a:graphic>
          </wp:inline>
        </w:drawing>
      </w:r>
      <w:r>
        <w:t xml:space="preserve">   </w:t>
      </w:r>
    </w:p>
    <w:p>
      <w:pPr>
        <w:pStyle w:val="11"/>
        <w:jc w:val="both"/>
        <w:rPr>
          <w:lang w:bidi="ml-IN"/>
        </w:rPr>
      </w:pPr>
      <w:r>
        <w:rPr>
          <w:rStyle w:val="12"/>
          <w:rFonts w:asciiTheme="minorHAnsi" w:hAnsiTheme="minorHAnsi"/>
        </w:rPr>
        <w:t xml:space="preserve">The UVS </w:t>
      </w:r>
      <w:r>
        <w:rPr>
          <w:rStyle w:val="10"/>
          <w:rFonts w:asciiTheme="minorHAnsi" w:hAnsiTheme="minorHAnsi"/>
          <w:i/>
          <w:iCs/>
          <w:sz w:val="22"/>
          <w:szCs w:val="22"/>
        </w:rPr>
        <w:t>Model DPRG series</w:t>
      </w:r>
      <w:r>
        <w:rPr>
          <w:rStyle w:val="12"/>
          <w:rFonts w:asciiTheme="minorHAnsi" w:hAnsiTheme="minorHAnsi"/>
        </w:rPr>
        <w:t xml:space="preserve"> Vacuum Pirani Gauge Controller displays vacuum pres</w:t>
      </w:r>
      <w:r>
        <w:rPr>
          <w:rStyle w:val="12"/>
          <w:rFonts w:asciiTheme="minorHAnsi" w:hAnsiTheme="minorHAnsi"/>
        </w:rPr>
        <w:softHyphen/>
      </w:r>
      <w:r>
        <w:rPr>
          <w:rStyle w:val="12"/>
          <w:rFonts w:asciiTheme="minorHAnsi" w:hAnsiTheme="minorHAnsi"/>
        </w:rPr>
        <w:t xml:space="preserve">sure as measured from a S-PR-GH sensor tube. It displays vacuum measurements based on thermal conductivity of gases. The </w:t>
      </w:r>
      <w:r>
        <w:rPr>
          <w:rStyle w:val="10"/>
          <w:rFonts w:asciiTheme="minorHAnsi" w:hAnsiTheme="minorHAnsi"/>
          <w:i/>
          <w:iCs/>
          <w:sz w:val="22"/>
          <w:szCs w:val="22"/>
        </w:rPr>
        <w:t>Model DPRG-1GH-2SP</w:t>
      </w:r>
      <w:r>
        <w:rPr>
          <w:rStyle w:val="12"/>
          <w:rFonts w:asciiTheme="minorHAnsi" w:hAnsiTheme="minorHAnsi"/>
        </w:rPr>
        <w:t xml:space="preserve"> unit covers the range from 0.001 m.Bar to 20 m.bar, and controls relay with independent dual set points. With this option, user can set two individual relay set points for HI &amp; LO values.</w:t>
      </w:r>
    </w:p>
    <w:p>
      <w:pPr>
        <w:pStyle w:val="7"/>
        <w:rPr>
          <w:b/>
          <w:sz w:val="32"/>
          <w:szCs w:val="32"/>
        </w:rPr>
      </w:pPr>
      <w:r>
        <w:rPr>
          <w:b/>
        </w:rPr>
        <w:t>TECHNICAL SPECIFICATIONS</w:t>
      </w:r>
      <w:r>
        <w:rPr>
          <w:b/>
          <w:sz w:val="32"/>
          <w:szCs w:val="32"/>
        </w:rPr>
        <w:t xml:space="preserve"> </w:t>
      </w:r>
    </w:p>
    <w:tbl>
      <w:tblPr>
        <w:tblStyle w:val="6"/>
        <w:tblW w:w="10157" w:type="dxa"/>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autofit"/>
        <w:tblCellMar>
          <w:top w:w="0" w:type="dxa"/>
          <w:left w:w="108" w:type="dxa"/>
          <w:bottom w:w="0" w:type="dxa"/>
          <w:right w:w="108" w:type="dxa"/>
        </w:tblCellMar>
      </w:tblPr>
      <w:tblGrid>
        <w:gridCol w:w="3210"/>
        <w:gridCol w:w="6947"/>
      </w:tblGrid>
      <w:tr>
        <w:trPr>
          <w:trHeight w:val="270" w:hRule="atLeast"/>
        </w:trPr>
        <w:tc>
          <w:tcPr>
            <w:tcW w:w="3210" w:type="dxa"/>
            <w:tcBorders>
              <w:top w:val="single" w:color="C0504D" w:themeColor="accent2" w:sz="8" w:space="0"/>
              <w:left w:val="single" w:color="C0504D" w:themeColor="accent2" w:sz="8" w:space="0"/>
              <w:bottom w:val="single" w:color="C0504D" w:themeColor="accent2" w:sz="18" w:space="0"/>
              <w:right w:val="single" w:color="C0504D" w:themeColor="accent2" w:sz="8" w:space="0"/>
              <w:insideH w:val="single" w:sz="18" w:space="0"/>
              <w:insideV w:val="single" w:sz="8" w:space="0"/>
            </w:tcBorders>
          </w:tcPr>
          <w:p>
            <w:pPr>
              <w:pStyle w:val="13"/>
              <w:spacing w:before="0"/>
              <w:rPr>
                <w:rFonts w:ascii="Calibri" w:hAnsi="Calibri"/>
                <w:b/>
                <w:bCs/>
                <w:i/>
                <w:sz w:val="22"/>
                <w:szCs w:val="22"/>
              </w:rPr>
            </w:pPr>
            <w:r>
              <w:rPr>
                <w:rFonts w:ascii="Calibri" w:hAnsi="Calibri"/>
                <w:b/>
                <w:bCs/>
                <w:i/>
                <w:sz w:val="22"/>
                <w:szCs w:val="22"/>
              </w:rPr>
              <w:t>Number of sensor channels</w:t>
            </w:r>
          </w:p>
        </w:tc>
        <w:tc>
          <w:tcPr>
            <w:tcW w:w="6947" w:type="dxa"/>
            <w:tcBorders>
              <w:top w:val="single" w:color="C0504D" w:themeColor="accent2" w:sz="8" w:space="0"/>
              <w:bottom w:val="single" w:color="C0504D" w:themeColor="accent2" w:sz="18" w:space="0"/>
              <w:right w:val="single" w:color="C0504D" w:themeColor="accent2" w:sz="8" w:space="0"/>
              <w:insideH w:val="single" w:sz="18" w:space="0"/>
              <w:insideV w:val="single" w:sz="8" w:space="0"/>
            </w:tcBorders>
          </w:tcPr>
          <w:p>
            <w:pPr>
              <w:pStyle w:val="13"/>
              <w:spacing w:before="0"/>
              <w:jc w:val="center"/>
              <w:rPr>
                <w:rFonts w:ascii="Calibri" w:hAnsi="Calibri"/>
                <w:b/>
                <w:bCs/>
                <w:i/>
                <w:sz w:val="22"/>
                <w:szCs w:val="22"/>
              </w:rPr>
            </w:pPr>
            <w:r>
              <w:rPr>
                <w:rFonts w:ascii="Calibri" w:hAnsi="Calibri"/>
                <w:b/>
                <w:bCs/>
                <w:i/>
                <w:sz w:val="22"/>
                <w:szCs w:val="22"/>
              </w:rPr>
              <w:t>ONE</w:t>
            </w:r>
          </w:p>
        </w:tc>
      </w:tr>
      <w:tr>
        <w:trPr>
          <w:trHeight w:val="270" w:hRule="atLeast"/>
        </w:trPr>
        <w:tc>
          <w:tcPr>
            <w:tcW w:w="3210" w:type="dxa"/>
            <w:tcBorders>
              <w:top w:val="single" w:color="C0504D" w:themeColor="accent2" w:sz="8" w:space="0"/>
              <w:left w:val="single" w:color="C0504D" w:themeColor="accent2" w:sz="8" w:space="0"/>
              <w:bottom w:val="single" w:color="C0504D" w:themeColor="accent2" w:sz="8" w:space="0"/>
              <w:right w:val="single" w:color="C0504D" w:themeColor="accent2" w:sz="8" w:space="0"/>
              <w:insideH w:val="single" w:sz="8" w:space="0"/>
              <w:insideV w:val="single" w:sz="8" w:space="0"/>
            </w:tcBorders>
            <w:shd w:val="clear" w:color="auto" w:fill="EFD3D3" w:themeFill="accent2" w:themeFillTint="3F"/>
          </w:tcPr>
          <w:p>
            <w:pPr>
              <w:pStyle w:val="13"/>
              <w:rPr>
                <w:rFonts w:ascii="Calibri" w:hAnsi="Calibri"/>
                <w:b/>
                <w:bCs/>
                <w:sz w:val="22"/>
                <w:szCs w:val="22"/>
              </w:rPr>
            </w:pPr>
            <w:r>
              <w:rPr>
                <w:rStyle w:val="14"/>
                <w:rFonts w:ascii="Calibri" w:hAnsi="Calibri"/>
                <w:b/>
                <w:bCs/>
                <w:sz w:val="22"/>
                <w:szCs w:val="22"/>
              </w:rPr>
              <w:t>Display Range</w:t>
            </w:r>
          </w:p>
        </w:tc>
        <w:tc>
          <w:tcPr>
            <w:tcW w:w="6947" w:type="dxa"/>
            <w:tcBorders>
              <w:top w:val="single" w:color="C0504D" w:themeColor="accent2" w:sz="8" w:space="0"/>
              <w:bottom w:val="single" w:color="C0504D" w:themeColor="accent2" w:sz="8" w:space="0"/>
              <w:right w:val="single" w:color="C0504D" w:themeColor="accent2" w:sz="8" w:space="0"/>
              <w:insideH w:val="single" w:sz="8" w:space="0"/>
              <w:insideV w:val="single" w:sz="8" w:space="0"/>
            </w:tcBorders>
            <w:shd w:val="clear" w:color="auto" w:fill="EFD3D3" w:themeFill="accent2" w:themeFillTint="3F"/>
          </w:tcPr>
          <w:p>
            <w:pPr>
              <w:pStyle w:val="13"/>
              <w:jc w:val="center"/>
              <w:rPr>
                <w:rStyle w:val="14"/>
                <w:rFonts w:ascii="Calibri" w:hAnsi="Calibri"/>
                <w:sz w:val="22"/>
                <w:szCs w:val="22"/>
              </w:rPr>
            </w:pPr>
            <w:r>
              <w:rPr>
                <w:rStyle w:val="14"/>
                <w:rFonts w:ascii="Calibri" w:hAnsi="Calibri"/>
                <w:sz w:val="22"/>
                <w:szCs w:val="22"/>
              </w:rPr>
              <w:t>1000 mBar to 0.001mBar.</w:t>
            </w:r>
          </w:p>
        </w:tc>
      </w:tr>
      <w:tr>
        <w:trPr>
          <w:trHeight w:val="263" w:hRule="atLeast"/>
        </w:trPr>
        <w:tc>
          <w:tcPr>
            <w:tcW w:w="3210" w:type="dxa"/>
            <w:tcBorders>
              <w:top w:val="single" w:color="C0504D" w:themeColor="accent2" w:sz="8" w:space="0"/>
              <w:left w:val="single" w:color="C0504D" w:themeColor="accent2" w:sz="8" w:space="0"/>
              <w:bottom w:val="single" w:color="C0504D" w:themeColor="accent2" w:sz="8" w:space="0"/>
              <w:right w:val="single" w:color="C0504D" w:themeColor="accent2" w:sz="8" w:space="0"/>
              <w:insideH w:val="single" w:sz="8" w:space="0"/>
              <w:insideV w:val="single" w:sz="8" w:space="0"/>
            </w:tcBorders>
          </w:tcPr>
          <w:p>
            <w:pPr>
              <w:pStyle w:val="13"/>
              <w:rPr>
                <w:rFonts w:ascii="Calibri" w:hAnsi="Calibri"/>
                <w:b/>
                <w:bCs/>
                <w:sz w:val="22"/>
                <w:szCs w:val="22"/>
              </w:rPr>
            </w:pPr>
            <w:r>
              <w:rPr>
                <w:rStyle w:val="14"/>
                <w:rFonts w:ascii="Calibri" w:hAnsi="Calibri"/>
                <w:b/>
                <w:bCs/>
                <w:sz w:val="22"/>
                <w:szCs w:val="22"/>
              </w:rPr>
              <w:t>Measuring Range</w:t>
            </w:r>
          </w:p>
        </w:tc>
        <w:tc>
          <w:tcPr>
            <w:tcW w:w="6947" w:type="dxa"/>
            <w:tcBorders>
              <w:top w:val="single" w:color="C0504D" w:themeColor="accent2" w:sz="8" w:space="0"/>
              <w:bottom w:val="single" w:color="C0504D" w:themeColor="accent2" w:sz="8" w:space="0"/>
              <w:right w:val="single" w:color="C0504D" w:themeColor="accent2" w:sz="8" w:space="0"/>
              <w:insideH w:val="single" w:sz="8" w:space="0"/>
              <w:insideV w:val="single" w:sz="8" w:space="0"/>
            </w:tcBorders>
          </w:tcPr>
          <w:p>
            <w:pPr>
              <w:pStyle w:val="13"/>
              <w:jc w:val="center"/>
              <w:rPr>
                <w:rStyle w:val="14"/>
                <w:rFonts w:ascii="Calibri" w:hAnsi="Calibri"/>
                <w:sz w:val="22"/>
                <w:szCs w:val="22"/>
              </w:rPr>
            </w:pPr>
            <w:r>
              <w:rPr>
                <w:rStyle w:val="14"/>
                <w:rFonts w:ascii="Calibri" w:hAnsi="Calibri"/>
                <w:sz w:val="22"/>
                <w:szCs w:val="22"/>
              </w:rPr>
              <w:t>20 mBar to 0.001mBar.</w:t>
            </w:r>
          </w:p>
        </w:tc>
      </w:tr>
      <w:tr>
        <w:trPr>
          <w:trHeight w:val="270" w:hRule="atLeast"/>
        </w:trPr>
        <w:tc>
          <w:tcPr>
            <w:tcW w:w="3210" w:type="dxa"/>
            <w:tcBorders>
              <w:top w:val="single" w:color="C0504D" w:themeColor="accent2" w:sz="8" w:space="0"/>
              <w:left w:val="single" w:color="C0504D" w:themeColor="accent2" w:sz="8" w:space="0"/>
              <w:bottom w:val="single" w:color="C0504D" w:themeColor="accent2" w:sz="8" w:space="0"/>
              <w:right w:val="single" w:color="C0504D" w:themeColor="accent2" w:sz="8" w:space="0"/>
              <w:insideH w:val="single" w:sz="8" w:space="0"/>
              <w:insideV w:val="single" w:sz="8" w:space="0"/>
            </w:tcBorders>
            <w:shd w:val="clear" w:color="auto" w:fill="EFD3D3" w:themeFill="accent2" w:themeFillTint="3F"/>
          </w:tcPr>
          <w:p>
            <w:pPr>
              <w:pStyle w:val="13"/>
              <w:rPr>
                <w:rFonts w:ascii="Calibri" w:hAnsi="Calibri"/>
                <w:b/>
                <w:bCs/>
                <w:sz w:val="22"/>
                <w:szCs w:val="22"/>
              </w:rPr>
            </w:pPr>
            <w:r>
              <w:rPr>
                <w:rStyle w:val="14"/>
                <w:rFonts w:ascii="Calibri" w:hAnsi="Calibri"/>
                <w:b/>
                <w:bCs/>
                <w:sz w:val="22"/>
                <w:szCs w:val="22"/>
              </w:rPr>
              <w:t>Units of Display</w:t>
            </w:r>
          </w:p>
        </w:tc>
        <w:tc>
          <w:tcPr>
            <w:tcW w:w="6947" w:type="dxa"/>
            <w:tcBorders>
              <w:top w:val="single" w:color="C0504D" w:themeColor="accent2" w:sz="8" w:space="0"/>
              <w:bottom w:val="single" w:color="C0504D" w:themeColor="accent2" w:sz="8" w:space="0"/>
              <w:right w:val="single" w:color="C0504D" w:themeColor="accent2" w:sz="8" w:space="0"/>
              <w:insideH w:val="single" w:sz="8" w:space="0"/>
              <w:insideV w:val="single" w:sz="8" w:space="0"/>
            </w:tcBorders>
            <w:shd w:val="clear" w:color="auto" w:fill="EFD3D3" w:themeFill="accent2" w:themeFillTint="3F"/>
          </w:tcPr>
          <w:p>
            <w:pPr>
              <w:pStyle w:val="13"/>
              <w:jc w:val="center"/>
              <w:rPr>
                <w:rStyle w:val="14"/>
                <w:rFonts w:ascii="Calibri" w:hAnsi="Calibri"/>
                <w:sz w:val="22"/>
                <w:szCs w:val="22"/>
              </w:rPr>
            </w:pPr>
            <w:r>
              <w:rPr>
                <w:rStyle w:val="14"/>
                <w:rFonts w:ascii="Calibri" w:hAnsi="Calibri"/>
                <w:sz w:val="22"/>
                <w:szCs w:val="22"/>
              </w:rPr>
              <w:t>m.Bar</w:t>
            </w:r>
          </w:p>
        </w:tc>
      </w:tr>
      <w:tr>
        <w:trPr>
          <w:trHeight w:val="263" w:hRule="atLeast"/>
        </w:trPr>
        <w:tc>
          <w:tcPr>
            <w:tcW w:w="3210" w:type="dxa"/>
            <w:tcBorders>
              <w:top w:val="single" w:color="C0504D" w:themeColor="accent2" w:sz="8" w:space="0"/>
              <w:left w:val="single" w:color="C0504D" w:themeColor="accent2" w:sz="8" w:space="0"/>
              <w:bottom w:val="single" w:color="C0504D" w:themeColor="accent2" w:sz="8" w:space="0"/>
              <w:right w:val="single" w:color="C0504D" w:themeColor="accent2" w:sz="8" w:space="0"/>
              <w:insideH w:val="single" w:sz="8" w:space="0"/>
              <w:insideV w:val="single" w:sz="8" w:space="0"/>
            </w:tcBorders>
          </w:tcPr>
          <w:p>
            <w:pPr>
              <w:pStyle w:val="13"/>
              <w:rPr>
                <w:rFonts w:ascii="Calibri" w:hAnsi="Calibri"/>
                <w:b/>
                <w:bCs/>
                <w:sz w:val="22"/>
                <w:szCs w:val="22"/>
              </w:rPr>
            </w:pPr>
            <w:r>
              <w:rPr>
                <w:rStyle w:val="14"/>
                <w:rFonts w:ascii="Calibri" w:hAnsi="Calibri"/>
                <w:b/>
                <w:bCs/>
                <w:sz w:val="22"/>
                <w:szCs w:val="22"/>
              </w:rPr>
              <w:t xml:space="preserve">Vacuum Gauge Head </w:t>
            </w:r>
          </w:p>
        </w:tc>
        <w:tc>
          <w:tcPr>
            <w:tcW w:w="6947" w:type="dxa"/>
            <w:tcBorders>
              <w:top w:val="single" w:color="C0504D" w:themeColor="accent2" w:sz="8" w:space="0"/>
              <w:bottom w:val="single" w:color="C0504D" w:themeColor="accent2" w:sz="8" w:space="0"/>
              <w:right w:val="single" w:color="C0504D" w:themeColor="accent2" w:sz="8" w:space="0"/>
              <w:insideH w:val="single" w:sz="8" w:space="0"/>
              <w:insideV w:val="single" w:sz="8" w:space="0"/>
            </w:tcBorders>
          </w:tcPr>
          <w:p>
            <w:pPr>
              <w:pStyle w:val="13"/>
              <w:jc w:val="center"/>
              <w:rPr>
                <w:rStyle w:val="14"/>
                <w:rFonts w:ascii="Calibri" w:hAnsi="Calibri"/>
                <w:sz w:val="22"/>
                <w:szCs w:val="22"/>
              </w:rPr>
            </w:pPr>
            <w:r>
              <w:rPr>
                <w:rStyle w:val="12"/>
                <w:rFonts w:ascii="Calibri" w:hAnsi="Calibri"/>
              </w:rPr>
              <w:t>S-PR-GH sensor tube</w:t>
            </w:r>
          </w:p>
        </w:tc>
      </w:tr>
      <w:tr>
        <w:trPr>
          <w:trHeight w:val="270" w:hRule="atLeast"/>
        </w:trPr>
        <w:tc>
          <w:tcPr>
            <w:tcW w:w="3210" w:type="dxa"/>
            <w:tcBorders>
              <w:top w:val="single" w:color="C0504D" w:themeColor="accent2" w:sz="8" w:space="0"/>
              <w:left w:val="single" w:color="C0504D" w:themeColor="accent2" w:sz="8" w:space="0"/>
              <w:bottom w:val="single" w:color="C0504D" w:themeColor="accent2" w:sz="8" w:space="0"/>
              <w:right w:val="single" w:color="C0504D" w:themeColor="accent2" w:sz="8" w:space="0"/>
              <w:insideH w:val="single" w:sz="8" w:space="0"/>
              <w:insideV w:val="single" w:sz="8" w:space="0"/>
            </w:tcBorders>
            <w:shd w:val="clear" w:color="auto" w:fill="EFD3D3" w:themeFill="accent2" w:themeFillTint="3F"/>
          </w:tcPr>
          <w:p>
            <w:pPr>
              <w:pStyle w:val="13"/>
              <w:rPr>
                <w:rFonts w:ascii="Calibri" w:hAnsi="Calibri"/>
                <w:b/>
                <w:bCs/>
                <w:sz w:val="22"/>
                <w:szCs w:val="22"/>
              </w:rPr>
            </w:pPr>
            <w:r>
              <w:rPr>
                <w:rStyle w:val="14"/>
                <w:rFonts w:ascii="Calibri" w:hAnsi="Calibri"/>
                <w:b/>
                <w:bCs/>
                <w:sz w:val="22"/>
                <w:szCs w:val="22"/>
              </w:rPr>
              <w:t>Temp</w:t>
            </w:r>
            <w:r>
              <w:rPr>
                <w:rStyle w:val="14"/>
                <w:rFonts w:ascii="Calibri" w:hAnsi="Calibri"/>
                <w:b/>
                <w:bCs w:val="0"/>
                <w:sz w:val="22"/>
                <w:szCs w:val="22"/>
              </w:rPr>
              <w:t>.</w:t>
            </w:r>
            <w:r>
              <w:rPr>
                <w:rStyle w:val="14"/>
                <w:rFonts w:ascii="Calibri" w:hAnsi="Calibri"/>
                <w:b/>
                <w:bCs/>
                <w:sz w:val="22"/>
                <w:szCs w:val="22"/>
              </w:rPr>
              <w:t xml:space="preserve"> Range</w:t>
            </w:r>
          </w:p>
        </w:tc>
        <w:tc>
          <w:tcPr>
            <w:tcW w:w="6947" w:type="dxa"/>
            <w:tcBorders>
              <w:top w:val="single" w:color="C0504D" w:themeColor="accent2" w:sz="8" w:space="0"/>
              <w:bottom w:val="single" w:color="C0504D" w:themeColor="accent2" w:sz="8" w:space="0"/>
              <w:right w:val="single" w:color="C0504D" w:themeColor="accent2" w:sz="8" w:space="0"/>
              <w:insideH w:val="single" w:sz="8" w:space="0"/>
              <w:insideV w:val="single" w:sz="8" w:space="0"/>
            </w:tcBorders>
            <w:shd w:val="clear" w:color="auto" w:fill="EFD3D3" w:themeFill="accent2" w:themeFillTint="3F"/>
          </w:tcPr>
          <w:p>
            <w:pPr>
              <w:pStyle w:val="13"/>
              <w:jc w:val="center"/>
              <w:rPr>
                <w:rStyle w:val="14"/>
                <w:rFonts w:ascii="Calibri" w:hAnsi="Calibri"/>
                <w:sz w:val="22"/>
                <w:szCs w:val="22"/>
              </w:rPr>
            </w:pPr>
            <w:r>
              <w:rPr>
                <w:rStyle w:val="12"/>
                <w:rFonts w:ascii="Calibri" w:hAnsi="Calibri"/>
              </w:rPr>
              <w:t>+2 to +50 deg. Celsius</w:t>
            </w:r>
          </w:p>
        </w:tc>
      </w:tr>
      <w:tr>
        <w:trPr>
          <w:trHeight w:val="263" w:hRule="atLeast"/>
        </w:trPr>
        <w:tc>
          <w:tcPr>
            <w:tcW w:w="3210" w:type="dxa"/>
            <w:tcBorders>
              <w:top w:val="single" w:color="C0504D" w:themeColor="accent2" w:sz="8" w:space="0"/>
              <w:left w:val="single" w:color="C0504D" w:themeColor="accent2" w:sz="8" w:space="0"/>
              <w:bottom w:val="single" w:color="C0504D" w:themeColor="accent2" w:sz="8" w:space="0"/>
              <w:right w:val="single" w:color="C0504D" w:themeColor="accent2" w:sz="8" w:space="0"/>
              <w:insideH w:val="single" w:sz="8" w:space="0"/>
              <w:insideV w:val="single" w:sz="8" w:space="0"/>
            </w:tcBorders>
          </w:tcPr>
          <w:p>
            <w:pPr>
              <w:pStyle w:val="13"/>
              <w:rPr>
                <w:rFonts w:ascii="Calibri" w:hAnsi="Calibri"/>
                <w:b/>
                <w:bCs/>
                <w:sz w:val="22"/>
                <w:szCs w:val="22"/>
              </w:rPr>
            </w:pPr>
            <w:r>
              <w:rPr>
                <w:rStyle w:val="14"/>
                <w:rFonts w:ascii="Calibri" w:hAnsi="Calibri"/>
                <w:b/>
                <w:bCs w:val="0"/>
                <w:sz w:val="22"/>
                <w:szCs w:val="22"/>
              </w:rPr>
              <w:t xml:space="preserve">VAC. </w:t>
            </w:r>
            <w:r>
              <w:rPr>
                <w:rStyle w:val="14"/>
                <w:rFonts w:ascii="Calibri" w:hAnsi="Calibri"/>
                <w:b/>
                <w:bCs/>
                <w:sz w:val="22"/>
                <w:szCs w:val="22"/>
              </w:rPr>
              <w:t>Display</w:t>
            </w:r>
          </w:p>
        </w:tc>
        <w:tc>
          <w:tcPr>
            <w:tcW w:w="6947" w:type="dxa"/>
            <w:tcBorders>
              <w:top w:val="single" w:color="C0504D" w:themeColor="accent2" w:sz="8" w:space="0"/>
              <w:bottom w:val="single" w:color="C0504D" w:themeColor="accent2" w:sz="8" w:space="0"/>
              <w:right w:val="single" w:color="C0504D" w:themeColor="accent2" w:sz="8" w:space="0"/>
              <w:insideH w:val="single" w:sz="8" w:space="0"/>
              <w:insideV w:val="single" w:sz="8" w:space="0"/>
            </w:tcBorders>
          </w:tcPr>
          <w:p>
            <w:pPr>
              <w:pStyle w:val="13"/>
              <w:jc w:val="center"/>
              <w:rPr>
                <w:rStyle w:val="14"/>
                <w:rFonts w:ascii="Calibri" w:hAnsi="Calibri"/>
                <w:sz w:val="22"/>
                <w:szCs w:val="22"/>
              </w:rPr>
            </w:pPr>
            <w:r>
              <w:rPr>
                <w:rStyle w:val="12"/>
                <w:rFonts w:ascii="Calibri" w:hAnsi="Calibri"/>
              </w:rPr>
              <w:t>4-digit bright red LED, 14 mm high</w:t>
            </w:r>
          </w:p>
        </w:tc>
      </w:tr>
      <w:tr>
        <w:trPr>
          <w:trHeight w:val="270" w:hRule="atLeast"/>
        </w:trPr>
        <w:tc>
          <w:tcPr>
            <w:tcW w:w="3210" w:type="dxa"/>
            <w:tcBorders>
              <w:top w:val="single" w:color="C0504D" w:themeColor="accent2" w:sz="8" w:space="0"/>
              <w:left w:val="single" w:color="C0504D" w:themeColor="accent2" w:sz="8" w:space="0"/>
              <w:bottom w:val="single" w:color="C0504D" w:themeColor="accent2" w:sz="8" w:space="0"/>
              <w:right w:val="single" w:color="C0504D" w:themeColor="accent2" w:sz="8" w:space="0"/>
              <w:insideH w:val="single" w:sz="8" w:space="0"/>
              <w:insideV w:val="single" w:sz="8" w:space="0"/>
            </w:tcBorders>
            <w:shd w:val="clear" w:color="auto" w:fill="EFD3D3" w:themeFill="accent2" w:themeFillTint="3F"/>
          </w:tcPr>
          <w:p>
            <w:pPr>
              <w:pStyle w:val="13"/>
              <w:rPr>
                <w:rStyle w:val="14"/>
                <w:rFonts w:ascii="Calibri" w:hAnsi="Calibri"/>
                <w:b/>
                <w:bCs w:val="0"/>
                <w:sz w:val="22"/>
                <w:szCs w:val="22"/>
              </w:rPr>
            </w:pPr>
            <w:r>
              <w:rPr>
                <w:rStyle w:val="14"/>
                <w:rFonts w:ascii="Calibri" w:hAnsi="Calibri"/>
                <w:b/>
                <w:bCs/>
                <w:sz w:val="22"/>
                <w:szCs w:val="22"/>
              </w:rPr>
              <w:t>VAC and ATM Adjust</w:t>
            </w:r>
          </w:p>
        </w:tc>
        <w:tc>
          <w:tcPr>
            <w:tcW w:w="6947" w:type="dxa"/>
            <w:tcBorders>
              <w:top w:val="single" w:color="C0504D" w:themeColor="accent2" w:sz="8" w:space="0"/>
              <w:bottom w:val="single" w:color="C0504D" w:themeColor="accent2" w:sz="8" w:space="0"/>
              <w:right w:val="single" w:color="C0504D" w:themeColor="accent2" w:sz="8" w:space="0"/>
              <w:insideH w:val="single" w:sz="8" w:space="0"/>
              <w:insideV w:val="single" w:sz="8" w:space="0"/>
            </w:tcBorders>
            <w:shd w:val="clear" w:color="auto" w:fill="EFD3D3" w:themeFill="accent2" w:themeFillTint="3F"/>
          </w:tcPr>
          <w:p>
            <w:pPr>
              <w:pStyle w:val="13"/>
              <w:jc w:val="center"/>
              <w:rPr>
                <w:rStyle w:val="14"/>
                <w:rFonts w:ascii="Calibri" w:hAnsi="Calibri"/>
                <w:sz w:val="22"/>
                <w:szCs w:val="22"/>
              </w:rPr>
            </w:pPr>
            <w:r>
              <w:rPr>
                <w:rStyle w:val="12"/>
                <w:rFonts w:ascii="Calibri" w:hAnsi="Calibri"/>
              </w:rPr>
              <w:t>adjusted by trim pot at the signal conditioner PCB.</w:t>
            </w:r>
          </w:p>
        </w:tc>
      </w:tr>
      <w:tr>
        <w:trPr>
          <w:trHeight w:val="263" w:hRule="atLeast"/>
        </w:trPr>
        <w:tc>
          <w:tcPr>
            <w:tcW w:w="3210" w:type="dxa"/>
            <w:tcBorders>
              <w:top w:val="single" w:color="C0504D" w:themeColor="accent2" w:sz="8" w:space="0"/>
              <w:left w:val="single" w:color="C0504D" w:themeColor="accent2" w:sz="8" w:space="0"/>
              <w:bottom w:val="single" w:color="C0504D" w:themeColor="accent2" w:sz="8" w:space="0"/>
              <w:right w:val="single" w:color="C0504D" w:themeColor="accent2" w:sz="8" w:space="0"/>
              <w:insideH w:val="single" w:sz="8" w:space="0"/>
              <w:insideV w:val="single" w:sz="8" w:space="0"/>
            </w:tcBorders>
          </w:tcPr>
          <w:p>
            <w:pPr>
              <w:pStyle w:val="13"/>
              <w:rPr>
                <w:rFonts w:ascii="Calibri" w:hAnsi="Calibri"/>
                <w:b/>
                <w:bCs/>
                <w:sz w:val="22"/>
                <w:szCs w:val="22"/>
              </w:rPr>
            </w:pPr>
            <w:r>
              <w:rPr>
                <w:rStyle w:val="14"/>
                <w:rFonts w:ascii="Calibri" w:hAnsi="Calibri"/>
                <w:b/>
                <w:bCs w:val="0"/>
                <w:sz w:val="22"/>
                <w:szCs w:val="22"/>
              </w:rPr>
              <w:t>Process control set points</w:t>
            </w:r>
          </w:p>
        </w:tc>
        <w:tc>
          <w:tcPr>
            <w:tcW w:w="6947" w:type="dxa"/>
            <w:tcBorders>
              <w:top w:val="single" w:color="C0504D" w:themeColor="accent2" w:sz="8" w:space="0"/>
              <w:bottom w:val="single" w:color="C0504D" w:themeColor="accent2" w:sz="8" w:space="0"/>
              <w:right w:val="single" w:color="C0504D" w:themeColor="accent2" w:sz="8" w:space="0"/>
              <w:insideH w:val="single" w:sz="8" w:space="0"/>
              <w:insideV w:val="single" w:sz="8" w:space="0"/>
            </w:tcBorders>
          </w:tcPr>
          <w:p>
            <w:pPr>
              <w:pStyle w:val="13"/>
              <w:jc w:val="center"/>
              <w:rPr>
                <w:rStyle w:val="12"/>
                <w:rFonts w:ascii="Calibri" w:hAnsi="Calibri"/>
                <w:b/>
              </w:rPr>
            </w:pPr>
            <w:r>
              <w:rPr>
                <w:rStyle w:val="12"/>
                <w:rFonts w:ascii="Calibri" w:hAnsi="Calibri"/>
                <w:b/>
              </w:rPr>
              <w:t>one</w:t>
            </w:r>
          </w:p>
        </w:tc>
      </w:tr>
      <w:tr>
        <w:trPr>
          <w:trHeight w:val="533" w:hRule="atLeast"/>
        </w:trPr>
        <w:tc>
          <w:tcPr>
            <w:tcW w:w="3210" w:type="dxa"/>
            <w:tcBorders>
              <w:top w:val="single" w:color="C0504D" w:themeColor="accent2" w:sz="8" w:space="0"/>
              <w:left w:val="single" w:color="C0504D" w:themeColor="accent2" w:sz="8" w:space="0"/>
              <w:bottom w:val="single" w:color="C0504D" w:themeColor="accent2" w:sz="8" w:space="0"/>
              <w:right w:val="single" w:color="C0504D" w:themeColor="accent2" w:sz="8" w:space="0"/>
              <w:insideH w:val="single" w:sz="8" w:space="0"/>
              <w:insideV w:val="single" w:sz="8" w:space="0"/>
            </w:tcBorders>
            <w:shd w:val="clear" w:color="auto" w:fill="EFD3D3" w:themeFill="accent2" w:themeFillTint="3F"/>
          </w:tcPr>
          <w:p>
            <w:pPr>
              <w:pStyle w:val="13"/>
              <w:rPr>
                <w:rStyle w:val="14"/>
                <w:rFonts w:ascii="Calibri" w:hAnsi="Calibri"/>
                <w:b/>
                <w:bCs w:val="0"/>
                <w:sz w:val="22"/>
                <w:szCs w:val="22"/>
              </w:rPr>
            </w:pPr>
            <w:r>
              <w:rPr>
                <w:rStyle w:val="14"/>
                <w:rFonts w:ascii="Calibri" w:hAnsi="Calibri"/>
                <w:b/>
                <w:bCs/>
                <w:sz w:val="22"/>
                <w:szCs w:val="22"/>
              </w:rPr>
              <w:t>Process Control Relays</w:t>
            </w:r>
          </w:p>
        </w:tc>
        <w:tc>
          <w:tcPr>
            <w:tcW w:w="6947" w:type="dxa"/>
            <w:tcBorders>
              <w:top w:val="single" w:color="C0504D" w:themeColor="accent2" w:sz="8" w:space="0"/>
              <w:bottom w:val="single" w:color="C0504D" w:themeColor="accent2" w:sz="8" w:space="0"/>
              <w:right w:val="single" w:color="C0504D" w:themeColor="accent2" w:sz="8" w:space="0"/>
              <w:insideH w:val="single" w:sz="8" w:space="0"/>
              <w:insideV w:val="single" w:sz="8" w:space="0"/>
            </w:tcBorders>
            <w:shd w:val="clear" w:color="auto" w:fill="EFD3D3" w:themeFill="accent2" w:themeFillTint="3F"/>
          </w:tcPr>
          <w:p>
            <w:pPr>
              <w:pStyle w:val="13"/>
              <w:jc w:val="center"/>
              <w:rPr>
                <w:rStyle w:val="12"/>
                <w:rFonts w:ascii="Calibri" w:hAnsi="Calibri"/>
              </w:rPr>
            </w:pPr>
            <w:r>
              <w:rPr>
                <w:rStyle w:val="12"/>
                <w:rFonts w:ascii="Calibri" w:hAnsi="Calibri"/>
              </w:rPr>
              <w:t xml:space="preserve">Two relay outputs,  potential free contacts; independent </w:t>
            </w:r>
            <w:r>
              <w:rPr>
                <w:rStyle w:val="14"/>
                <w:rFonts w:ascii="Calibri" w:hAnsi="Calibri"/>
                <w:b/>
                <w:bCs/>
              </w:rPr>
              <w:t xml:space="preserve">                             </w:t>
            </w:r>
            <w:r>
              <w:rPr>
                <w:rStyle w:val="12"/>
                <w:rFonts w:ascii="Calibri" w:hAnsi="Calibri"/>
              </w:rPr>
              <w:t>available through the DB15 accessory connector on the rear panel</w:t>
            </w:r>
          </w:p>
        </w:tc>
      </w:tr>
      <w:tr>
        <w:trPr>
          <w:trHeight w:val="270" w:hRule="atLeast"/>
        </w:trPr>
        <w:tc>
          <w:tcPr>
            <w:tcW w:w="3210" w:type="dxa"/>
            <w:tcBorders>
              <w:top w:val="single" w:color="C0504D" w:themeColor="accent2" w:sz="8" w:space="0"/>
              <w:left w:val="single" w:color="C0504D" w:themeColor="accent2" w:sz="8" w:space="0"/>
              <w:bottom w:val="single" w:color="C0504D" w:themeColor="accent2" w:sz="8" w:space="0"/>
              <w:right w:val="single" w:color="C0504D" w:themeColor="accent2" w:sz="8" w:space="0"/>
              <w:insideH w:val="single" w:sz="8" w:space="0"/>
              <w:insideV w:val="single" w:sz="8" w:space="0"/>
            </w:tcBorders>
          </w:tcPr>
          <w:p>
            <w:pPr>
              <w:pStyle w:val="13"/>
              <w:rPr>
                <w:rStyle w:val="14"/>
                <w:rFonts w:ascii="Calibri" w:hAnsi="Calibri"/>
                <w:b/>
                <w:bCs w:val="0"/>
                <w:sz w:val="22"/>
                <w:szCs w:val="22"/>
              </w:rPr>
            </w:pPr>
            <w:r>
              <w:rPr>
                <w:rStyle w:val="14"/>
                <w:rFonts w:ascii="Calibri" w:hAnsi="Calibri"/>
                <w:b/>
                <w:bCs/>
                <w:sz w:val="22"/>
                <w:szCs w:val="22"/>
              </w:rPr>
              <w:t>Nonvolatile Memory</w:t>
            </w:r>
          </w:p>
        </w:tc>
        <w:tc>
          <w:tcPr>
            <w:tcW w:w="6947" w:type="dxa"/>
            <w:tcBorders>
              <w:top w:val="single" w:color="C0504D" w:themeColor="accent2" w:sz="8" w:space="0"/>
              <w:bottom w:val="single" w:color="C0504D" w:themeColor="accent2" w:sz="8" w:space="0"/>
              <w:right w:val="single" w:color="C0504D" w:themeColor="accent2" w:sz="8" w:space="0"/>
              <w:insideH w:val="single" w:sz="8" w:space="0"/>
              <w:insideV w:val="single" w:sz="8" w:space="0"/>
            </w:tcBorders>
          </w:tcPr>
          <w:p>
            <w:pPr>
              <w:pStyle w:val="13"/>
              <w:jc w:val="center"/>
              <w:rPr>
                <w:rStyle w:val="12"/>
                <w:rFonts w:ascii="Calibri" w:hAnsi="Calibri"/>
              </w:rPr>
            </w:pPr>
            <w:r>
              <w:rPr>
                <w:rStyle w:val="12"/>
                <w:rFonts w:ascii="Calibri" w:hAnsi="Calibri"/>
              </w:rPr>
              <w:t>Only for set points</w:t>
            </w:r>
          </w:p>
        </w:tc>
      </w:tr>
      <w:tr>
        <w:trPr>
          <w:trHeight w:val="263" w:hRule="atLeast"/>
        </w:trPr>
        <w:tc>
          <w:tcPr>
            <w:tcW w:w="3210" w:type="dxa"/>
            <w:tcBorders>
              <w:top w:val="single" w:color="C0504D" w:themeColor="accent2" w:sz="8" w:space="0"/>
              <w:left w:val="single" w:color="C0504D" w:themeColor="accent2" w:sz="8" w:space="0"/>
              <w:bottom w:val="single" w:color="C0504D" w:themeColor="accent2" w:sz="8" w:space="0"/>
              <w:right w:val="single" w:color="C0504D" w:themeColor="accent2" w:sz="8" w:space="0"/>
              <w:insideH w:val="single" w:sz="8" w:space="0"/>
              <w:insideV w:val="single" w:sz="8" w:space="0"/>
            </w:tcBorders>
            <w:shd w:val="clear" w:color="auto" w:fill="EFD3D3" w:themeFill="accent2" w:themeFillTint="3F"/>
          </w:tcPr>
          <w:p>
            <w:pPr>
              <w:pStyle w:val="13"/>
              <w:rPr>
                <w:rStyle w:val="14"/>
                <w:rFonts w:ascii="Calibri" w:hAnsi="Calibri"/>
                <w:b/>
                <w:bCs w:val="0"/>
                <w:sz w:val="22"/>
                <w:szCs w:val="22"/>
              </w:rPr>
            </w:pPr>
            <w:r>
              <w:rPr>
                <w:rStyle w:val="14"/>
                <w:rFonts w:ascii="Calibri" w:hAnsi="Calibri"/>
                <w:b/>
                <w:bCs/>
                <w:sz w:val="22"/>
                <w:szCs w:val="22"/>
              </w:rPr>
              <w:t>Operating Voltage</w:t>
            </w:r>
          </w:p>
        </w:tc>
        <w:tc>
          <w:tcPr>
            <w:tcW w:w="6947" w:type="dxa"/>
            <w:tcBorders>
              <w:top w:val="single" w:color="C0504D" w:themeColor="accent2" w:sz="8" w:space="0"/>
              <w:bottom w:val="single" w:color="C0504D" w:themeColor="accent2" w:sz="8" w:space="0"/>
              <w:right w:val="single" w:color="C0504D" w:themeColor="accent2" w:sz="8" w:space="0"/>
              <w:insideH w:val="single" w:sz="8" w:space="0"/>
              <w:insideV w:val="single" w:sz="8" w:space="0"/>
            </w:tcBorders>
            <w:shd w:val="clear" w:color="auto" w:fill="EFD3D3" w:themeFill="accent2" w:themeFillTint="3F"/>
          </w:tcPr>
          <w:p>
            <w:pPr>
              <w:pStyle w:val="7"/>
              <w:jc w:val="center"/>
              <w:rPr>
                <w:rStyle w:val="14"/>
                <w:rFonts w:ascii="Calibri" w:hAnsi="Calibri"/>
              </w:rPr>
            </w:pPr>
            <w:r>
              <w:rPr>
                <w:rStyle w:val="12"/>
                <w:rFonts w:ascii="Calibri" w:hAnsi="Calibri"/>
              </w:rPr>
              <w:t>universal power supply,</w:t>
            </w:r>
            <w:r>
              <w:rPr>
                <w:rStyle w:val="14"/>
                <w:rFonts w:ascii="Calibri" w:hAnsi="Calibri"/>
                <w:b/>
                <w:bCs/>
              </w:rPr>
              <w:t xml:space="preserve"> </w:t>
            </w:r>
            <w:r>
              <w:rPr>
                <w:rStyle w:val="12"/>
                <w:rFonts w:ascii="Calibri" w:hAnsi="Calibri"/>
              </w:rPr>
              <w:t xml:space="preserve">input voltages from </w:t>
            </w:r>
            <w:r>
              <w:rPr>
                <w:rFonts w:ascii="Calibri" w:hAnsi="Calibri"/>
                <w:b/>
              </w:rPr>
              <w:t>90 ~ 264VAC</w:t>
            </w:r>
            <w:r>
              <w:rPr>
                <w:rFonts w:ascii="Calibri" w:hAnsi="Calibri" w:cs="_R82-ArialNarrow"/>
              </w:rPr>
              <w:t xml:space="preserve"> </w:t>
            </w:r>
            <w:r>
              <w:rPr>
                <w:rStyle w:val="12"/>
                <w:rFonts w:ascii="Calibri" w:hAnsi="Calibri"/>
              </w:rPr>
              <w:t>50/60 Hz</w:t>
            </w:r>
          </w:p>
        </w:tc>
      </w:tr>
      <w:tr>
        <w:trPr>
          <w:trHeight w:val="293" w:hRule="atLeast"/>
        </w:trPr>
        <w:tc>
          <w:tcPr>
            <w:tcW w:w="3210" w:type="dxa"/>
            <w:tcBorders>
              <w:top w:val="single" w:color="C0504D" w:themeColor="accent2" w:sz="8" w:space="0"/>
              <w:left w:val="single" w:color="C0504D" w:themeColor="accent2" w:sz="8" w:space="0"/>
              <w:bottom w:val="single" w:color="C0504D" w:themeColor="accent2" w:sz="8" w:space="0"/>
              <w:right w:val="single" w:color="C0504D" w:themeColor="accent2" w:sz="8" w:space="0"/>
              <w:insideH w:val="single" w:sz="8" w:space="0"/>
              <w:insideV w:val="single" w:sz="8" w:space="0"/>
            </w:tcBorders>
          </w:tcPr>
          <w:p>
            <w:pPr>
              <w:pStyle w:val="13"/>
              <w:rPr>
                <w:rStyle w:val="14"/>
                <w:rFonts w:ascii="Calibri" w:hAnsi="Calibri"/>
                <w:b/>
                <w:bCs w:val="0"/>
                <w:sz w:val="22"/>
                <w:szCs w:val="22"/>
              </w:rPr>
            </w:pPr>
            <w:r>
              <w:rPr>
                <w:rStyle w:val="14"/>
                <w:rFonts w:ascii="Calibri" w:hAnsi="Calibri"/>
                <w:b/>
                <w:bCs w:val="0"/>
                <w:sz w:val="22"/>
                <w:szCs w:val="22"/>
              </w:rPr>
              <w:t>Mounting</w:t>
            </w:r>
          </w:p>
        </w:tc>
        <w:tc>
          <w:tcPr>
            <w:tcW w:w="6947" w:type="dxa"/>
            <w:tcBorders>
              <w:top w:val="single" w:color="C0504D" w:themeColor="accent2" w:sz="8" w:space="0"/>
              <w:bottom w:val="single" w:color="C0504D" w:themeColor="accent2" w:sz="8" w:space="0"/>
              <w:right w:val="single" w:color="C0504D" w:themeColor="accent2" w:sz="8" w:space="0"/>
              <w:insideH w:val="single" w:sz="8" w:space="0"/>
              <w:insideV w:val="single" w:sz="8" w:space="0"/>
            </w:tcBorders>
          </w:tcPr>
          <w:p>
            <w:pPr>
              <w:pStyle w:val="13"/>
              <w:jc w:val="center"/>
              <w:rPr>
                <w:rStyle w:val="14"/>
                <w:rFonts w:ascii="Calibri" w:hAnsi="Calibri"/>
                <w:sz w:val="22"/>
                <w:szCs w:val="22"/>
              </w:rPr>
            </w:pPr>
            <w:r>
              <w:rPr>
                <w:rStyle w:val="12"/>
                <w:rFonts w:ascii="Calibri" w:hAnsi="Calibri"/>
              </w:rPr>
              <w:t xml:space="preserve">¼ </w:t>
            </w:r>
            <w:r>
              <w:rPr>
                <w:rFonts w:ascii="Calibri" w:hAnsi="Calibri" w:cs="Helvetica"/>
              </w:rPr>
              <w:t xml:space="preserve"> DIN 92 x 92 mm (3.62” x 3.62")</w:t>
            </w:r>
          </w:p>
        </w:tc>
      </w:tr>
      <w:tr>
        <w:trPr>
          <w:trHeight w:val="263" w:hRule="atLeast"/>
        </w:trPr>
        <w:tc>
          <w:tcPr>
            <w:tcW w:w="3210" w:type="dxa"/>
            <w:tcBorders>
              <w:top w:val="single" w:color="C0504D" w:themeColor="accent2" w:sz="8" w:space="0"/>
              <w:left w:val="single" w:color="C0504D" w:themeColor="accent2" w:sz="8" w:space="0"/>
              <w:bottom w:val="single" w:color="C0504D" w:themeColor="accent2" w:sz="8" w:space="0"/>
              <w:right w:val="single" w:color="C0504D" w:themeColor="accent2" w:sz="8" w:space="0"/>
              <w:insideH w:val="single" w:sz="8" w:space="0"/>
              <w:insideV w:val="single" w:sz="8" w:space="0"/>
            </w:tcBorders>
            <w:shd w:val="clear" w:color="auto" w:fill="EFD3D3" w:themeFill="accent2" w:themeFillTint="3F"/>
          </w:tcPr>
          <w:p>
            <w:pPr>
              <w:pStyle w:val="13"/>
              <w:rPr>
                <w:rStyle w:val="14"/>
                <w:rFonts w:ascii="Calibri" w:hAnsi="Calibri"/>
                <w:b/>
                <w:bCs w:val="0"/>
                <w:sz w:val="22"/>
                <w:szCs w:val="22"/>
              </w:rPr>
            </w:pPr>
            <w:r>
              <w:rPr>
                <w:rStyle w:val="14"/>
                <w:rFonts w:ascii="Calibri" w:hAnsi="Calibri"/>
                <w:b/>
                <w:bCs/>
                <w:sz w:val="22"/>
                <w:szCs w:val="22"/>
              </w:rPr>
              <w:t>Environmental Considerations</w:t>
            </w:r>
          </w:p>
        </w:tc>
        <w:tc>
          <w:tcPr>
            <w:tcW w:w="6947" w:type="dxa"/>
            <w:tcBorders>
              <w:top w:val="single" w:color="C0504D" w:themeColor="accent2" w:sz="8" w:space="0"/>
              <w:bottom w:val="single" w:color="C0504D" w:themeColor="accent2" w:sz="8" w:space="0"/>
              <w:right w:val="single" w:color="C0504D" w:themeColor="accent2" w:sz="8" w:space="0"/>
              <w:insideH w:val="single" w:sz="8" w:space="0"/>
              <w:insideV w:val="single" w:sz="8" w:space="0"/>
            </w:tcBorders>
            <w:shd w:val="clear" w:color="auto" w:fill="EFD3D3" w:themeFill="accent2" w:themeFillTint="3F"/>
          </w:tcPr>
          <w:p>
            <w:pPr>
              <w:pStyle w:val="13"/>
              <w:jc w:val="center"/>
              <w:rPr>
                <w:rStyle w:val="14"/>
                <w:rFonts w:ascii="Calibri" w:hAnsi="Calibri"/>
                <w:sz w:val="22"/>
                <w:szCs w:val="22"/>
              </w:rPr>
            </w:pPr>
            <w:r>
              <w:rPr>
                <w:rStyle w:val="12"/>
                <w:rFonts w:ascii="Calibri" w:hAnsi="Calibri"/>
              </w:rPr>
              <w:t>not for use with explosive or corrosive gases</w:t>
            </w:r>
          </w:p>
        </w:tc>
      </w:tr>
      <w:tr>
        <w:trPr>
          <w:trHeight w:val="129" w:hRule="atLeast"/>
        </w:trPr>
        <w:tc>
          <w:tcPr>
            <w:tcW w:w="3210" w:type="dxa"/>
            <w:tcBorders>
              <w:top w:val="single" w:color="C0504D" w:themeColor="accent2" w:sz="8" w:space="0"/>
              <w:left w:val="single" w:color="C0504D" w:themeColor="accent2" w:sz="8" w:space="0"/>
              <w:bottom w:val="single" w:color="C0504D" w:themeColor="accent2" w:sz="8" w:space="0"/>
              <w:right w:val="single" w:color="C0504D" w:themeColor="accent2" w:sz="8" w:space="0"/>
              <w:insideH w:val="single" w:sz="8" w:space="0"/>
              <w:insideV w:val="single" w:sz="8" w:space="0"/>
            </w:tcBorders>
          </w:tcPr>
          <w:p>
            <w:pPr>
              <w:pStyle w:val="13"/>
              <w:rPr>
                <w:rStyle w:val="14"/>
                <w:rFonts w:ascii="Calibri" w:hAnsi="Calibri"/>
                <w:b/>
                <w:bCs/>
                <w:sz w:val="22"/>
                <w:szCs w:val="22"/>
              </w:rPr>
            </w:pPr>
            <w:r>
              <w:rPr>
                <w:rStyle w:val="14"/>
                <w:rFonts w:ascii="Calibri" w:hAnsi="Calibri"/>
                <w:b/>
                <w:bCs/>
                <w:sz w:val="22"/>
                <w:szCs w:val="22"/>
              </w:rPr>
              <w:t>Overall dimensions</w:t>
            </w:r>
          </w:p>
        </w:tc>
        <w:tc>
          <w:tcPr>
            <w:tcW w:w="6947" w:type="dxa"/>
            <w:tcBorders>
              <w:top w:val="single" w:color="C0504D" w:themeColor="accent2" w:sz="8" w:space="0"/>
              <w:bottom w:val="single" w:color="C0504D" w:themeColor="accent2" w:sz="8" w:space="0"/>
              <w:right w:val="single" w:color="C0504D" w:themeColor="accent2" w:sz="8" w:space="0"/>
              <w:insideH w:val="single" w:sz="8" w:space="0"/>
              <w:insideV w:val="single" w:sz="8" w:space="0"/>
            </w:tcBorders>
          </w:tcPr>
          <w:p>
            <w:pPr>
              <w:pStyle w:val="13"/>
              <w:jc w:val="center"/>
              <w:rPr>
                <w:rStyle w:val="12"/>
                <w:rFonts w:ascii="Calibri" w:hAnsi="Calibri"/>
              </w:rPr>
            </w:pPr>
            <w:r>
              <w:rPr>
                <w:rStyle w:val="12"/>
                <w:rFonts w:ascii="Calibri" w:hAnsi="Calibri"/>
              </w:rPr>
              <w:t>9</w:t>
            </w:r>
            <w:r>
              <w:rPr>
                <w:rStyle w:val="12"/>
              </w:rPr>
              <w:t>2mm X 92mm X 110mm Depth</w:t>
            </w:r>
          </w:p>
        </w:tc>
      </w:tr>
      <w:tr>
        <w:trPr>
          <w:trHeight w:val="129" w:hRule="atLeast"/>
        </w:trPr>
        <w:tc>
          <w:tcPr>
            <w:tcW w:w="3210" w:type="dxa"/>
            <w:tcBorders>
              <w:top w:val="single" w:color="C0504D" w:themeColor="accent2" w:sz="8" w:space="0"/>
              <w:left w:val="single" w:color="C0504D" w:themeColor="accent2" w:sz="8" w:space="0"/>
              <w:bottom w:val="single" w:color="C0504D" w:themeColor="accent2" w:sz="8" w:space="0"/>
              <w:right w:val="single" w:color="C0504D" w:themeColor="accent2" w:sz="8" w:space="0"/>
              <w:insideH w:val="single" w:sz="8" w:space="0"/>
              <w:insideV w:val="single" w:sz="8" w:space="0"/>
            </w:tcBorders>
            <w:shd w:val="clear" w:color="auto" w:fill="EFD3D3" w:themeFill="accent2" w:themeFillTint="3F"/>
          </w:tcPr>
          <w:p>
            <w:pPr>
              <w:pStyle w:val="13"/>
              <w:rPr>
                <w:rStyle w:val="14"/>
                <w:rFonts w:ascii="Calibri" w:hAnsi="Calibri"/>
                <w:b/>
                <w:bCs/>
                <w:sz w:val="22"/>
                <w:szCs w:val="22"/>
              </w:rPr>
            </w:pPr>
            <w:r>
              <w:rPr>
                <w:rStyle w:val="14"/>
                <w:rFonts w:ascii="Calibri" w:hAnsi="Calibri"/>
                <w:b/>
                <w:bCs/>
                <w:sz w:val="20"/>
                <w:szCs w:val="22"/>
              </w:rPr>
              <w:t>O</w:t>
            </w:r>
            <w:r>
              <w:rPr>
                <w:rStyle w:val="14"/>
                <w:rFonts w:ascii="Calibri" w:hAnsi="Calibri"/>
                <w:b/>
                <w:bCs/>
                <w:sz w:val="20"/>
              </w:rPr>
              <w:t>ptional outputs on request</w:t>
            </w:r>
          </w:p>
        </w:tc>
        <w:tc>
          <w:tcPr>
            <w:tcW w:w="6947" w:type="dxa"/>
            <w:tcBorders>
              <w:top w:val="single" w:color="C0504D" w:themeColor="accent2" w:sz="8" w:space="0"/>
              <w:bottom w:val="single" w:color="C0504D" w:themeColor="accent2" w:sz="8" w:space="0"/>
              <w:right w:val="single" w:color="C0504D" w:themeColor="accent2" w:sz="8" w:space="0"/>
              <w:insideH w:val="single" w:sz="8" w:space="0"/>
              <w:insideV w:val="single" w:sz="8" w:space="0"/>
            </w:tcBorders>
            <w:shd w:val="clear" w:color="auto" w:fill="EFD3D3" w:themeFill="accent2" w:themeFillTint="3F"/>
          </w:tcPr>
          <w:p>
            <w:pPr>
              <w:pStyle w:val="13"/>
              <w:jc w:val="center"/>
              <w:rPr>
                <w:rStyle w:val="12"/>
                <w:rFonts w:ascii="Calibri" w:hAnsi="Calibri"/>
              </w:rPr>
            </w:pPr>
            <w:r>
              <w:rPr>
                <w:rStyle w:val="12"/>
                <w:rFonts w:ascii="Calibri" w:hAnsi="Calibri"/>
              </w:rPr>
              <w:t>R</w:t>
            </w:r>
            <w:r>
              <w:rPr>
                <w:rStyle w:val="12"/>
              </w:rPr>
              <w:t>S485, 0 -10V Dc analog output</w:t>
            </w:r>
          </w:p>
        </w:tc>
      </w:tr>
    </w:tbl>
    <w:p>
      <w:pPr>
        <w:pStyle w:val="7"/>
        <w:rPr>
          <w:rFonts w:ascii="Calibri" w:hAnsi="Calibri"/>
          <w:sz w:val="20"/>
          <w:szCs w:val="20"/>
        </w:rPr>
      </w:pPr>
      <w:r>
        <w:rPr>
          <w:b/>
          <w:sz w:val="28"/>
          <w:szCs w:val="28"/>
        </w:rPr>
        <w:t xml:space="preserve">Features at a Glance : </w:t>
      </w:r>
      <w:r>
        <w:rPr>
          <w:rFonts w:ascii="HFWUMC+HelveticaNeue-Bold" w:hAnsi="HFWUMC+HelveticaNeue-Bold" w:cs="HFWUMC+HelveticaNeue-Bold"/>
          <w:sz w:val="20"/>
          <w:szCs w:val="20"/>
        </w:rPr>
        <w:t>■</w:t>
      </w:r>
      <w:r>
        <w:rPr>
          <w:rFonts w:ascii="Calibri" w:hAnsi="Calibri" w:cs="HFWUMC+HelveticaNeue-Bold"/>
          <w:sz w:val="20"/>
          <w:szCs w:val="20"/>
        </w:rPr>
        <w:t xml:space="preserve"> </w:t>
      </w:r>
      <w:r>
        <w:rPr>
          <w:rFonts w:ascii="Calibri" w:hAnsi="Calibri"/>
          <w:b/>
          <w:i/>
          <w:sz w:val="20"/>
          <w:szCs w:val="20"/>
        </w:rPr>
        <w:t>Measurement</w:t>
      </w:r>
      <w:r>
        <w:rPr>
          <w:rStyle w:val="16"/>
          <w:rFonts w:ascii="Calibri" w:hAnsi="Calibri"/>
          <w:b/>
          <w:i/>
        </w:rPr>
        <w:t xml:space="preserve"> range 0.001</w:t>
      </w:r>
      <w:r>
        <w:rPr>
          <w:rStyle w:val="17"/>
          <w:rFonts w:ascii="Calibri" w:hAnsi="Calibri"/>
          <w:b/>
          <w:i/>
          <w:sz w:val="20"/>
          <w:szCs w:val="20"/>
        </w:rPr>
        <w:t xml:space="preserve"> </w:t>
      </w:r>
      <w:r>
        <w:rPr>
          <w:rStyle w:val="16"/>
          <w:rFonts w:ascii="Calibri" w:hAnsi="Calibri"/>
          <w:b/>
          <w:i/>
        </w:rPr>
        <w:t>to 20 mbar</w:t>
      </w:r>
      <w:r>
        <w:rPr>
          <w:rFonts w:ascii="Times New Roman" w:hAnsi="Times New Roman" w:cs="Times New Roman"/>
          <w:sz w:val="20"/>
          <w:szCs w:val="20"/>
        </w:rPr>
        <w:t xml:space="preserve"> ■</w:t>
      </w:r>
      <w:r>
        <w:rPr>
          <w:rFonts w:ascii="Calibri" w:hAnsi="Calibri" w:cs="Rockwell"/>
          <w:sz w:val="20"/>
          <w:szCs w:val="20"/>
        </w:rPr>
        <w:t xml:space="preserve"> </w:t>
      </w:r>
      <w:r>
        <w:rPr>
          <w:rFonts w:ascii="Calibri" w:hAnsi="Calibri"/>
          <w:b/>
          <w:i/>
          <w:sz w:val="20"/>
          <w:szCs w:val="20"/>
        </w:rPr>
        <w:t>Space saving rugged design- 1/8 DIN console</w:t>
      </w:r>
      <w:r>
        <w:rPr>
          <w:rFonts w:ascii="Times New Roman" w:hAnsi="Times New Roman" w:cs="Times New Roman"/>
          <w:sz w:val="20"/>
          <w:szCs w:val="20"/>
        </w:rPr>
        <w:t xml:space="preserve"> ■</w:t>
      </w:r>
      <w:r>
        <w:rPr>
          <w:rFonts w:ascii="Calibri" w:hAnsi="Calibri" w:cs="Rockwell"/>
          <w:sz w:val="20"/>
          <w:szCs w:val="20"/>
        </w:rPr>
        <w:t xml:space="preserve"> </w:t>
      </w:r>
      <w:r>
        <w:rPr>
          <w:rFonts w:ascii="Calibri" w:hAnsi="Calibri"/>
          <w:b/>
          <w:i/>
          <w:sz w:val="20"/>
          <w:szCs w:val="20"/>
        </w:rPr>
        <w:t>Space saving rugged design- 1/8 DIN console</w:t>
      </w:r>
      <w:r>
        <w:rPr>
          <w:rFonts w:ascii="Calibri" w:hAnsi="Calibri"/>
          <w:sz w:val="20"/>
          <w:szCs w:val="20"/>
        </w:rPr>
        <w:t xml:space="preserve"> </w:t>
      </w:r>
      <w:r>
        <w:rPr>
          <w:rFonts w:ascii="Times New Roman" w:hAnsi="Times New Roman" w:cs="Times New Roman"/>
          <w:sz w:val="20"/>
          <w:szCs w:val="20"/>
        </w:rPr>
        <w:t>■</w:t>
      </w:r>
      <w:r>
        <w:rPr>
          <w:rFonts w:ascii="Calibri" w:hAnsi="Calibri" w:cs="Rockwell"/>
          <w:sz w:val="20"/>
          <w:szCs w:val="20"/>
        </w:rPr>
        <w:t xml:space="preserve"> </w:t>
      </w:r>
      <w:r>
        <w:rPr>
          <w:rFonts w:ascii="Calibri" w:hAnsi="Calibri"/>
          <w:b/>
          <w:i/>
          <w:sz w:val="20"/>
          <w:szCs w:val="20"/>
        </w:rPr>
        <w:t>Mounts in any orientation</w:t>
      </w:r>
      <w:r>
        <w:rPr>
          <w:rFonts w:ascii="Times New Roman" w:hAnsi="Times New Roman" w:cs="Times New Roman"/>
          <w:sz w:val="20"/>
          <w:szCs w:val="20"/>
        </w:rPr>
        <w:t xml:space="preserve"> ■</w:t>
      </w:r>
      <w:r>
        <w:rPr>
          <w:rFonts w:ascii="Calibri" w:hAnsi="Calibri" w:cs="Rockwell"/>
          <w:sz w:val="20"/>
          <w:szCs w:val="20"/>
        </w:rPr>
        <w:t xml:space="preserve"> </w:t>
      </w:r>
      <w:r>
        <w:rPr>
          <w:rFonts w:ascii="Calibri" w:hAnsi="Calibri"/>
          <w:b/>
          <w:i/>
          <w:sz w:val="20"/>
          <w:szCs w:val="20"/>
        </w:rPr>
        <w:t>brass body measuring cell with metal-sealed feed through</w:t>
      </w:r>
      <w:r>
        <w:rPr>
          <w:rFonts w:ascii="Times New Roman" w:hAnsi="Times New Roman" w:cs="Times New Roman"/>
          <w:sz w:val="20"/>
          <w:szCs w:val="20"/>
        </w:rPr>
        <w:t xml:space="preserve"> ■</w:t>
      </w:r>
      <w:r>
        <w:rPr>
          <w:rFonts w:ascii="Calibri" w:hAnsi="Calibri" w:cs="Rockwell"/>
          <w:sz w:val="20"/>
          <w:szCs w:val="20"/>
        </w:rPr>
        <w:t xml:space="preserve"> </w:t>
      </w:r>
      <w:r>
        <w:rPr>
          <w:rFonts w:ascii="Calibri" w:hAnsi="Calibri"/>
          <w:b/>
          <w:i/>
          <w:sz w:val="20"/>
          <w:szCs w:val="20"/>
        </w:rPr>
        <w:t xml:space="preserve">with universal power supply – input voltage from </w:t>
      </w:r>
      <w:r>
        <w:rPr>
          <w:rFonts w:ascii="Calibri" w:hAnsi="Calibri" w:cs="_R1512-ArialNarrow"/>
          <w:b/>
          <w:i/>
          <w:sz w:val="20"/>
          <w:szCs w:val="20"/>
        </w:rPr>
        <w:t>90 ~ 264VAC</w:t>
      </w:r>
      <w:r>
        <w:rPr>
          <w:rFonts w:ascii="Calibri" w:hAnsi="Calibri"/>
          <w:b/>
          <w:i/>
          <w:sz w:val="20"/>
          <w:szCs w:val="20"/>
        </w:rPr>
        <w:t xml:space="preserve">, frequency </w:t>
      </w:r>
      <w:r>
        <w:rPr>
          <w:rFonts w:ascii="Calibri" w:hAnsi="Calibri" w:cs="_R1512-ArialNarrow"/>
          <w:b/>
          <w:i/>
          <w:sz w:val="20"/>
          <w:szCs w:val="20"/>
        </w:rPr>
        <w:t>47 ~ 440Hz</w:t>
      </w:r>
    </w:p>
    <w:p>
      <w:pPr>
        <w:pStyle w:val="13"/>
        <w:ind w:firstLine="90"/>
        <w:rPr>
          <w:rFonts w:asciiTheme="minorHAnsi" w:hAnsiTheme="minorHAnsi"/>
          <w:b/>
          <w:i/>
          <w:sz w:val="28"/>
          <w:szCs w:val="28"/>
        </w:rPr>
      </w:pPr>
      <w:r>
        <w:rPr>
          <w:rFonts w:asciiTheme="minorHAnsi" w:hAnsiTheme="minorHAnsi"/>
          <w:b/>
          <w:i/>
          <w:sz w:val="28"/>
          <w:szCs w:val="28"/>
        </w:rPr>
        <w:t>Calibration:</w:t>
      </w:r>
    </w:p>
    <w:p>
      <w:pPr>
        <w:autoSpaceDE w:val="0"/>
        <w:autoSpaceDN w:val="0"/>
        <w:adjustRightInd w:val="0"/>
        <w:spacing w:after="0" w:line="240" w:lineRule="auto"/>
        <w:jc w:val="both"/>
        <w:rPr>
          <w:rFonts w:cs="Arial"/>
          <w:color w:val="000000"/>
          <w:sz w:val="20"/>
          <w:szCs w:val="20"/>
        </w:rPr>
      </w:pPr>
      <w:r>
        <w:rPr>
          <w:rFonts w:eastAsia="Times New Roman" w:cs="Arial"/>
          <w:b/>
          <w:bCs/>
          <w:sz w:val="20"/>
          <w:lang w:eastAsia="en-IN"/>
        </w:rPr>
        <w:t>Unique Vacuum Solutions</w:t>
      </w:r>
      <w:r>
        <w:rPr>
          <w:rFonts w:cs="Arial"/>
          <w:color w:val="000000"/>
          <w:sz w:val="20"/>
          <w:szCs w:val="20"/>
        </w:rPr>
        <w:t xml:space="preserve"> offers a convenient recalibration service to help users of vacuum measurement pirani/ thermocouple/ full range gauges to maintain all of their vacuum gauges in Certified and peak condition, regardless of the original manufacturer. All makes of vacuum gauges can also be calibrated / repaired if required. </w:t>
      </w:r>
    </w:p>
    <w:p>
      <w:pPr>
        <w:autoSpaceDE w:val="0"/>
        <w:autoSpaceDN w:val="0"/>
        <w:adjustRightInd w:val="0"/>
        <w:spacing w:after="0" w:line="240" w:lineRule="auto"/>
        <w:jc w:val="both"/>
        <w:rPr>
          <w:rFonts w:cs="Arial"/>
          <w:color w:val="000000"/>
          <w:sz w:val="20"/>
          <w:szCs w:val="20"/>
        </w:rPr>
      </w:pPr>
      <w:r>
        <w:rPr>
          <w:rFonts w:cs="Arial"/>
          <w:color w:val="000000"/>
          <w:sz w:val="20"/>
          <w:szCs w:val="20"/>
        </w:rPr>
        <w:t xml:space="preserve">The calibration certificates are available only on request at additional cost. Pl contact before ordering. </w:t>
      </w:r>
    </w:p>
    <w:p>
      <w:pPr>
        <w:autoSpaceDE w:val="0"/>
        <w:autoSpaceDN w:val="0"/>
        <w:adjustRightInd w:val="0"/>
        <w:spacing w:after="0" w:line="240" w:lineRule="auto"/>
        <w:jc w:val="both"/>
        <w:rPr>
          <w:rFonts w:cs="Arial"/>
          <w:color w:val="000000"/>
          <w:sz w:val="20"/>
          <w:szCs w:val="20"/>
        </w:rPr>
      </w:pPr>
    </w:p>
    <w:p>
      <w:pPr>
        <w:pStyle w:val="7"/>
        <w:pBdr>
          <w:top w:val="single" w:color="auto" w:sz="4" w:space="1"/>
          <w:left w:val="single" w:color="auto" w:sz="4" w:space="4"/>
          <w:bottom w:val="single" w:color="auto" w:sz="4" w:space="1"/>
          <w:right w:val="single" w:color="auto" w:sz="4" w:space="4"/>
        </w:pBdr>
        <w:jc w:val="center"/>
        <w:rPr>
          <w:b/>
          <w:i/>
        </w:rPr>
      </w:pPr>
      <w:r>
        <w:rPr>
          <w:b/>
          <w:i/>
        </w:rPr>
        <w:t>UNIQUE VACUUM SOLUTIONS</w:t>
      </w:r>
    </w:p>
    <w:p>
      <w:pPr>
        <w:pStyle w:val="7"/>
        <w:pBdr>
          <w:top w:val="single" w:color="auto" w:sz="4" w:space="1"/>
          <w:left w:val="single" w:color="auto" w:sz="4" w:space="4"/>
          <w:bottom w:val="single" w:color="auto" w:sz="4" w:space="1"/>
          <w:right w:val="single" w:color="auto" w:sz="4" w:space="4"/>
        </w:pBdr>
        <w:jc w:val="center"/>
        <w:rPr>
          <w:b/>
          <w:sz w:val="20"/>
          <w:szCs w:val="20"/>
        </w:rPr>
      </w:pPr>
      <w:r>
        <w:rPr>
          <w:b/>
          <w:sz w:val="18"/>
          <w:szCs w:val="20"/>
        </w:rPr>
        <w:t>#57, 8</w:t>
      </w:r>
      <w:r>
        <w:rPr>
          <w:b/>
          <w:sz w:val="18"/>
          <w:szCs w:val="20"/>
          <w:vertAlign w:val="superscript"/>
        </w:rPr>
        <w:t>th</w:t>
      </w:r>
      <w:r>
        <w:rPr>
          <w:b/>
          <w:sz w:val="18"/>
          <w:szCs w:val="20"/>
        </w:rPr>
        <w:t xml:space="preserve"> cross, 1</w:t>
      </w:r>
      <w:r>
        <w:rPr>
          <w:b/>
          <w:sz w:val="18"/>
          <w:szCs w:val="20"/>
          <w:vertAlign w:val="superscript"/>
        </w:rPr>
        <w:t>st</w:t>
      </w:r>
      <w:r>
        <w:rPr>
          <w:b/>
          <w:sz w:val="18"/>
          <w:szCs w:val="20"/>
        </w:rPr>
        <w:t xml:space="preserve"> B cross, Daddanna industrial area main road, vishwaneedam post, Near Peenya 2</w:t>
      </w:r>
      <w:r>
        <w:rPr>
          <w:b/>
          <w:sz w:val="18"/>
          <w:szCs w:val="20"/>
          <w:vertAlign w:val="superscript"/>
        </w:rPr>
        <w:t>nd</w:t>
      </w:r>
      <w:r>
        <w:rPr>
          <w:b/>
          <w:sz w:val="18"/>
          <w:szCs w:val="20"/>
        </w:rPr>
        <w:t xml:space="preserve"> stage, Bangalore -560091</w:t>
      </w:r>
    </w:p>
    <w:p>
      <w:pPr>
        <w:pStyle w:val="7"/>
        <w:bidi w:val="0"/>
      </w:pPr>
      <w:r>
        <w:t xml:space="preserve">Ph: 080-28367059, 9886726920. e mail: </w:t>
      </w:r>
      <w:r>
        <w:fldChar w:fldCharType="begin"/>
      </w:r>
      <w:r>
        <w:instrText xml:space="preserve"> HYPERLINK "mailto:support@uniquevacuum.co.in" </w:instrText>
      </w:r>
      <w:r>
        <w:fldChar w:fldCharType="separate"/>
      </w:r>
      <w:r>
        <w:rPr>
          <w:rStyle w:val="5"/>
          <w:rFonts w:ascii="Calibri" w:hAnsi="Calibri"/>
        </w:rPr>
        <w:t>support@uniquevacuum.co.in</w:t>
      </w:r>
      <w:r>
        <w:rPr>
          <w:rStyle w:val="5"/>
          <w:rFonts w:ascii="Calibri" w:hAnsi="Calibri"/>
        </w:rPr>
        <w:fldChar w:fldCharType="end"/>
      </w:r>
      <w:r>
        <w:t>,</w:t>
      </w:r>
      <w:r>
        <w:rPr>
          <w:rFonts w:hint="default"/>
          <w:lang w:val="en-US"/>
        </w:rPr>
        <w:t xml:space="preserve"> </w:t>
      </w:r>
      <w:bookmarkStart w:id="0" w:name="_GoBack"/>
      <w:bookmarkEnd w:id="0"/>
      <w:r>
        <w:fldChar w:fldCharType="begin"/>
      </w:r>
      <w:r>
        <w:instrText xml:space="preserve"> HYPERLINK "http://www.uniquevacuum.co.in/" </w:instrText>
      </w:r>
      <w:r>
        <w:fldChar w:fldCharType="separate"/>
      </w:r>
      <w:r>
        <w:rPr>
          <w:rStyle w:val="5"/>
          <w:rFonts w:ascii="Calibri" w:hAnsi="Calibri"/>
          <w:b/>
          <w:bCs/>
          <w:i/>
          <w:iCs/>
          <w:color w:val="FF0000"/>
        </w:rPr>
        <w:t>www.uniquevacuum.co.in</w:t>
      </w:r>
      <w:r>
        <w:rPr>
          <w:rStyle w:val="5"/>
          <w:rFonts w:ascii="Calibri" w:hAnsi="Calibri"/>
          <w:b/>
          <w:bCs/>
          <w:i/>
          <w:iCs/>
          <w:color w:val="FF0000"/>
        </w:rPr>
        <w:fldChar w:fldCharType="end"/>
      </w:r>
    </w:p>
    <w:sectPr>
      <w:pgSz w:w="12240" w:h="15840"/>
      <w:pgMar w:top="270" w:right="1170" w:bottom="36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00000000" w:usb1="00000000" w:usb2="00000000" w:usb3="00000000" w:csb0="00000000" w:csb1="00000000"/>
  </w:font>
  <w:font w:name="Kartika">
    <w:altName w:val="苹方-简"/>
    <w:panose1 w:val="00000000000000000000"/>
    <w:charset w:val="00"/>
    <w:family w:val="roman"/>
    <w:pitch w:val="default"/>
    <w:sig w:usb0="00000000" w:usb1="00000000" w:usb2="00000000" w:usb3="00000000" w:csb0="00000001" w:csb1="00000000"/>
  </w:font>
  <w:font w:name="苹方-简">
    <w:panose1 w:val="020B0400000000000000"/>
    <w:charset w:val="86"/>
    <w:family w:val="auto"/>
    <w:pitch w:val="default"/>
    <w:sig w:usb0="00000000" w:usb1="00000000" w:usb2="00000000" w:usb3="00000000" w:csb0="00160000" w:csb1="00000000"/>
  </w:font>
  <w:font w:name="Cambria">
    <w:altName w:val="苹方-简"/>
    <w:panose1 w:val="02040503050406030204"/>
    <w:charset w:val="00"/>
    <w:family w:val="roman"/>
    <w:pitch w:val="default"/>
    <w:sig w:usb0="00000000" w:usb1="00000000" w:usb2="02000000" w:usb3="00000000" w:csb0="0000019F" w:csb1="00000000"/>
  </w:font>
  <w:font w:name="CRYQUM+HelveticaNeue-Condensed">
    <w:altName w:val="苹方-简"/>
    <w:panose1 w:val="00000000000000000000"/>
    <w:charset w:val="00"/>
    <w:family w:val="swiss"/>
    <w:pitch w:val="default"/>
    <w:sig w:usb0="00000000" w:usb1="00000000" w:usb2="00000000" w:usb3="00000000" w:csb0="00000001" w:csb1="00000000"/>
  </w:font>
  <w:font w:name="_R82-ArialNarrow">
    <w:altName w:val="Helvetica Neue"/>
    <w:panose1 w:val="00000000000000000000"/>
    <w:charset w:val="00"/>
    <w:family w:val="auto"/>
    <w:pitch w:val="default"/>
    <w:sig w:usb0="00000000" w:usb1="00000000" w:usb2="00000000" w:usb3="00000000" w:csb0="00000001" w:csb1="00000000"/>
  </w:font>
  <w:font w:name="Helvetica">
    <w:panose1 w:val="00000000000000000000"/>
    <w:charset w:val="00"/>
    <w:family w:val="swiss"/>
    <w:pitch w:val="default"/>
    <w:sig w:usb0="00000000" w:usb1="00000000" w:usb2="00000000" w:usb3="00000000" w:csb0="00000000" w:csb1="00000000"/>
  </w:font>
  <w:font w:name="HFWUMC+HelveticaNeue-Bold">
    <w:altName w:val="苹方-简"/>
    <w:panose1 w:val="00000000000000000000"/>
    <w:charset w:val="00"/>
    <w:family w:val="swiss"/>
    <w:pitch w:val="default"/>
    <w:sig w:usb0="00000000" w:usb1="00000000" w:usb2="00000000" w:usb3="00000000" w:csb0="00000001" w:csb1="00000000"/>
  </w:font>
  <w:font w:name="Rockwell">
    <w:panose1 w:val="02060503020205020403"/>
    <w:charset w:val="00"/>
    <w:family w:val="roman"/>
    <w:pitch w:val="default"/>
    <w:sig w:usb0="00000000" w:usb1="00000000" w:usb2="00000000" w:usb3="00000000" w:csb0="00000000" w:csb1="00000000"/>
  </w:font>
  <w:font w:name="_R1512-ArialNarrow">
    <w:altName w:val="Helvetica Neue"/>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6F5A"/>
    <w:rsid w:val="00027E9A"/>
    <w:rsid w:val="00030FD5"/>
    <w:rsid w:val="00076E5F"/>
    <w:rsid w:val="0009252B"/>
    <w:rsid w:val="00094C2B"/>
    <w:rsid w:val="000A44F2"/>
    <w:rsid w:val="000B2D41"/>
    <w:rsid w:val="000C66B5"/>
    <w:rsid w:val="000C7BD0"/>
    <w:rsid w:val="000D78C9"/>
    <w:rsid w:val="0011251C"/>
    <w:rsid w:val="00135FC8"/>
    <w:rsid w:val="0014471D"/>
    <w:rsid w:val="0016621B"/>
    <w:rsid w:val="0017717D"/>
    <w:rsid w:val="001A6F5A"/>
    <w:rsid w:val="001A712D"/>
    <w:rsid w:val="001D4254"/>
    <w:rsid w:val="001E6171"/>
    <w:rsid w:val="001F1230"/>
    <w:rsid w:val="00230F94"/>
    <w:rsid w:val="00250FDF"/>
    <w:rsid w:val="0026568E"/>
    <w:rsid w:val="00273CF4"/>
    <w:rsid w:val="002779CF"/>
    <w:rsid w:val="002B409F"/>
    <w:rsid w:val="002C4E59"/>
    <w:rsid w:val="002C76D6"/>
    <w:rsid w:val="002E3AB8"/>
    <w:rsid w:val="002E52CD"/>
    <w:rsid w:val="00316AEE"/>
    <w:rsid w:val="003276EB"/>
    <w:rsid w:val="003322E7"/>
    <w:rsid w:val="0034099A"/>
    <w:rsid w:val="0034442C"/>
    <w:rsid w:val="0035233B"/>
    <w:rsid w:val="0036183D"/>
    <w:rsid w:val="003622B9"/>
    <w:rsid w:val="0036463C"/>
    <w:rsid w:val="00377122"/>
    <w:rsid w:val="003D3C90"/>
    <w:rsid w:val="003F20CD"/>
    <w:rsid w:val="00422050"/>
    <w:rsid w:val="00465B51"/>
    <w:rsid w:val="0048343A"/>
    <w:rsid w:val="004B4DB3"/>
    <w:rsid w:val="004C6579"/>
    <w:rsid w:val="004F7D30"/>
    <w:rsid w:val="00504A65"/>
    <w:rsid w:val="00507DDB"/>
    <w:rsid w:val="00513853"/>
    <w:rsid w:val="005174B6"/>
    <w:rsid w:val="00570B9A"/>
    <w:rsid w:val="005F05FA"/>
    <w:rsid w:val="005F43C8"/>
    <w:rsid w:val="0063223E"/>
    <w:rsid w:val="006420C3"/>
    <w:rsid w:val="00642A6D"/>
    <w:rsid w:val="006643E3"/>
    <w:rsid w:val="0067223B"/>
    <w:rsid w:val="006A2365"/>
    <w:rsid w:val="006F5CB2"/>
    <w:rsid w:val="00754E15"/>
    <w:rsid w:val="00782B75"/>
    <w:rsid w:val="007930E7"/>
    <w:rsid w:val="00801D14"/>
    <w:rsid w:val="0081685F"/>
    <w:rsid w:val="00843BA5"/>
    <w:rsid w:val="008C2BA8"/>
    <w:rsid w:val="00916F04"/>
    <w:rsid w:val="00930B9C"/>
    <w:rsid w:val="0094306F"/>
    <w:rsid w:val="00955C43"/>
    <w:rsid w:val="00963E47"/>
    <w:rsid w:val="00973DC8"/>
    <w:rsid w:val="009E3C59"/>
    <w:rsid w:val="00A149EB"/>
    <w:rsid w:val="00A21D51"/>
    <w:rsid w:val="00AA5BAE"/>
    <w:rsid w:val="00AD6E64"/>
    <w:rsid w:val="00B331F2"/>
    <w:rsid w:val="00B36B0E"/>
    <w:rsid w:val="00B61093"/>
    <w:rsid w:val="00B65547"/>
    <w:rsid w:val="00B83A48"/>
    <w:rsid w:val="00B91869"/>
    <w:rsid w:val="00B94E76"/>
    <w:rsid w:val="00BC0AFB"/>
    <w:rsid w:val="00BD7775"/>
    <w:rsid w:val="00C11589"/>
    <w:rsid w:val="00C465C1"/>
    <w:rsid w:val="00C727E7"/>
    <w:rsid w:val="00C770CD"/>
    <w:rsid w:val="00C9386F"/>
    <w:rsid w:val="00CA0AE8"/>
    <w:rsid w:val="00CB578D"/>
    <w:rsid w:val="00CE50EB"/>
    <w:rsid w:val="00D12BC7"/>
    <w:rsid w:val="00D32EE8"/>
    <w:rsid w:val="00D87047"/>
    <w:rsid w:val="00D96774"/>
    <w:rsid w:val="00DB513F"/>
    <w:rsid w:val="00E2685A"/>
    <w:rsid w:val="00E37E52"/>
    <w:rsid w:val="00E80AB9"/>
    <w:rsid w:val="00E85AE2"/>
    <w:rsid w:val="00E95358"/>
    <w:rsid w:val="00F2513E"/>
    <w:rsid w:val="00F575C4"/>
    <w:rsid w:val="00F86950"/>
    <w:rsid w:val="00F947F7"/>
    <w:rsid w:val="00FE5C59"/>
    <w:rsid w:val="FFFD3C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9"/>
    <w:semiHidden/>
    <w:unhideWhenUsed/>
    <w:uiPriority w:val="99"/>
    <w:pPr>
      <w:spacing w:after="0" w:line="240" w:lineRule="auto"/>
    </w:pPr>
    <w:rPr>
      <w:rFonts w:ascii="Tahoma" w:hAnsi="Tahoma" w:cs="Tahoma"/>
      <w:sz w:val="16"/>
      <w:szCs w:val="16"/>
    </w:rPr>
  </w:style>
  <w:style w:type="character" w:styleId="5">
    <w:name w:val="Hyperlink"/>
    <w:basedOn w:val="2"/>
    <w:unhideWhenUsed/>
    <w:uiPriority w:val="99"/>
    <w:rPr>
      <w:color w:val="0000FF"/>
      <w:u w:val="single"/>
    </w:rPr>
  </w:style>
  <w:style w:type="table" w:styleId="6">
    <w:name w:val="Light Grid Accent 2"/>
    <w:basedOn w:val="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paragraph" w:styleId="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customStyle="1" w:styleId="8">
    <w:name w:val="Revision"/>
    <w:hidden/>
    <w:semiHidden/>
    <w:uiPriority w:val="99"/>
    <w:pPr>
      <w:spacing w:after="0" w:line="240" w:lineRule="auto"/>
    </w:pPr>
    <w:rPr>
      <w:rFonts w:asciiTheme="minorHAnsi" w:hAnsiTheme="minorHAnsi" w:eastAsiaTheme="minorHAnsi" w:cstheme="minorBidi"/>
      <w:sz w:val="22"/>
      <w:szCs w:val="22"/>
      <w:lang w:val="en-US" w:eastAsia="en-US" w:bidi="ar-SA"/>
    </w:rPr>
  </w:style>
  <w:style w:type="character" w:customStyle="1" w:styleId="9">
    <w:name w:val="Balloon Text Char"/>
    <w:basedOn w:val="2"/>
    <w:link w:val="4"/>
    <w:semiHidden/>
    <w:uiPriority w:val="99"/>
    <w:rPr>
      <w:rFonts w:ascii="Tahoma" w:hAnsi="Tahoma" w:cs="Tahoma"/>
      <w:sz w:val="16"/>
      <w:szCs w:val="16"/>
    </w:rPr>
  </w:style>
  <w:style w:type="character" w:customStyle="1" w:styleId="10">
    <w:name w:val="SC4002"/>
    <w:uiPriority w:val="99"/>
    <w:rPr>
      <w:rFonts w:cs="Times New Roman"/>
      <w:b/>
      <w:bCs/>
      <w:color w:val="000000"/>
      <w:sz w:val="48"/>
      <w:szCs w:val="48"/>
    </w:rPr>
  </w:style>
  <w:style w:type="paragraph" w:customStyle="1" w:styleId="11">
    <w:name w:val="SP122961"/>
    <w:basedOn w:val="1"/>
    <w:next w:val="1"/>
    <w:uiPriority w:val="99"/>
    <w:pPr>
      <w:autoSpaceDE w:val="0"/>
      <w:autoSpaceDN w:val="0"/>
      <w:adjustRightInd w:val="0"/>
      <w:spacing w:after="0" w:line="240" w:lineRule="auto"/>
    </w:pPr>
    <w:rPr>
      <w:rFonts w:ascii="Times New Roman" w:hAnsi="Times New Roman" w:eastAsia="Times New Roman" w:cs="Kartika"/>
      <w:sz w:val="24"/>
      <w:szCs w:val="24"/>
      <w:lang w:bidi="ml-IN"/>
    </w:rPr>
  </w:style>
  <w:style w:type="character" w:customStyle="1" w:styleId="12">
    <w:name w:val="SC4005"/>
    <w:uiPriority w:val="99"/>
    <w:rPr>
      <w:rFonts w:cs="Times New Roman"/>
      <w:color w:val="000000"/>
      <w:sz w:val="22"/>
      <w:szCs w:val="22"/>
    </w:rPr>
  </w:style>
  <w:style w:type="paragraph" w:customStyle="1" w:styleId="13">
    <w:name w:val="Defaul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ml-IN"/>
    </w:rPr>
  </w:style>
  <w:style w:type="character" w:customStyle="1" w:styleId="14">
    <w:name w:val="SC4046"/>
    <w:uiPriority w:val="99"/>
    <w:rPr>
      <w:rFonts w:cs="Times New Roman"/>
      <w:color w:val="000000"/>
    </w:rPr>
  </w:style>
  <w:style w:type="paragraph" w:styleId="15">
    <w:name w:val="List Paragraph"/>
    <w:basedOn w:val="1"/>
    <w:qFormat/>
    <w:uiPriority w:val="34"/>
    <w:pPr>
      <w:ind w:left="720"/>
      <w:contextualSpacing/>
    </w:pPr>
  </w:style>
  <w:style w:type="character" w:customStyle="1" w:styleId="16">
    <w:name w:val="A6"/>
    <w:uiPriority w:val="99"/>
    <w:rPr>
      <w:rFonts w:cs="CRYQUM+HelveticaNeue-Condensed"/>
      <w:color w:val="000000"/>
      <w:sz w:val="20"/>
      <w:szCs w:val="20"/>
    </w:rPr>
  </w:style>
  <w:style w:type="character" w:customStyle="1" w:styleId="17">
    <w:name w:val="A14"/>
    <w:uiPriority w:val="99"/>
    <w:rPr>
      <w:rFonts w:cs="CRYQUM+HelveticaNeue-Condensed"/>
      <w:color w:val="000000"/>
      <w:sz w:val="12"/>
      <w:szCs w:val="1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402</Words>
  <Characters>2293</Characters>
  <Lines>19</Lines>
  <Paragraphs>5</Paragraphs>
  <TotalTime>7</TotalTime>
  <ScaleCrop>false</ScaleCrop>
  <LinksUpToDate>false</LinksUpToDate>
  <CharactersWithSpaces>2690</CharactersWithSpaces>
  <Application>WPS Office_5.7.3.8096_F1E327BC-269C-435d-A152-05C5408002CA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2022-07-11T18:29:00Z</dcterms:created>
  <dc:creator>unique vacuum</dc:creator>
  <cp:lastModifiedBy>nagendra</cp:lastModifiedBy>
  <dcterms:modified xsi:type="dcterms:W3CDTF">2024-08-30T13:09:57Z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-1450648234</vt:i4>
  </property>
  <property fmtid="{D5CDD505-2E9C-101B-9397-08002B2CF9AE}" pid="3" name="KSOProductBuildVer">
    <vt:lpwstr>1033-5.7.3.8096</vt:lpwstr>
  </property>
</Properties>
</file>