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  <w:rPr>
          <w:b/>
          <w:i/>
          <w:sz w:val="52"/>
          <w:szCs w:val="52"/>
        </w:rPr>
      </w:pPr>
      <w:r>
        <w:drawing>
          <wp:inline distT="0" distB="0" distL="0" distR="0">
            <wp:extent cx="5843270" cy="330200"/>
            <wp:effectExtent l="0" t="0" r="508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/>
                    <a:srcRect l="428" r="448"/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8488472" cy="47965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</w:pPr>
      <w:r>
        <w:rPr>
          <w:b/>
          <w:bCs/>
          <w:i/>
          <w:iCs/>
          <w:sz w:val="36"/>
          <w:szCs w:val="36"/>
        </w:rPr>
        <w:t>FLEXA Digital Pirani Vacuum Gauge  FGE-2GH-SP</w:t>
      </w:r>
    </w:p>
    <w:p>
      <w:pPr>
        <w:pStyle w:val="7"/>
        <w:rPr>
          <w:rFonts w:hint="default"/>
          <w:lang w:val="en-US"/>
        </w:rPr>
      </w:pPr>
    </w:p>
    <w:p>
      <w:pPr>
        <w:pStyle w:val="7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1017905" cy="1046480"/>
            <wp:effectExtent l="0" t="0" r="23495" b="20320"/>
            <wp:docPr id="1" name="Picture 1" descr="17274143-e773-46b0-88c7-f8670d498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17274143-e773-46b0-88c7-f8670d498853"/>
                    <pic:cNvPicPr>
                      <a:picLocks noChangeAspect="1"/>
                    </pic:cNvPicPr>
                  </pic:nvPicPr>
                  <pic:blipFill>
                    <a:blip r:embed="rId7"/>
                    <a:srcRect t="22885"/>
                    <a:stretch>
                      <a:fillRect/>
                    </a:stretch>
                  </pic:blipFill>
                  <pic:spPr>
                    <a:xfrm>
                      <a:off x="0" y="0"/>
                      <a:ext cx="1017905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1"/>
        <w:jc w:val="both"/>
        <w:rPr>
          <w:rStyle w:val="12"/>
          <w:rFonts w:asciiTheme="minorHAnsi" w:hAnsiTheme="minorHAnsi"/>
          <w:b/>
          <w:bCs/>
        </w:rPr>
      </w:pPr>
      <w:r>
        <w:rPr>
          <w:rStyle w:val="12"/>
          <w:rFonts w:asciiTheme="minorHAnsi" w:hAnsiTheme="minorHAnsi"/>
          <w:b/>
          <w:bCs/>
        </w:rPr>
        <w:t>It is two channel readout vacuum gauge with relay set point controller output facility.</w:t>
      </w:r>
    </w:p>
    <w:p>
      <w:pPr>
        <w:pStyle w:val="11"/>
        <w:jc w:val="both"/>
        <w:rPr>
          <w:rStyle w:val="12"/>
          <w:rFonts w:asciiTheme="minorHAnsi" w:hAnsiTheme="minorHAnsi"/>
        </w:rPr>
      </w:pPr>
    </w:p>
    <w:p>
      <w:pPr>
        <w:pStyle w:val="11"/>
        <w:jc w:val="both"/>
        <w:rPr>
          <w:rStyle w:val="12"/>
          <w:rFonts w:asciiTheme="minorHAnsi" w:hAnsiTheme="minorHAnsi"/>
        </w:rPr>
      </w:pPr>
      <w:r>
        <w:rPr>
          <w:rStyle w:val="12"/>
          <w:rFonts w:asciiTheme="minorHAnsi" w:hAnsiTheme="minorHAnsi"/>
        </w:rPr>
        <w:t xml:space="preserve">The UVS </w:t>
      </w:r>
      <w:r>
        <w:rPr>
          <w:rStyle w:val="10"/>
          <w:rFonts w:asciiTheme="minorHAnsi" w:hAnsiTheme="minorHAnsi"/>
          <w:i/>
          <w:iCs/>
          <w:sz w:val="22"/>
          <w:szCs w:val="22"/>
        </w:rPr>
        <w:t>Model FLEXA series</w:t>
      </w:r>
      <w:r>
        <w:rPr>
          <w:rStyle w:val="12"/>
          <w:rFonts w:asciiTheme="minorHAnsi" w:hAnsiTheme="minorHAnsi"/>
        </w:rPr>
        <w:t xml:space="preserve"> Vacuum Pirani Gauge Controller displays vacuum pres</w:t>
      </w:r>
      <w:r>
        <w:rPr>
          <w:rStyle w:val="12"/>
          <w:rFonts w:asciiTheme="minorHAnsi" w:hAnsiTheme="minorHAnsi"/>
        </w:rPr>
        <w:softHyphen/>
      </w:r>
      <w:r>
        <w:rPr>
          <w:rStyle w:val="12"/>
          <w:rFonts w:asciiTheme="minorHAnsi" w:hAnsiTheme="minorHAnsi"/>
        </w:rPr>
        <w:t xml:space="preserve">sure as measured from a </w:t>
      </w:r>
      <w:r>
        <w:rPr>
          <w:rStyle w:val="12"/>
          <w:rFonts w:asciiTheme="minorHAnsi" w:hAnsiTheme="minorHAnsi"/>
          <w:b/>
          <w:bCs/>
        </w:rPr>
        <w:t>FG-04 sensor tube</w:t>
      </w:r>
      <w:r>
        <w:rPr>
          <w:rStyle w:val="12"/>
          <w:rFonts w:asciiTheme="minorHAnsi" w:hAnsiTheme="minorHAnsi"/>
        </w:rPr>
        <w:t xml:space="preserve">. The </w:t>
      </w:r>
      <w:r>
        <w:rPr>
          <w:rStyle w:val="10"/>
          <w:rFonts w:asciiTheme="minorHAnsi" w:hAnsiTheme="minorHAnsi"/>
          <w:i/>
          <w:iCs/>
          <w:sz w:val="22"/>
          <w:szCs w:val="22"/>
        </w:rPr>
        <w:t>Model FGE-2GH-SP</w:t>
      </w:r>
      <w:r>
        <w:rPr>
          <w:rStyle w:val="12"/>
          <w:rFonts w:asciiTheme="minorHAnsi" w:hAnsiTheme="minorHAnsi"/>
        </w:rPr>
        <w:t xml:space="preserve"> displays vacuum measurements from 0.001mBar to 20 mbar, and has a built in potential free contact set point relay output, one for each channel. </w:t>
      </w:r>
    </w:p>
    <w:p>
      <w:pPr>
        <w:pStyle w:val="7"/>
        <w:rPr>
          <w:b/>
          <w:bCs/>
          <w:i/>
          <w:iCs/>
          <w:lang w:bidi="ml-IN"/>
        </w:rPr>
      </w:pPr>
    </w:p>
    <w:p>
      <w:pPr>
        <w:pStyle w:val="7"/>
        <w:rPr>
          <w:b/>
          <w:bCs/>
          <w:i/>
          <w:iCs/>
          <w:sz w:val="21"/>
          <w:szCs w:val="21"/>
          <w:lang w:bidi="ml-IN"/>
        </w:rPr>
      </w:pPr>
      <w:r>
        <w:rPr>
          <w:b/>
          <w:bCs/>
          <w:i/>
          <w:iCs/>
          <w:sz w:val="21"/>
          <w:szCs w:val="21"/>
          <w:lang w:bidi="ml-IN"/>
        </w:rPr>
        <w:t xml:space="preserve">The Advantage Of This Vacuum Gauge FLEXA Series Is The Sensor Tube Has The Built In Zero And Atm Adjustments, So That The Sensor Tube Can Be Used As A Transducer, And Each Sensor Is Factory Calibrated At Sensor Level. </w:t>
      </w:r>
    </w:p>
    <w:p>
      <w:pPr>
        <w:pStyle w:val="7"/>
        <w:rPr>
          <w:b/>
          <w:bCs/>
          <w:i/>
          <w:iCs/>
          <w:sz w:val="21"/>
          <w:szCs w:val="21"/>
          <w:lang w:bidi="ml-IN"/>
        </w:rPr>
      </w:pPr>
      <w:r>
        <w:rPr>
          <w:b/>
          <w:bCs/>
          <w:i/>
          <w:iCs/>
          <w:sz w:val="21"/>
          <w:szCs w:val="21"/>
          <w:lang w:bidi="ml-IN"/>
        </w:rPr>
        <w:t>With This 1:1 Replacement Of Sensor With The Display Unit Is Established, And There Is No Dependency On Vacuum Gauge Level Adjustment In Case Of Sensor Replacement.</w:t>
      </w:r>
    </w:p>
    <w:p>
      <w:pPr>
        <w:pStyle w:val="7"/>
        <w:rPr>
          <w:b/>
          <w:bCs/>
          <w:i/>
          <w:iCs/>
          <w:sz w:val="21"/>
          <w:szCs w:val="21"/>
          <w:lang w:bidi="ml-IN"/>
        </w:rPr>
      </w:pPr>
    </w:p>
    <w:tbl>
      <w:tblPr>
        <w:tblStyle w:val="6"/>
        <w:tblW w:w="10157" w:type="dxa"/>
        <w:tblInd w:w="0" w:type="dxa"/>
        <w:tbl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single" w:color="C0504D" w:themeColor="accent2" w:sz="8" w:space="0"/>
          <w:insideV w:val="single" w:color="C0504D" w:themeColor="accent2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0"/>
        <w:gridCol w:w="6947"/>
      </w:tblGrid>
      <w:tr>
        <w:trPr>
          <w:trHeight w:val="270" w:hRule="atLeast"/>
        </w:trPr>
        <w:tc>
          <w:tcPr>
            <w:tcW w:w="3210" w:type="dxa"/>
            <w:tcBorders>
              <w:top w:val="single" w:color="C0504D" w:themeColor="accent2" w:sz="8" w:space="0"/>
              <w:left w:val="single" w:color="C0504D" w:themeColor="accent2" w:sz="8" w:space="0"/>
              <w:bottom w:val="single" w:color="C0504D" w:themeColor="accent2" w:sz="18" w:space="0"/>
              <w:right w:val="single" w:color="C0504D" w:themeColor="accent2" w:sz="8" w:space="0"/>
              <w:insideH w:val="single" w:sz="18" w:space="0"/>
              <w:insideV w:val="single" w:sz="8" w:space="0"/>
            </w:tcBorders>
          </w:tcPr>
          <w:p>
            <w:pPr>
              <w:pStyle w:val="13"/>
              <w:spacing w:before="0"/>
              <w:ind w:firstLine="550" w:firstLineChars="250"/>
              <w:rPr>
                <w:rFonts w:ascii="Calibri" w:hAnsi="Calibri"/>
                <w:b/>
                <w:bCs/>
                <w:i/>
                <w:sz w:val="22"/>
                <w:szCs w:val="22"/>
              </w:rPr>
            </w:pPr>
            <w:bookmarkStart w:id="0" w:name="_GoBack"/>
            <w:bookmarkEnd w:id="0"/>
            <w:r>
              <w:rPr>
                <w:rFonts w:hint="default" w:ascii="Calibri" w:hAnsi="Calibri"/>
                <w:b/>
                <w:bCs/>
                <w:i/>
                <w:sz w:val="22"/>
                <w:szCs w:val="22"/>
                <w:lang w:val="en-US"/>
              </w:rPr>
              <w:t>S</w:t>
            </w:r>
            <w:r>
              <w:rPr>
                <w:rFonts w:ascii="Calibri" w:hAnsi="Calibri"/>
                <w:b/>
                <w:bCs/>
                <w:i/>
                <w:sz w:val="22"/>
                <w:szCs w:val="22"/>
              </w:rPr>
              <w:t>ensor channels</w:t>
            </w:r>
          </w:p>
        </w:tc>
        <w:tc>
          <w:tcPr>
            <w:tcW w:w="6947" w:type="dxa"/>
            <w:tcBorders>
              <w:top w:val="single" w:color="C0504D" w:themeColor="accent2" w:sz="8" w:space="0"/>
              <w:bottom w:val="single" w:color="C0504D" w:themeColor="accent2" w:sz="18" w:space="0"/>
              <w:right w:val="single" w:color="C0504D" w:themeColor="accent2" w:sz="8" w:space="0"/>
              <w:insideH w:val="single" w:sz="18" w:space="0"/>
              <w:insideV w:val="single" w:sz="8" w:space="0"/>
            </w:tcBorders>
          </w:tcPr>
          <w:p>
            <w:pPr>
              <w:pStyle w:val="13"/>
              <w:spacing w:before="0"/>
              <w:jc w:val="center"/>
              <w:rPr>
                <w:rFonts w:ascii="Calibri" w:hAnsi="Calibri"/>
                <w:b/>
                <w:bCs/>
                <w:i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i/>
                <w:sz w:val="22"/>
                <w:szCs w:val="22"/>
              </w:rPr>
              <w:t>TWO</w:t>
            </w:r>
          </w:p>
        </w:tc>
      </w:tr>
      <w:tr>
        <w:trPr>
          <w:trHeight w:val="270" w:hRule="atLeast"/>
        </w:trPr>
        <w:tc>
          <w:tcPr>
            <w:tcW w:w="3210" w:type="dxa"/>
            <w:tcBorders>
              <w:top w:val="single" w:color="C0504D" w:themeColor="accent2" w:sz="8" w:space="0"/>
              <w:left w:val="single" w:color="C0504D" w:themeColor="accent2" w:sz="8" w:space="0"/>
              <w:bottom w:val="single" w:color="C0504D" w:themeColor="accent2" w:sz="8" w:space="0"/>
              <w:right w:val="single" w:color="C0504D" w:themeColor="accent2" w:sz="8" w:space="0"/>
              <w:insideH w:val="single" w:sz="8" w:space="0"/>
              <w:insideV w:val="single" w:sz="8" w:space="0"/>
            </w:tcBorders>
            <w:shd w:val="clear" w:color="auto" w:fill="EFD3D3" w:themeFill="accent2" w:themeFillTint="3F"/>
          </w:tcPr>
          <w:p>
            <w:pPr>
              <w:pStyle w:val="7"/>
              <w:jc w:val="center"/>
              <w:rPr>
                <w:rFonts w:hint="default" w:asciiTheme="minorAscii" w:hAnsiTheme="minorAscii" w:eastAsiaTheme="majorEastAsia" w:cstheme="minorHAnsi"/>
                <w:b/>
                <w:bCs/>
                <w:sz w:val="20"/>
                <w:szCs w:val="20"/>
              </w:rPr>
            </w:pPr>
            <w:r>
              <w:rPr>
                <w:rStyle w:val="14"/>
                <w:rFonts w:hint="default" w:asciiTheme="minorAscii" w:hAnsiTheme="minorAscii" w:eastAsiaTheme="majorEastAsia" w:cstheme="minorHAnsi"/>
                <w:b/>
                <w:bCs/>
                <w:sz w:val="20"/>
                <w:szCs w:val="20"/>
              </w:rPr>
              <w:t>Display Range</w:t>
            </w:r>
          </w:p>
        </w:tc>
        <w:tc>
          <w:tcPr>
            <w:tcW w:w="6947" w:type="dxa"/>
            <w:tcBorders>
              <w:top w:val="single" w:color="C0504D" w:themeColor="accent2" w:sz="8" w:space="0"/>
              <w:bottom w:val="single" w:color="C0504D" w:themeColor="accent2" w:sz="8" w:space="0"/>
              <w:right w:val="single" w:color="C0504D" w:themeColor="accent2" w:sz="8" w:space="0"/>
              <w:insideH w:val="single" w:sz="8" w:space="0"/>
              <w:insideV w:val="single" w:sz="8" w:space="0"/>
            </w:tcBorders>
            <w:shd w:val="clear" w:color="auto" w:fill="EFD3D3" w:themeFill="accent2" w:themeFillTint="3F"/>
          </w:tcPr>
          <w:p>
            <w:pPr>
              <w:pStyle w:val="7"/>
              <w:jc w:val="center"/>
              <w:rPr>
                <w:rStyle w:val="14"/>
                <w:rFonts w:hint="default" w:asciiTheme="minorAscii" w:hAnsiTheme="minorAscii" w:cstheme="minorHAnsi"/>
                <w:sz w:val="20"/>
                <w:szCs w:val="20"/>
              </w:rPr>
            </w:pPr>
            <w:r>
              <w:rPr>
                <w:rStyle w:val="14"/>
                <w:rFonts w:hint="default" w:asciiTheme="minorAscii" w:hAnsiTheme="minorAscii" w:cstheme="minorHAnsi"/>
                <w:sz w:val="20"/>
                <w:szCs w:val="20"/>
              </w:rPr>
              <w:t>1000 mBar to 0.001mBar.</w:t>
            </w:r>
          </w:p>
        </w:tc>
      </w:tr>
      <w:tr>
        <w:trPr>
          <w:trHeight w:val="263" w:hRule="atLeast"/>
        </w:trPr>
        <w:tc>
          <w:tcPr>
            <w:tcW w:w="3210" w:type="dxa"/>
            <w:tcBorders>
              <w:top w:val="single" w:color="C0504D" w:themeColor="accent2" w:sz="8" w:space="0"/>
              <w:left w:val="single" w:color="C0504D" w:themeColor="accent2" w:sz="8" w:space="0"/>
              <w:bottom w:val="single" w:color="C0504D" w:themeColor="accent2" w:sz="8" w:space="0"/>
              <w:right w:val="single" w:color="C0504D" w:themeColor="accent2" w:sz="8" w:space="0"/>
              <w:insideH w:val="single" w:sz="8" w:space="0"/>
              <w:insideV w:val="single" w:sz="8" w:space="0"/>
            </w:tcBorders>
          </w:tcPr>
          <w:p>
            <w:pPr>
              <w:pStyle w:val="7"/>
              <w:jc w:val="center"/>
              <w:rPr>
                <w:rFonts w:hint="default" w:asciiTheme="minorAscii" w:hAnsiTheme="minorAscii" w:eastAsiaTheme="majorEastAsia" w:cstheme="minorHAnsi"/>
                <w:b/>
                <w:bCs/>
                <w:sz w:val="20"/>
                <w:szCs w:val="20"/>
              </w:rPr>
            </w:pPr>
            <w:r>
              <w:rPr>
                <w:rStyle w:val="14"/>
                <w:rFonts w:hint="default" w:asciiTheme="minorAscii" w:hAnsiTheme="minorAscii" w:eastAsiaTheme="majorEastAsia" w:cstheme="minorHAnsi"/>
                <w:b/>
                <w:bCs/>
                <w:sz w:val="20"/>
                <w:szCs w:val="20"/>
              </w:rPr>
              <w:t>Measuring Range</w:t>
            </w:r>
          </w:p>
        </w:tc>
        <w:tc>
          <w:tcPr>
            <w:tcW w:w="6947" w:type="dxa"/>
            <w:tcBorders>
              <w:top w:val="single" w:color="C0504D" w:themeColor="accent2" w:sz="8" w:space="0"/>
              <w:bottom w:val="single" w:color="C0504D" w:themeColor="accent2" w:sz="8" w:space="0"/>
              <w:right w:val="single" w:color="C0504D" w:themeColor="accent2" w:sz="8" w:space="0"/>
              <w:insideH w:val="single" w:sz="8" w:space="0"/>
              <w:insideV w:val="single" w:sz="8" w:space="0"/>
            </w:tcBorders>
          </w:tcPr>
          <w:p>
            <w:pPr>
              <w:pStyle w:val="7"/>
              <w:jc w:val="center"/>
              <w:rPr>
                <w:rStyle w:val="14"/>
                <w:rFonts w:hint="default" w:asciiTheme="minorAscii" w:hAnsiTheme="minorAscii" w:cstheme="minorHAnsi"/>
                <w:sz w:val="20"/>
                <w:szCs w:val="20"/>
              </w:rPr>
            </w:pPr>
            <w:r>
              <w:rPr>
                <w:rStyle w:val="14"/>
                <w:rFonts w:hint="default" w:asciiTheme="minorAscii" w:hAnsiTheme="minorAscii" w:cstheme="minorHAnsi"/>
                <w:sz w:val="20"/>
                <w:szCs w:val="20"/>
              </w:rPr>
              <w:t>20 mBar to 0.001mBar.</w:t>
            </w:r>
          </w:p>
        </w:tc>
      </w:tr>
      <w:tr>
        <w:trPr>
          <w:trHeight w:val="270" w:hRule="atLeast"/>
        </w:trPr>
        <w:tc>
          <w:tcPr>
            <w:tcW w:w="3210" w:type="dxa"/>
            <w:tcBorders>
              <w:top w:val="single" w:color="C0504D" w:themeColor="accent2" w:sz="8" w:space="0"/>
              <w:left w:val="single" w:color="C0504D" w:themeColor="accent2" w:sz="8" w:space="0"/>
              <w:bottom w:val="single" w:color="C0504D" w:themeColor="accent2" w:sz="8" w:space="0"/>
              <w:right w:val="single" w:color="C0504D" w:themeColor="accent2" w:sz="8" w:space="0"/>
              <w:insideH w:val="single" w:sz="8" w:space="0"/>
              <w:insideV w:val="single" w:sz="8" w:space="0"/>
            </w:tcBorders>
            <w:shd w:val="clear" w:color="auto" w:fill="EFD3D3" w:themeFill="accent2" w:themeFillTint="3F"/>
          </w:tcPr>
          <w:p>
            <w:pPr>
              <w:pStyle w:val="7"/>
              <w:jc w:val="center"/>
              <w:rPr>
                <w:rFonts w:hint="default" w:asciiTheme="minorAscii" w:hAnsiTheme="minorAscii" w:eastAsiaTheme="majorEastAsia" w:cstheme="minorHAnsi"/>
                <w:b/>
                <w:bCs/>
                <w:sz w:val="20"/>
                <w:szCs w:val="20"/>
              </w:rPr>
            </w:pPr>
            <w:r>
              <w:rPr>
                <w:rStyle w:val="14"/>
                <w:rFonts w:hint="default" w:asciiTheme="minorAscii" w:hAnsiTheme="minorAscii" w:eastAsiaTheme="majorEastAsia"/>
                <w:b/>
                <w:bCs/>
                <w:sz w:val="20"/>
                <w:szCs w:val="20"/>
              </w:rPr>
              <w:t>Measuring unit</w:t>
            </w:r>
          </w:p>
        </w:tc>
        <w:tc>
          <w:tcPr>
            <w:tcW w:w="6947" w:type="dxa"/>
            <w:tcBorders>
              <w:top w:val="single" w:color="C0504D" w:themeColor="accent2" w:sz="8" w:space="0"/>
              <w:bottom w:val="single" w:color="C0504D" w:themeColor="accent2" w:sz="8" w:space="0"/>
              <w:right w:val="single" w:color="C0504D" w:themeColor="accent2" w:sz="8" w:space="0"/>
              <w:insideH w:val="single" w:sz="8" w:space="0"/>
              <w:insideV w:val="single" w:sz="8" w:space="0"/>
            </w:tcBorders>
            <w:shd w:val="clear" w:color="auto" w:fill="EFD3D3" w:themeFill="accent2" w:themeFillTint="3F"/>
          </w:tcPr>
          <w:p>
            <w:pPr>
              <w:pStyle w:val="7"/>
              <w:jc w:val="center"/>
              <w:rPr>
                <w:rStyle w:val="14"/>
                <w:rFonts w:hint="default" w:asciiTheme="minorAscii" w:hAnsiTheme="minorAscii" w:cstheme="minorHAnsi"/>
                <w:sz w:val="20"/>
                <w:szCs w:val="20"/>
              </w:rPr>
            </w:pPr>
            <w:r>
              <w:rPr>
                <w:rStyle w:val="14"/>
                <w:rFonts w:hint="default" w:asciiTheme="minorAscii" w:hAnsiTheme="minorAscii" w:cstheme="minorHAnsi"/>
                <w:sz w:val="20"/>
                <w:szCs w:val="20"/>
              </w:rPr>
              <w:t>m.Bar</w:t>
            </w:r>
          </w:p>
        </w:tc>
      </w:tr>
      <w:tr>
        <w:trPr>
          <w:trHeight w:val="263" w:hRule="atLeast"/>
        </w:trPr>
        <w:tc>
          <w:tcPr>
            <w:tcW w:w="3210" w:type="dxa"/>
            <w:tcBorders>
              <w:top w:val="single" w:color="C0504D" w:themeColor="accent2" w:sz="8" w:space="0"/>
              <w:left w:val="single" w:color="C0504D" w:themeColor="accent2" w:sz="8" w:space="0"/>
              <w:bottom w:val="single" w:color="C0504D" w:themeColor="accent2" w:sz="8" w:space="0"/>
              <w:right w:val="single" w:color="C0504D" w:themeColor="accent2" w:sz="8" w:space="0"/>
              <w:insideH w:val="single" w:sz="8" w:space="0"/>
              <w:insideV w:val="single" w:sz="8" w:space="0"/>
            </w:tcBorders>
          </w:tcPr>
          <w:p>
            <w:pPr>
              <w:pStyle w:val="7"/>
              <w:jc w:val="center"/>
              <w:rPr>
                <w:rFonts w:hint="default" w:asciiTheme="minorAscii" w:hAnsiTheme="minorAscii" w:eastAsiaTheme="majorEastAsia" w:cstheme="minorHAnsi"/>
                <w:b/>
                <w:bCs/>
                <w:sz w:val="20"/>
                <w:szCs w:val="20"/>
              </w:rPr>
            </w:pPr>
            <w:r>
              <w:rPr>
                <w:rStyle w:val="14"/>
                <w:rFonts w:hint="default" w:asciiTheme="minorAscii" w:hAnsiTheme="minorAscii" w:eastAsiaTheme="majorEastAsia" w:cstheme="minorHAnsi"/>
                <w:b/>
                <w:bCs/>
                <w:sz w:val="20"/>
                <w:szCs w:val="20"/>
              </w:rPr>
              <w:t>Vacuum Gauge Head</w:t>
            </w:r>
          </w:p>
        </w:tc>
        <w:tc>
          <w:tcPr>
            <w:tcW w:w="6947" w:type="dxa"/>
            <w:tcBorders>
              <w:top w:val="single" w:color="C0504D" w:themeColor="accent2" w:sz="8" w:space="0"/>
              <w:bottom w:val="single" w:color="C0504D" w:themeColor="accent2" w:sz="8" w:space="0"/>
              <w:right w:val="single" w:color="C0504D" w:themeColor="accent2" w:sz="8" w:space="0"/>
              <w:insideH w:val="single" w:sz="8" w:space="0"/>
              <w:insideV w:val="single" w:sz="8" w:space="0"/>
            </w:tcBorders>
          </w:tcPr>
          <w:p>
            <w:pPr>
              <w:pStyle w:val="7"/>
              <w:jc w:val="center"/>
              <w:rPr>
                <w:rStyle w:val="14"/>
                <w:rFonts w:hint="default" w:asciiTheme="minorAscii" w:hAnsiTheme="minorAscii" w:cstheme="minorHAnsi"/>
                <w:sz w:val="20"/>
                <w:szCs w:val="20"/>
              </w:rPr>
            </w:pPr>
            <w:r>
              <w:rPr>
                <w:rStyle w:val="12"/>
                <w:rFonts w:hint="default" w:asciiTheme="minorAscii" w:hAnsiTheme="minorAscii" w:cstheme="minorHAnsi"/>
                <w:b/>
                <w:bCs/>
                <w:sz w:val="20"/>
                <w:szCs w:val="20"/>
              </w:rPr>
              <w:t>FG-04 sensor tube</w:t>
            </w:r>
          </w:p>
        </w:tc>
      </w:tr>
      <w:tr>
        <w:trPr>
          <w:trHeight w:val="270" w:hRule="atLeast"/>
        </w:trPr>
        <w:tc>
          <w:tcPr>
            <w:tcW w:w="3210" w:type="dxa"/>
            <w:tcBorders>
              <w:top w:val="single" w:color="C0504D" w:themeColor="accent2" w:sz="8" w:space="0"/>
              <w:left w:val="single" w:color="C0504D" w:themeColor="accent2" w:sz="8" w:space="0"/>
              <w:bottom w:val="single" w:color="C0504D" w:themeColor="accent2" w:sz="8" w:space="0"/>
              <w:right w:val="single" w:color="C0504D" w:themeColor="accent2" w:sz="8" w:space="0"/>
              <w:insideH w:val="single" w:sz="8" w:space="0"/>
              <w:insideV w:val="single" w:sz="8" w:space="0"/>
            </w:tcBorders>
            <w:shd w:val="clear" w:color="auto" w:fill="EFD3D3" w:themeFill="accent2" w:themeFillTint="3F"/>
          </w:tcPr>
          <w:p>
            <w:pPr>
              <w:pStyle w:val="7"/>
              <w:jc w:val="center"/>
              <w:rPr>
                <w:rFonts w:hint="default" w:asciiTheme="minorAscii" w:hAnsiTheme="minorAscii" w:eastAsiaTheme="majorEastAsia" w:cstheme="minorHAnsi"/>
                <w:b/>
                <w:bCs/>
                <w:sz w:val="20"/>
                <w:szCs w:val="20"/>
              </w:rPr>
            </w:pPr>
            <w:r>
              <w:rPr>
                <w:rStyle w:val="14"/>
                <w:rFonts w:hint="default" w:asciiTheme="minorAscii" w:hAnsiTheme="minorAscii" w:eastAsiaTheme="majorEastAsia" w:cstheme="minorHAnsi"/>
                <w:b/>
                <w:bCs/>
                <w:sz w:val="20"/>
                <w:szCs w:val="20"/>
              </w:rPr>
              <w:t>Temp</w:t>
            </w:r>
            <w:r>
              <w:rPr>
                <w:rStyle w:val="14"/>
                <w:rFonts w:hint="default" w:asciiTheme="minorAscii" w:hAnsiTheme="minorAscii" w:eastAsiaTheme="majorEastAsia" w:cstheme="minorHAnsi"/>
                <w:b/>
                <w:bCs w:val="0"/>
                <w:sz w:val="20"/>
                <w:szCs w:val="20"/>
              </w:rPr>
              <w:t>.</w:t>
            </w:r>
            <w:r>
              <w:rPr>
                <w:rStyle w:val="14"/>
                <w:rFonts w:hint="default" w:asciiTheme="minorAscii" w:hAnsiTheme="minorAscii" w:eastAsiaTheme="majorEastAsia" w:cstheme="minorHAnsi"/>
                <w:b/>
                <w:bCs/>
                <w:sz w:val="20"/>
                <w:szCs w:val="20"/>
              </w:rPr>
              <w:t xml:space="preserve"> Range</w:t>
            </w:r>
          </w:p>
        </w:tc>
        <w:tc>
          <w:tcPr>
            <w:tcW w:w="6947" w:type="dxa"/>
            <w:tcBorders>
              <w:top w:val="single" w:color="C0504D" w:themeColor="accent2" w:sz="8" w:space="0"/>
              <w:bottom w:val="single" w:color="C0504D" w:themeColor="accent2" w:sz="8" w:space="0"/>
              <w:right w:val="single" w:color="C0504D" w:themeColor="accent2" w:sz="8" w:space="0"/>
              <w:insideH w:val="single" w:sz="8" w:space="0"/>
              <w:insideV w:val="single" w:sz="8" w:space="0"/>
            </w:tcBorders>
            <w:shd w:val="clear" w:color="auto" w:fill="EFD3D3" w:themeFill="accent2" w:themeFillTint="3F"/>
          </w:tcPr>
          <w:p>
            <w:pPr>
              <w:pStyle w:val="7"/>
              <w:jc w:val="center"/>
              <w:rPr>
                <w:rStyle w:val="14"/>
                <w:rFonts w:hint="default" w:asciiTheme="minorAscii" w:hAnsiTheme="minorAscii" w:cstheme="minorHAnsi"/>
                <w:sz w:val="20"/>
                <w:szCs w:val="20"/>
              </w:rPr>
            </w:pPr>
            <w:r>
              <w:rPr>
                <w:rStyle w:val="12"/>
                <w:rFonts w:hint="default" w:asciiTheme="minorAscii" w:hAnsiTheme="minorAscii" w:cstheme="minorHAnsi"/>
                <w:sz w:val="20"/>
                <w:szCs w:val="20"/>
              </w:rPr>
              <w:t>+2 to +50 deg. Celsius</w:t>
            </w:r>
          </w:p>
        </w:tc>
      </w:tr>
      <w:tr>
        <w:trPr>
          <w:trHeight w:val="263" w:hRule="atLeast"/>
        </w:trPr>
        <w:tc>
          <w:tcPr>
            <w:tcW w:w="3210" w:type="dxa"/>
            <w:tcBorders>
              <w:top w:val="single" w:color="C0504D" w:themeColor="accent2" w:sz="8" w:space="0"/>
              <w:left w:val="single" w:color="C0504D" w:themeColor="accent2" w:sz="8" w:space="0"/>
              <w:bottom w:val="single" w:color="C0504D" w:themeColor="accent2" w:sz="8" w:space="0"/>
              <w:right w:val="single" w:color="C0504D" w:themeColor="accent2" w:sz="8" w:space="0"/>
              <w:insideH w:val="single" w:sz="8" w:space="0"/>
              <w:insideV w:val="single" w:sz="8" w:space="0"/>
            </w:tcBorders>
          </w:tcPr>
          <w:p>
            <w:pPr>
              <w:pStyle w:val="7"/>
              <w:jc w:val="center"/>
              <w:rPr>
                <w:rFonts w:hint="default" w:asciiTheme="minorAscii" w:hAnsiTheme="minorAscii" w:eastAsiaTheme="majorEastAsia" w:cstheme="minorHAnsi"/>
                <w:b/>
                <w:bCs/>
                <w:sz w:val="20"/>
                <w:szCs w:val="20"/>
              </w:rPr>
            </w:pPr>
            <w:r>
              <w:rPr>
                <w:rStyle w:val="14"/>
                <w:rFonts w:hint="default" w:asciiTheme="minorAscii" w:hAnsiTheme="minorAscii" w:eastAsiaTheme="majorEastAsia" w:cstheme="minorHAnsi"/>
                <w:b/>
                <w:bCs w:val="0"/>
                <w:sz w:val="20"/>
                <w:szCs w:val="20"/>
              </w:rPr>
              <w:t xml:space="preserve">VAC. </w:t>
            </w:r>
            <w:r>
              <w:rPr>
                <w:rStyle w:val="14"/>
                <w:rFonts w:hint="default" w:asciiTheme="minorAscii" w:hAnsiTheme="minorAscii" w:eastAsiaTheme="majorEastAsia" w:cstheme="minorHAnsi"/>
                <w:b/>
                <w:bCs/>
                <w:sz w:val="20"/>
                <w:szCs w:val="20"/>
              </w:rPr>
              <w:t>Display</w:t>
            </w:r>
          </w:p>
        </w:tc>
        <w:tc>
          <w:tcPr>
            <w:tcW w:w="6947" w:type="dxa"/>
            <w:tcBorders>
              <w:top w:val="single" w:color="C0504D" w:themeColor="accent2" w:sz="8" w:space="0"/>
              <w:bottom w:val="single" w:color="C0504D" w:themeColor="accent2" w:sz="8" w:space="0"/>
              <w:right w:val="single" w:color="C0504D" w:themeColor="accent2" w:sz="8" w:space="0"/>
              <w:insideH w:val="single" w:sz="8" w:space="0"/>
              <w:insideV w:val="single" w:sz="8" w:space="0"/>
            </w:tcBorders>
          </w:tcPr>
          <w:p>
            <w:pPr>
              <w:pStyle w:val="7"/>
              <w:jc w:val="center"/>
              <w:rPr>
                <w:rStyle w:val="14"/>
                <w:rFonts w:hint="default" w:asciiTheme="minorAscii" w:hAnsiTheme="minorAscii" w:cstheme="minorHAnsi"/>
                <w:sz w:val="20"/>
                <w:szCs w:val="20"/>
              </w:rPr>
            </w:pPr>
            <w:r>
              <w:rPr>
                <w:rStyle w:val="12"/>
                <w:rFonts w:hint="default" w:asciiTheme="minorAscii" w:hAnsiTheme="minorAscii" w:cstheme="minorHAnsi"/>
                <w:sz w:val="20"/>
                <w:szCs w:val="20"/>
              </w:rPr>
              <w:t>4-digit bright red LED, 14 mm high</w:t>
            </w:r>
          </w:p>
        </w:tc>
      </w:tr>
      <w:tr>
        <w:trPr>
          <w:trHeight w:val="270" w:hRule="atLeast"/>
        </w:trPr>
        <w:tc>
          <w:tcPr>
            <w:tcW w:w="3210" w:type="dxa"/>
            <w:tcBorders>
              <w:top w:val="single" w:color="C0504D" w:themeColor="accent2" w:sz="8" w:space="0"/>
              <w:left w:val="single" w:color="C0504D" w:themeColor="accent2" w:sz="8" w:space="0"/>
              <w:bottom w:val="single" w:color="C0504D" w:themeColor="accent2" w:sz="8" w:space="0"/>
              <w:right w:val="single" w:color="C0504D" w:themeColor="accent2" w:sz="8" w:space="0"/>
              <w:insideH w:val="single" w:sz="8" w:space="0"/>
              <w:insideV w:val="single" w:sz="8" w:space="0"/>
            </w:tcBorders>
            <w:shd w:val="clear" w:color="auto" w:fill="EFD3D3" w:themeFill="accent2" w:themeFillTint="3F"/>
          </w:tcPr>
          <w:p>
            <w:pPr>
              <w:pStyle w:val="7"/>
              <w:jc w:val="center"/>
              <w:rPr>
                <w:rStyle w:val="14"/>
                <w:rFonts w:hint="default" w:asciiTheme="minorAscii" w:hAnsiTheme="minorAscii" w:eastAsiaTheme="majorEastAsia" w:cstheme="minorHAnsi"/>
                <w:b/>
                <w:bCs w:val="0"/>
                <w:sz w:val="20"/>
                <w:szCs w:val="20"/>
              </w:rPr>
            </w:pPr>
            <w:r>
              <w:rPr>
                <w:rStyle w:val="14"/>
                <w:rFonts w:hint="default" w:asciiTheme="minorAscii" w:hAnsiTheme="minorAscii" w:eastAsiaTheme="majorEastAsia" w:cstheme="minorHAnsi"/>
                <w:b/>
                <w:bCs/>
                <w:sz w:val="20"/>
                <w:szCs w:val="20"/>
              </w:rPr>
              <w:t>VAC and ATM Adjust</w:t>
            </w:r>
          </w:p>
        </w:tc>
        <w:tc>
          <w:tcPr>
            <w:tcW w:w="6947" w:type="dxa"/>
            <w:tcBorders>
              <w:top w:val="single" w:color="C0504D" w:themeColor="accent2" w:sz="8" w:space="0"/>
              <w:bottom w:val="single" w:color="C0504D" w:themeColor="accent2" w:sz="8" w:space="0"/>
              <w:right w:val="single" w:color="C0504D" w:themeColor="accent2" w:sz="8" w:space="0"/>
              <w:insideH w:val="single" w:sz="8" w:space="0"/>
              <w:insideV w:val="single" w:sz="8" w:space="0"/>
            </w:tcBorders>
            <w:shd w:val="clear" w:color="auto" w:fill="EFD3D3" w:themeFill="accent2" w:themeFillTint="3F"/>
          </w:tcPr>
          <w:p>
            <w:pPr>
              <w:pStyle w:val="7"/>
              <w:jc w:val="center"/>
              <w:rPr>
                <w:rStyle w:val="14"/>
                <w:rFonts w:hint="default" w:asciiTheme="minorAscii" w:hAnsiTheme="minorAscii" w:cstheme="minorHAnsi"/>
                <w:sz w:val="20"/>
                <w:szCs w:val="20"/>
              </w:rPr>
            </w:pPr>
            <w:r>
              <w:rPr>
                <w:rStyle w:val="12"/>
                <w:rFonts w:hint="default" w:asciiTheme="minorAscii" w:hAnsiTheme="minorAscii" w:cstheme="minorHAnsi"/>
                <w:sz w:val="20"/>
                <w:szCs w:val="20"/>
              </w:rPr>
              <w:t>adjusted by trim pot at the signal conditioner PCB of the sensor.</w:t>
            </w:r>
          </w:p>
        </w:tc>
      </w:tr>
      <w:tr>
        <w:trPr>
          <w:trHeight w:val="263" w:hRule="atLeast"/>
        </w:trPr>
        <w:tc>
          <w:tcPr>
            <w:tcW w:w="3210" w:type="dxa"/>
            <w:tcBorders>
              <w:top w:val="single" w:color="C0504D" w:themeColor="accent2" w:sz="8" w:space="0"/>
              <w:left w:val="single" w:color="C0504D" w:themeColor="accent2" w:sz="8" w:space="0"/>
              <w:bottom w:val="single" w:color="C0504D" w:themeColor="accent2" w:sz="8" w:space="0"/>
              <w:right w:val="single" w:color="C0504D" w:themeColor="accent2" w:sz="8" w:space="0"/>
              <w:insideH w:val="single" w:sz="8" w:space="0"/>
              <w:insideV w:val="single" w:sz="8" w:space="0"/>
            </w:tcBorders>
          </w:tcPr>
          <w:p>
            <w:pPr>
              <w:pStyle w:val="7"/>
              <w:jc w:val="center"/>
              <w:rPr>
                <w:rFonts w:hint="default" w:asciiTheme="minorAscii" w:hAnsiTheme="minorAscii" w:eastAsiaTheme="majorEastAsia" w:cstheme="minorHAnsi"/>
                <w:b/>
                <w:bCs/>
                <w:sz w:val="20"/>
                <w:szCs w:val="20"/>
              </w:rPr>
            </w:pPr>
            <w:r>
              <w:rPr>
                <w:rStyle w:val="14"/>
                <w:rFonts w:hint="default" w:asciiTheme="minorAscii" w:hAnsiTheme="minorAscii" w:eastAsiaTheme="majorEastAsia" w:cstheme="minorHAnsi"/>
                <w:b/>
                <w:bCs w:val="0"/>
                <w:sz w:val="20"/>
                <w:szCs w:val="20"/>
              </w:rPr>
              <w:t>Process control set points</w:t>
            </w:r>
          </w:p>
        </w:tc>
        <w:tc>
          <w:tcPr>
            <w:tcW w:w="6947" w:type="dxa"/>
            <w:tcBorders>
              <w:top w:val="single" w:color="C0504D" w:themeColor="accent2" w:sz="8" w:space="0"/>
              <w:bottom w:val="single" w:color="C0504D" w:themeColor="accent2" w:sz="8" w:space="0"/>
              <w:right w:val="single" w:color="C0504D" w:themeColor="accent2" w:sz="8" w:space="0"/>
              <w:insideH w:val="single" w:sz="8" w:space="0"/>
              <w:insideV w:val="single" w:sz="8" w:space="0"/>
            </w:tcBorders>
          </w:tcPr>
          <w:p>
            <w:pPr>
              <w:pStyle w:val="7"/>
              <w:jc w:val="center"/>
              <w:rPr>
                <w:rStyle w:val="12"/>
                <w:rFonts w:hint="default" w:asciiTheme="minorAscii" w:hAnsiTheme="minorAscii" w:cstheme="minorHAnsi"/>
                <w:b/>
                <w:sz w:val="20"/>
                <w:szCs w:val="20"/>
              </w:rPr>
            </w:pPr>
            <w:r>
              <w:rPr>
                <w:rStyle w:val="12"/>
                <w:rFonts w:hint="default" w:asciiTheme="minorAscii" w:hAnsiTheme="minorAscii" w:cstheme="minorHAnsi"/>
                <w:b/>
                <w:sz w:val="20"/>
                <w:szCs w:val="20"/>
              </w:rPr>
              <w:t>UPPER LEVEL &amp; LOWER LEVEL set points for each channel.</w:t>
            </w:r>
          </w:p>
        </w:tc>
      </w:tr>
      <w:tr>
        <w:trPr>
          <w:trHeight w:val="533" w:hRule="atLeast"/>
        </w:trPr>
        <w:tc>
          <w:tcPr>
            <w:tcW w:w="3210" w:type="dxa"/>
            <w:tcBorders>
              <w:top w:val="single" w:color="C0504D" w:themeColor="accent2" w:sz="8" w:space="0"/>
              <w:left w:val="single" w:color="C0504D" w:themeColor="accent2" w:sz="8" w:space="0"/>
              <w:bottom w:val="single" w:color="C0504D" w:themeColor="accent2" w:sz="8" w:space="0"/>
              <w:right w:val="single" w:color="C0504D" w:themeColor="accent2" w:sz="8" w:space="0"/>
              <w:insideH w:val="single" w:sz="8" w:space="0"/>
              <w:insideV w:val="single" w:sz="8" w:space="0"/>
            </w:tcBorders>
            <w:shd w:val="clear" w:color="auto" w:fill="EFD3D3" w:themeFill="accent2" w:themeFillTint="3F"/>
          </w:tcPr>
          <w:p>
            <w:pPr>
              <w:pStyle w:val="7"/>
              <w:jc w:val="center"/>
              <w:rPr>
                <w:rStyle w:val="14"/>
                <w:rFonts w:hint="default" w:asciiTheme="minorAscii" w:hAnsiTheme="minorAscii" w:eastAsiaTheme="majorEastAsia" w:cstheme="minorHAnsi"/>
                <w:b/>
                <w:bCs w:val="0"/>
                <w:sz w:val="20"/>
                <w:szCs w:val="20"/>
              </w:rPr>
            </w:pPr>
            <w:r>
              <w:rPr>
                <w:rStyle w:val="14"/>
                <w:rFonts w:hint="default" w:asciiTheme="minorAscii" w:hAnsiTheme="minorAscii" w:eastAsiaTheme="majorEastAsia" w:cstheme="minorHAnsi"/>
                <w:b/>
                <w:bCs/>
                <w:sz w:val="20"/>
                <w:szCs w:val="20"/>
              </w:rPr>
              <w:t>Process Control Relays</w:t>
            </w:r>
          </w:p>
        </w:tc>
        <w:tc>
          <w:tcPr>
            <w:tcW w:w="6947" w:type="dxa"/>
            <w:tcBorders>
              <w:top w:val="single" w:color="C0504D" w:themeColor="accent2" w:sz="8" w:space="0"/>
              <w:bottom w:val="single" w:color="C0504D" w:themeColor="accent2" w:sz="8" w:space="0"/>
              <w:right w:val="single" w:color="C0504D" w:themeColor="accent2" w:sz="8" w:space="0"/>
              <w:insideH w:val="single" w:sz="8" w:space="0"/>
              <w:insideV w:val="single" w:sz="8" w:space="0"/>
            </w:tcBorders>
            <w:shd w:val="clear" w:color="auto" w:fill="EFD3D3" w:themeFill="accent2" w:themeFillTint="3F"/>
          </w:tcPr>
          <w:p>
            <w:pPr>
              <w:pStyle w:val="7"/>
              <w:jc w:val="center"/>
              <w:rPr>
                <w:rStyle w:val="12"/>
                <w:rFonts w:hint="default" w:asciiTheme="minorAscii" w:hAnsiTheme="minorAscii" w:cstheme="minorHAnsi"/>
                <w:sz w:val="20"/>
                <w:szCs w:val="20"/>
              </w:rPr>
            </w:pPr>
            <w:r>
              <w:rPr>
                <w:rStyle w:val="12"/>
                <w:rFonts w:hint="default" w:asciiTheme="minorAscii" w:hAnsiTheme="minorAscii" w:cstheme="minorHAnsi"/>
                <w:sz w:val="20"/>
                <w:szCs w:val="20"/>
              </w:rPr>
              <w:t>two relay outputs,  potential free contacts; independent available through the DB15 accessory connector on the rear panel</w:t>
            </w:r>
          </w:p>
        </w:tc>
      </w:tr>
      <w:tr>
        <w:trPr>
          <w:trHeight w:val="270" w:hRule="atLeast"/>
        </w:trPr>
        <w:tc>
          <w:tcPr>
            <w:tcW w:w="3210" w:type="dxa"/>
            <w:tcBorders>
              <w:top w:val="single" w:color="C0504D" w:themeColor="accent2" w:sz="8" w:space="0"/>
              <w:left w:val="single" w:color="C0504D" w:themeColor="accent2" w:sz="8" w:space="0"/>
              <w:bottom w:val="single" w:color="C0504D" w:themeColor="accent2" w:sz="8" w:space="0"/>
              <w:right w:val="single" w:color="C0504D" w:themeColor="accent2" w:sz="8" w:space="0"/>
              <w:insideH w:val="single" w:sz="8" w:space="0"/>
              <w:insideV w:val="single" w:sz="8" w:space="0"/>
            </w:tcBorders>
          </w:tcPr>
          <w:p>
            <w:pPr>
              <w:pStyle w:val="7"/>
              <w:jc w:val="center"/>
              <w:rPr>
                <w:rStyle w:val="14"/>
                <w:rFonts w:hint="default" w:asciiTheme="minorAscii" w:hAnsiTheme="minorAscii" w:eastAsiaTheme="majorEastAsia" w:cstheme="minorHAnsi"/>
                <w:b/>
                <w:bCs w:val="0"/>
                <w:sz w:val="20"/>
                <w:szCs w:val="20"/>
              </w:rPr>
            </w:pPr>
            <w:r>
              <w:rPr>
                <w:rStyle w:val="14"/>
                <w:rFonts w:hint="default" w:asciiTheme="minorAscii" w:hAnsiTheme="minorAscii" w:eastAsiaTheme="majorEastAsia" w:cstheme="minorHAnsi"/>
                <w:b/>
                <w:bCs/>
                <w:sz w:val="20"/>
                <w:szCs w:val="20"/>
              </w:rPr>
              <w:t>Nonvolatile Memory</w:t>
            </w:r>
          </w:p>
        </w:tc>
        <w:tc>
          <w:tcPr>
            <w:tcW w:w="6947" w:type="dxa"/>
            <w:tcBorders>
              <w:top w:val="single" w:color="C0504D" w:themeColor="accent2" w:sz="8" w:space="0"/>
              <w:bottom w:val="single" w:color="C0504D" w:themeColor="accent2" w:sz="8" w:space="0"/>
              <w:right w:val="single" w:color="C0504D" w:themeColor="accent2" w:sz="8" w:space="0"/>
              <w:insideH w:val="single" w:sz="8" w:space="0"/>
              <w:insideV w:val="single" w:sz="8" w:space="0"/>
            </w:tcBorders>
          </w:tcPr>
          <w:p>
            <w:pPr>
              <w:pStyle w:val="7"/>
              <w:jc w:val="center"/>
              <w:rPr>
                <w:rStyle w:val="12"/>
                <w:rFonts w:hint="default" w:asciiTheme="minorAscii" w:hAnsiTheme="minorAscii" w:cstheme="minorHAnsi"/>
                <w:sz w:val="20"/>
                <w:szCs w:val="20"/>
              </w:rPr>
            </w:pPr>
            <w:r>
              <w:rPr>
                <w:rStyle w:val="12"/>
                <w:rFonts w:hint="default" w:asciiTheme="minorAscii" w:hAnsiTheme="minorAscii" w:cstheme="minorHAnsi"/>
                <w:sz w:val="20"/>
                <w:szCs w:val="20"/>
              </w:rPr>
              <w:t>Only for set points</w:t>
            </w:r>
          </w:p>
        </w:tc>
      </w:tr>
      <w:tr>
        <w:trPr>
          <w:trHeight w:val="263" w:hRule="atLeast"/>
        </w:trPr>
        <w:tc>
          <w:tcPr>
            <w:tcW w:w="3210" w:type="dxa"/>
            <w:tcBorders>
              <w:top w:val="single" w:color="C0504D" w:themeColor="accent2" w:sz="8" w:space="0"/>
              <w:left w:val="single" w:color="C0504D" w:themeColor="accent2" w:sz="8" w:space="0"/>
              <w:bottom w:val="single" w:color="C0504D" w:themeColor="accent2" w:sz="8" w:space="0"/>
              <w:right w:val="single" w:color="C0504D" w:themeColor="accent2" w:sz="8" w:space="0"/>
              <w:insideH w:val="single" w:sz="8" w:space="0"/>
              <w:insideV w:val="single" w:sz="8" w:space="0"/>
            </w:tcBorders>
            <w:shd w:val="clear" w:color="auto" w:fill="EFD3D3" w:themeFill="accent2" w:themeFillTint="3F"/>
          </w:tcPr>
          <w:p>
            <w:pPr>
              <w:pStyle w:val="7"/>
              <w:jc w:val="center"/>
              <w:rPr>
                <w:rStyle w:val="14"/>
                <w:rFonts w:hint="default" w:asciiTheme="minorAscii" w:hAnsiTheme="minorAscii" w:eastAsiaTheme="majorEastAsia" w:cstheme="minorHAnsi"/>
                <w:b/>
                <w:bCs w:val="0"/>
                <w:sz w:val="20"/>
                <w:szCs w:val="20"/>
              </w:rPr>
            </w:pPr>
            <w:r>
              <w:rPr>
                <w:rStyle w:val="14"/>
                <w:rFonts w:hint="default" w:asciiTheme="minorAscii" w:hAnsiTheme="minorAscii" w:eastAsiaTheme="majorEastAsia" w:cstheme="minorHAnsi"/>
                <w:b/>
                <w:bCs/>
                <w:sz w:val="20"/>
                <w:szCs w:val="20"/>
              </w:rPr>
              <w:t>Operating Voltage</w:t>
            </w:r>
          </w:p>
        </w:tc>
        <w:tc>
          <w:tcPr>
            <w:tcW w:w="6947" w:type="dxa"/>
            <w:tcBorders>
              <w:top w:val="single" w:color="C0504D" w:themeColor="accent2" w:sz="8" w:space="0"/>
              <w:bottom w:val="single" w:color="C0504D" w:themeColor="accent2" w:sz="8" w:space="0"/>
              <w:right w:val="single" w:color="C0504D" w:themeColor="accent2" w:sz="8" w:space="0"/>
              <w:insideH w:val="single" w:sz="8" w:space="0"/>
              <w:insideV w:val="single" w:sz="8" w:space="0"/>
            </w:tcBorders>
            <w:shd w:val="clear" w:color="auto" w:fill="EFD3D3" w:themeFill="accent2" w:themeFillTint="3F"/>
          </w:tcPr>
          <w:p>
            <w:pPr>
              <w:pStyle w:val="7"/>
              <w:jc w:val="center"/>
              <w:rPr>
                <w:rStyle w:val="14"/>
                <w:rFonts w:hint="default" w:asciiTheme="minorAscii" w:hAnsiTheme="minorAscii" w:cstheme="minorHAnsi"/>
                <w:sz w:val="20"/>
                <w:szCs w:val="20"/>
              </w:rPr>
            </w:pPr>
            <w:r>
              <w:rPr>
                <w:rStyle w:val="12"/>
                <w:rFonts w:hint="default" w:asciiTheme="minorAscii" w:hAnsiTheme="minorAscii" w:cstheme="minorHAnsi"/>
                <w:sz w:val="20"/>
                <w:szCs w:val="20"/>
              </w:rPr>
              <w:t>universal power supply,</w:t>
            </w:r>
            <w:r>
              <w:rPr>
                <w:rStyle w:val="14"/>
                <w:rFonts w:hint="default" w:asciiTheme="minorAscii" w:hAnsiTheme="minorAscii" w:cstheme="minorHAnsi"/>
                <w:b/>
                <w:bCs/>
                <w:sz w:val="20"/>
                <w:szCs w:val="20"/>
              </w:rPr>
              <w:t xml:space="preserve"> </w:t>
            </w:r>
            <w:r>
              <w:rPr>
                <w:rStyle w:val="12"/>
                <w:rFonts w:hint="default" w:asciiTheme="minorAscii" w:hAnsiTheme="minorAscii" w:cstheme="minorHAnsi"/>
                <w:sz w:val="20"/>
                <w:szCs w:val="20"/>
              </w:rPr>
              <w:t xml:space="preserve">input voltages from </w:t>
            </w:r>
            <w:r>
              <w:rPr>
                <w:rFonts w:hint="default" w:asciiTheme="minorAscii" w:hAnsiTheme="minorAscii" w:cstheme="minorHAnsi"/>
                <w:sz w:val="20"/>
                <w:szCs w:val="20"/>
              </w:rPr>
              <w:t xml:space="preserve">90 ~ 264VAC </w:t>
            </w:r>
            <w:r>
              <w:rPr>
                <w:rStyle w:val="12"/>
                <w:rFonts w:hint="default" w:asciiTheme="minorAscii" w:hAnsiTheme="minorAscii" w:cstheme="minorHAnsi"/>
                <w:sz w:val="20"/>
                <w:szCs w:val="20"/>
              </w:rPr>
              <w:t>50/60 Hz</w:t>
            </w:r>
          </w:p>
        </w:tc>
      </w:tr>
      <w:tr>
        <w:trPr>
          <w:trHeight w:val="293" w:hRule="atLeast"/>
        </w:trPr>
        <w:tc>
          <w:tcPr>
            <w:tcW w:w="3210" w:type="dxa"/>
            <w:tcBorders>
              <w:top w:val="single" w:color="C0504D" w:themeColor="accent2" w:sz="8" w:space="0"/>
              <w:left w:val="single" w:color="C0504D" w:themeColor="accent2" w:sz="8" w:space="0"/>
              <w:bottom w:val="single" w:color="C0504D" w:themeColor="accent2" w:sz="8" w:space="0"/>
              <w:right w:val="single" w:color="C0504D" w:themeColor="accent2" w:sz="8" w:space="0"/>
              <w:insideH w:val="single" w:sz="8" w:space="0"/>
              <w:insideV w:val="single" w:sz="8" w:space="0"/>
            </w:tcBorders>
          </w:tcPr>
          <w:p>
            <w:pPr>
              <w:pStyle w:val="7"/>
              <w:jc w:val="center"/>
              <w:rPr>
                <w:rStyle w:val="14"/>
                <w:rFonts w:hint="default" w:asciiTheme="minorAscii" w:hAnsiTheme="minorAscii" w:eastAsiaTheme="majorEastAsia" w:cstheme="minorHAnsi"/>
                <w:b/>
                <w:bCs w:val="0"/>
                <w:sz w:val="20"/>
                <w:szCs w:val="20"/>
              </w:rPr>
            </w:pPr>
            <w:r>
              <w:rPr>
                <w:rStyle w:val="14"/>
                <w:rFonts w:hint="default" w:asciiTheme="minorAscii" w:hAnsiTheme="minorAscii" w:eastAsiaTheme="majorEastAsia" w:cstheme="minorHAnsi"/>
                <w:b/>
                <w:bCs w:val="0"/>
                <w:sz w:val="20"/>
                <w:szCs w:val="20"/>
              </w:rPr>
              <w:t>Mounting</w:t>
            </w:r>
          </w:p>
        </w:tc>
        <w:tc>
          <w:tcPr>
            <w:tcW w:w="6947" w:type="dxa"/>
            <w:tcBorders>
              <w:top w:val="single" w:color="C0504D" w:themeColor="accent2" w:sz="8" w:space="0"/>
              <w:bottom w:val="single" w:color="C0504D" w:themeColor="accent2" w:sz="8" w:space="0"/>
              <w:right w:val="single" w:color="C0504D" w:themeColor="accent2" w:sz="8" w:space="0"/>
              <w:insideH w:val="single" w:sz="8" w:space="0"/>
              <w:insideV w:val="single" w:sz="8" w:space="0"/>
            </w:tcBorders>
          </w:tcPr>
          <w:p>
            <w:pPr>
              <w:pStyle w:val="7"/>
              <w:jc w:val="center"/>
              <w:rPr>
                <w:rStyle w:val="14"/>
                <w:rFonts w:hint="default" w:asciiTheme="minorAscii" w:hAnsiTheme="minorAscii" w:cstheme="minorHAnsi"/>
                <w:sz w:val="20"/>
                <w:szCs w:val="20"/>
              </w:rPr>
            </w:pPr>
            <w:r>
              <w:rPr>
                <w:rStyle w:val="12"/>
                <w:rFonts w:hint="default" w:asciiTheme="minorAscii" w:hAnsiTheme="minorAscii" w:cstheme="minorHAnsi"/>
                <w:sz w:val="20"/>
                <w:szCs w:val="20"/>
              </w:rPr>
              <w:t xml:space="preserve">¼ </w:t>
            </w:r>
            <w:r>
              <w:rPr>
                <w:rFonts w:hint="default" w:asciiTheme="minorAscii" w:hAnsiTheme="minorAscii" w:cstheme="minorHAnsi"/>
                <w:sz w:val="20"/>
                <w:szCs w:val="20"/>
              </w:rPr>
              <w:t xml:space="preserve"> DIN 92 x 92 mm (3.62” x 3.62")</w:t>
            </w:r>
          </w:p>
        </w:tc>
      </w:tr>
      <w:tr>
        <w:trPr>
          <w:trHeight w:val="263" w:hRule="atLeast"/>
        </w:trPr>
        <w:tc>
          <w:tcPr>
            <w:tcW w:w="3210" w:type="dxa"/>
            <w:tcBorders>
              <w:top w:val="single" w:color="C0504D" w:themeColor="accent2" w:sz="8" w:space="0"/>
              <w:left w:val="single" w:color="C0504D" w:themeColor="accent2" w:sz="8" w:space="0"/>
              <w:bottom w:val="single" w:color="C0504D" w:themeColor="accent2" w:sz="8" w:space="0"/>
              <w:right w:val="single" w:color="C0504D" w:themeColor="accent2" w:sz="8" w:space="0"/>
              <w:insideH w:val="single" w:sz="8" w:space="0"/>
              <w:insideV w:val="single" w:sz="8" w:space="0"/>
            </w:tcBorders>
            <w:shd w:val="clear" w:color="auto" w:fill="EFD3D3" w:themeFill="accent2" w:themeFillTint="3F"/>
          </w:tcPr>
          <w:p>
            <w:pPr>
              <w:pStyle w:val="7"/>
              <w:jc w:val="center"/>
              <w:rPr>
                <w:rStyle w:val="14"/>
                <w:rFonts w:hint="default" w:asciiTheme="minorAscii" w:hAnsiTheme="minorAscii" w:eastAsiaTheme="majorEastAsia" w:cstheme="minorHAnsi"/>
                <w:b/>
                <w:bCs w:val="0"/>
                <w:sz w:val="20"/>
                <w:szCs w:val="20"/>
              </w:rPr>
            </w:pPr>
            <w:r>
              <w:rPr>
                <w:rStyle w:val="14"/>
                <w:rFonts w:hint="default" w:asciiTheme="minorAscii" w:hAnsiTheme="minorAscii" w:eastAsiaTheme="majorEastAsia" w:cstheme="minorHAnsi"/>
                <w:b/>
                <w:bCs/>
                <w:sz w:val="20"/>
                <w:szCs w:val="20"/>
              </w:rPr>
              <w:t>Environmental Considerations</w:t>
            </w:r>
          </w:p>
        </w:tc>
        <w:tc>
          <w:tcPr>
            <w:tcW w:w="6947" w:type="dxa"/>
            <w:tcBorders>
              <w:top w:val="single" w:color="C0504D" w:themeColor="accent2" w:sz="8" w:space="0"/>
              <w:bottom w:val="single" w:color="C0504D" w:themeColor="accent2" w:sz="8" w:space="0"/>
              <w:right w:val="single" w:color="C0504D" w:themeColor="accent2" w:sz="8" w:space="0"/>
              <w:insideH w:val="single" w:sz="8" w:space="0"/>
              <w:insideV w:val="single" w:sz="8" w:space="0"/>
            </w:tcBorders>
            <w:shd w:val="clear" w:color="auto" w:fill="EFD3D3" w:themeFill="accent2" w:themeFillTint="3F"/>
          </w:tcPr>
          <w:p>
            <w:pPr>
              <w:pStyle w:val="7"/>
              <w:jc w:val="center"/>
              <w:rPr>
                <w:rStyle w:val="14"/>
                <w:rFonts w:hint="default" w:asciiTheme="minorAscii" w:hAnsiTheme="minorAscii" w:cstheme="minorHAnsi"/>
                <w:sz w:val="20"/>
                <w:szCs w:val="20"/>
              </w:rPr>
            </w:pPr>
            <w:r>
              <w:rPr>
                <w:rStyle w:val="12"/>
                <w:rFonts w:hint="default" w:asciiTheme="minorAscii" w:hAnsiTheme="minorAscii" w:cstheme="minorHAnsi"/>
                <w:sz w:val="20"/>
                <w:szCs w:val="20"/>
              </w:rPr>
              <w:t>not for use with explosive or corrosive gases</w:t>
            </w:r>
          </w:p>
        </w:tc>
      </w:tr>
      <w:tr>
        <w:trPr>
          <w:trHeight w:val="129" w:hRule="atLeast"/>
        </w:trPr>
        <w:tc>
          <w:tcPr>
            <w:tcW w:w="3210" w:type="dxa"/>
            <w:tcBorders>
              <w:top w:val="single" w:color="C0504D" w:themeColor="accent2" w:sz="8" w:space="0"/>
              <w:left w:val="single" w:color="C0504D" w:themeColor="accent2" w:sz="8" w:space="0"/>
              <w:bottom w:val="single" w:color="C0504D" w:themeColor="accent2" w:sz="8" w:space="0"/>
              <w:right w:val="single" w:color="C0504D" w:themeColor="accent2" w:sz="8" w:space="0"/>
              <w:insideH w:val="single" w:sz="8" w:space="0"/>
              <w:insideV w:val="single" w:sz="8" w:space="0"/>
            </w:tcBorders>
          </w:tcPr>
          <w:p>
            <w:pPr>
              <w:pStyle w:val="7"/>
              <w:jc w:val="center"/>
              <w:rPr>
                <w:rStyle w:val="14"/>
                <w:rFonts w:hint="default" w:asciiTheme="minorAscii" w:hAnsiTheme="minorAscii" w:eastAsiaTheme="majorEastAsia" w:cstheme="minorHAnsi"/>
                <w:b/>
                <w:bCs/>
                <w:sz w:val="20"/>
                <w:szCs w:val="20"/>
              </w:rPr>
            </w:pPr>
            <w:r>
              <w:rPr>
                <w:rStyle w:val="14"/>
                <w:rFonts w:hint="default" w:asciiTheme="minorAscii" w:hAnsiTheme="minorAscii" w:eastAsiaTheme="majorEastAsia" w:cstheme="minorHAnsi"/>
                <w:b/>
                <w:bCs/>
                <w:sz w:val="20"/>
                <w:szCs w:val="20"/>
              </w:rPr>
              <w:t>Overall dimensions</w:t>
            </w:r>
          </w:p>
        </w:tc>
        <w:tc>
          <w:tcPr>
            <w:tcW w:w="6947" w:type="dxa"/>
            <w:tcBorders>
              <w:top w:val="single" w:color="C0504D" w:themeColor="accent2" w:sz="8" w:space="0"/>
              <w:bottom w:val="single" w:color="C0504D" w:themeColor="accent2" w:sz="8" w:space="0"/>
              <w:right w:val="single" w:color="C0504D" w:themeColor="accent2" w:sz="8" w:space="0"/>
              <w:insideH w:val="single" w:sz="8" w:space="0"/>
              <w:insideV w:val="single" w:sz="8" w:space="0"/>
            </w:tcBorders>
          </w:tcPr>
          <w:p>
            <w:pPr>
              <w:pStyle w:val="7"/>
              <w:jc w:val="center"/>
              <w:rPr>
                <w:rStyle w:val="12"/>
                <w:rFonts w:hint="default" w:asciiTheme="minorAscii" w:hAnsiTheme="minorAscii" w:cstheme="minorHAnsi"/>
                <w:sz w:val="20"/>
                <w:szCs w:val="20"/>
              </w:rPr>
            </w:pPr>
            <w:r>
              <w:rPr>
                <w:rStyle w:val="12"/>
                <w:rFonts w:hint="default" w:asciiTheme="minorAscii" w:hAnsiTheme="minorAscii" w:cstheme="minorHAnsi"/>
                <w:sz w:val="20"/>
                <w:szCs w:val="20"/>
              </w:rPr>
              <w:t>92mm X 92mm X 110mm Depth</w:t>
            </w:r>
          </w:p>
        </w:tc>
      </w:tr>
      <w:tr>
        <w:trPr>
          <w:trHeight w:val="129" w:hRule="atLeast"/>
        </w:trPr>
        <w:tc>
          <w:tcPr>
            <w:tcW w:w="3210" w:type="dxa"/>
            <w:tcBorders>
              <w:top w:val="single" w:color="C0504D" w:themeColor="accent2" w:sz="8" w:space="0"/>
              <w:left w:val="single" w:color="C0504D" w:themeColor="accent2" w:sz="8" w:space="0"/>
              <w:bottom w:val="single" w:color="C0504D" w:themeColor="accent2" w:sz="8" w:space="0"/>
              <w:right w:val="single" w:color="C0504D" w:themeColor="accent2" w:sz="8" w:space="0"/>
              <w:insideH w:val="single" w:sz="8" w:space="0"/>
              <w:insideV w:val="single" w:sz="8" w:space="0"/>
            </w:tcBorders>
            <w:shd w:val="clear" w:color="auto" w:fill="EFD3D3" w:themeFill="accent2" w:themeFillTint="3F"/>
          </w:tcPr>
          <w:p>
            <w:pPr>
              <w:pStyle w:val="7"/>
              <w:jc w:val="center"/>
              <w:rPr>
                <w:rStyle w:val="14"/>
                <w:rFonts w:hint="default" w:asciiTheme="minorAscii" w:hAnsiTheme="minorAscii" w:eastAsiaTheme="majorEastAsia" w:cstheme="minorHAnsi"/>
                <w:b/>
                <w:bCs/>
                <w:sz w:val="20"/>
                <w:szCs w:val="20"/>
              </w:rPr>
            </w:pPr>
            <w:r>
              <w:rPr>
                <w:rStyle w:val="14"/>
                <w:rFonts w:hint="default" w:asciiTheme="minorAscii" w:hAnsiTheme="minorAscii" w:eastAsiaTheme="majorEastAsia" w:cstheme="minorHAnsi"/>
                <w:b/>
                <w:bCs/>
                <w:sz w:val="20"/>
                <w:szCs w:val="20"/>
              </w:rPr>
              <w:t>Optional outputs on request</w:t>
            </w:r>
          </w:p>
        </w:tc>
        <w:tc>
          <w:tcPr>
            <w:tcW w:w="6947" w:type="dxa"/>
            <w:tcBorders>
              <w:top w:val="single" w:color="C0504D" w:themeColor="accent2" w:sz="8" w:space="0"/>
              <w:bottom w:val="single" w:color="C0504D" w:themeColor="accent2" w:sz="8" w:space="0"/>
              <w:right w:val="single" w:color="C0504D" w:themeColor="accent2" w:sz="8" w:space="0"/>
              <w:insideH w:val="single" w:sz="8" w:space="0"/>
              <w:insideV w:val="single" w:sz="8" w:space="0"/>
            </w:tcBorders>
            <w:shd w:val="clear" w:color="auto" w:fill="EFD3D3" w:themeFill="accent2" w:themeFillTint="3F"/>
          </w:tcPr>
          <w:p>
            <w:pPr>
              <w:pStyle w:val="7"/>
              <w:jc w:val="center"/>
              <w:rPr>
                <w:rStyle w:val="12"/>
                <w:rFonts w:hint="default" w:asciiTheme="minorAscii" w:hAnsiTheme="minorAscii" w:cstheme="minorHAnsi"/>
                <w:sz w:val="20"/>
                <w:szCs w:val="20"/>
              </w:rPr>
            </w:pPr>
            <w:r>
              <w:rPr>
                <w:rStyle w:val="12"/>
                <w:rFonts w:hint="default" w:asciiTheme="minorAscii" w:hAnsiTheme="minorAscii" w:cstheme="minorHAnsi"/>
                <w:sz w:val="20"/>
                <w:szCs w:val="20"/>
              </w:rPr>
              <w:t xml:space="preserve">RS485, 0 -10V Dc analog output </w:t>
            </w:r>
            <w:r>
              <w:rPr>
                <w:rStyle w:val="12"/>
                <w:rFonts w:hint="default" w:asciiTheme="minorAscii" w:hAnsiTheme="minorAscii"/>
                <w:sz w:val="20"/>
                <w:szCs w:val="20"/>
              </w:rPr>
              <w:t>(optional)</w:t>
            </w:r>
          </w:p>
        </w:tc>
      </w:tr>
      <w:tr>
        <w:trPr>
          <w:trHeight w:val="129" w:hRule="atLeast"/>
        </w:trPr>
        <w:tc>
          <w:tcPr>
            <w:tcW w:w="3210" w:type="dxa"/>
            <w:tcBorders>
              <w:top w:val="single" w:color="C0504D" w:themeColor="accent2" w:sz="8" w:space="0"/>
              <w:left w:val="single" w:color="C0504D" w:themeColor="accent2" w:sz="8" w:space="0"/>
              <w:bottom w:val="single" w:color="C0504D" w:themeColor="accent2" w:sz="8" w:space="0"/>
              <w:right w:val="single" w:color="C0504D" w:themeColor="accent2" w:sz="8" w:space="0"/>
              <w:insideH w:val="single" w:sz="8" w:space="0"/>
              <w:insideV w:val="single" w:sz="8" w:space="0"/>
            </w:tcBorders>
          </w:tcPr>
          <w:p>
            <w:pPr>
              <w:pStyle w:val="7"/>
              <w:jc w:val="center"/>
              <w:rPr>
                <w:rStyle w:val="14"/>
                <w:rFonts w:hint="default" w:asciiTheme="minorAscii" w:hAnsiTheme="minorAscii" w:eastAsiaTheme="majorEastAsia" w:cstheme="minorHAnsi"/>
                <w:b/>
                <w:bCs/>
                <w:sz w:val="20"/>
                <w:szCs w:val="20"/>
              </w:rPr>
            </w:pPr>
            <w:r>
              <w:rPr>
                <w:rStyle w:val="14"/>
                <w:rFonts w:hint="default" w:asciiTheme="minorAscii" w:hAnsiTheme="minorAscii" w:eastAsiaTheme="majorEastAsia" w:cstheme="minorHAnsi"/>
                <w:b/>
                <w:bCs/>
                <w:sz w:val="20"/>
                <w:szCs w:val="20"/>
              </w:rPr>
              <w:t>Sensor cable</w:t>
            </w:r>
          </w:p>
        </w:tc>
        <w:tc>
          <w:tcPr>
            <w:tcW w:w="6947" w:type="dxa"/>
            <w:tcBorders>
              <w:top w:val="single" w:color="C0504D" w:themeColor="accent2" w:sz="8" w:space="0"/>
              <w:bottom w:val="single" w:color="C0504D" w:themeColor="accent2" w:sz="8" w:space="0"/>
              <w:right w:val="single" w:color="C0504D" w:themeColor="accent2" w:sz="8" w:space="0"/>
              <w:insideH w:val="single" w:sz="8" w:space="0"/>
              <w:insideV w:val="single" w:sz="8" w:space="0"/>
            </w:tcBorders>
          </w:tcPr>
          <w:p>
            <w:pPr>
              <w:pStyle w:val="7"/>
              <w:jc w:val="center"/>
              <w:rPr>
                <w:rStyle w:val="12"/>
                <w:rFonts w:hint="default" w:asciiTheme="minorAscii" w:hAnsiTheme="minorAscii" w:cstheme="minorHAnsi"/>
                <w:sz w:val="20"/>
                <w:szCs w:val="20"/>
              </w:rPr>
            </w:pPr>
            <w:r>
              <w:rPr>
                <w:rStyle w:val="12"/>
                <w:rFonts w:hint="default" w:asciiTheme="minorAscii" w:hAnsiTheme="minorAscii" w:cstheme="minorHAnsi"/>
                <w:sz w:val="20"/>
                <w:szCs w:val="20"/>
              </w:rPr>
              <w:t xml:space="preserve">Standard RJ45 male plugs both ends- 2 mtrs long. </w:t>
            </w:r>
          </w:p>
          <w:p>
            <w:pPr>
              <w:pStyle w:val="7"/>
              <w:jc w:val="center"/>
              <w:rPr>
                <w:rStyle w:val="12"/>
                <w:rFonts w:hint="default" w:asciiTheme="minorAscii" w:hAnsiTheme="minorAscii" w:cstheme="minorHAnsi"/>
                <w:sz w:val="20"/>
                <w:szCs w:val="20"/>
              </w:rPr>
            </w:pPr>
            <w:r>
              <w:rPr>
                <w:rStyle w:val="12"/>
                <w:rFonts w:hint="default" w:asciiTheme="minorAscii" w:hAnsiTheme="minorAscii" w:cstheme="minorHAnsi"/>
                <w:sz w:val="20"/>
                <w:szCs w:val="20"/>
              </w:rPr>
              <w:t>Optional additional lengths available on request.</w:t>
            </w:r>
          </w:p>
        </w:tc>
      </w:tr>
    </w:tbl>
    <w:p>
      <w:pPr>
        <w:pStyle w:val="7"/>
        <w:rPr>
          <w:rFonts w:ascii="Calibri" w:hAnsi="Calibri"/>
          <w:sz w:val="20"/>
          <w:szCs w:val="20"/>
        </w:rPr>
      </w:pPr>
      <w:r>
        <w:rPr>
          <w:b/>
          <w:sz w:val="28"/>
          <w:szCs w:val="28"/>
        </w:rPr>
        <w:t xml:space="preserve">Features at a Glance : </w:t>
      </w:r>
      <w:r>
        <w:rPr>
          <w:rFonts w:ascii="HFWUMC+HelveticaNeue-Bold" w:hAnsi="HFWUMC+HelveticaNeue-Bold" w:cs="HFWUMC+HelveticaNeue-Bold"/>
          <w:sz w:val="20"/>
          <w:szCs w:val="20"/>
        </w:rPr>
        <w:t>■</w:t>
      </w:r>
      <w:r>
        <w:rPr>
          <w:rFonts w:ascii="Calibri" w:hAnsi="Calibri" w:cs="HFWUMC+HelveticaNeue-Bold"/>
          <w:sz w:val="20"/>
          <w:szCs w:val="20"/>
        </w:rPr>
        <w:t xml:space="preserve"> </w:t>
      </w:r>
      <w:r>
        <w:rPr>
          <w:rFonts w:ascii="Calibri" w:hAnsi="Calibri"/>
          <w:b/>
          <w:i/>
          <w:sz w:val="20"/>
          <w:szCs w:val="20"/>
        </w:rPr>
        <w:t>Measurement</w:t>
      </w:r>
      <w:r>
        <w:rPr>
          <w:rStyle w:val="16"/>
          <w:rFonts w:ascii="Calibri" w:hAnsi="Calibri"/>
          <w:b/>
          <w:i/>
        </w:rPr>
        <w:t xml:space="preserve"> range 0.001</w:t>
      </w:r>
      <w:r>
        <w:rPr>
          <w:rStyle w:val="17"/>
          <w:rFonts w:ascii="Calibri" w:hAnsi="Calibri"/>
          <w:b/>
          <w:i/>
          <w:sz w:val="20"/>
          <w:szCs w:val="20"/>
        </w:rPr>
        <w:t xml:space="preserve"> </w:t>
      </w:r>
      <w:r>
        <w:rPr>
          <w:rStyle w:val="16"/>
          <w:rFonts w:ascii="Calibri" w:hAnsi="Calibri"/>
          <w:b/>
          <w:i/>
        </w:rPr>
        <w:t>to 20 mbar</w:t>
      </w:r>
      <w:r>
        <w:rPr>
          <w:rFonts w:ascii="Times New Roman" w:hAnsi="Times New Roman" w:cs="Times New Roman"/>
          <w:sz w:val="20"/>
          <w:szCs w:val="20"/>
        </w:rPr>
        <w:t xml:space="preserve"> ■</w:t>
      </w:r>
      <w:r>
        <w:rPr>
          <w:rFonts w:ascii="Calibri" w:hAnsi="Calibri" w:cs="Rockwell"/>
          <w:sz w:val="20"/>
          <w:szCs w:val="20"/>
        </w:rPr>
        <w:t xml:space="preserve"> </w:t>
      </w:r>
      <w:r>
        <w:rPr>
          <w:rFonts w:ascii="Calibri" w:hAnsi="Calibri"/>
          <w:b/>
          <w:i/>
          <w:sz w:val="20"/>
          <w:szCs w:val="20"/>
        </w:rPr>
        <w:t>Space saving rugged design- 1/8 DIN console</w:t>
      </w:r>
      <w:r>
        <w:rPr>
          <w:rFonts w:ascii="Times New Roman" w:hAnsi="Times New Roman" w:cs="Times New Roman"/>
          <w:sz w:val="20"/>
          <w:szCs w:val="20"/>
        </w:rPr>
        <w:t xml:space="preserve"> ■</w:t>
      </w:r>
      <w:r>
        <w:rPr>
          <w:rFonts w:ascii="Calibri" w:hAnsi="Calibri" w:cs="Rockwell"/>
          <w:sz w:val="20"/>
          <w:szCs w:val="20"/>
        </w:rPr>
        <w:t xml:space="preserve"> </w:t>
      </w:r>
      <w:r>
        <w:rPr>
          <w:rFonts w:ascii="Calibri" w:hAnsi="Calibri"/>
          <w:b/>
          <w:i/>
          <w:sz w:val="20"/>
          <w:szCs w:val="20"/>
        </w:rPr>
        <w:t>brass body measuring cell with metal-sealed feed through</w:t>
      </w:r>
      <w:r>
        <w:rPr>
          <w:rFonts w:ascii="Times New Roman" w:hAnsi="Times New Roman" w:cs="Times New Roman"/>
          <w:sz w:val="20"/>
          <w:szCs w:val="20"/>
        </w:rPr>
        <w:t xml:space="preserve"> ■</w:t>
      </w:r>
      <w:r>
        <w:rPr>
          <w:rFonts w:ascii="Calibri" w:hAnsi="Calibri" w:cs="Rockwell"/>
          <w:sz w:val="20"/>
          <w:szCs w:val="20"/>
        </w:rPr>
        <w:t xml:space="preserve"> </w:t>
      </w:r>
      <w:r>
        <w:rPr>
          <w:rFonts w:ascii="Calibri" w:hAnsi="Calibri"/>
          <w:b/>
          <w:i/>
          <w:sz w:val="20"/>
          <w:szCs w:val="20"/>
        </w:rPr>
        <w:t xml:space="preserve">with universal power supply </w:t>
      </w:r>
      <w:r>
        <w:rPr>
          <w:rFonts w:ascii="Times New Roman" w:hAnsi="Times New Roman" w:cs="Times New Roman"/>
          <w:sz w:val="20"/>
          <w:szCs w:val="20"/>
        </w:rPr>
        <w:t>■</w:t>
      </w:r>
      <w:r>
        <w:rPr>
          <w:rFonts w:ascii="Calibri" w:hAnsi="Calibri" w:cs="Rockwell"/>
          <w:sz w:val="20"/>
          <w:szCs w:val="20"/>
        </w:rPr>
        <w:t xml:space="preserve"> </w:t>
      </w:r>
      <w:r>
        <w:rPr>
          <w:rFonts w:ascii="Calibri" w:hAnsi="Calibri"/>
          <w:b/>
          <w:i/>
          <w:sz w:val="20"/>
          <w:szCs w:val="20"/>
        </w:rPr>
        <w:t>interchangeability of the sensor possible without disturbing the display unit.</w:t>
      </w:r>
    </w:p>
    <w:p>
      <w:pPr>
        <w:pStyle w:val="7"/>
        <w:rPr>
          <w:rFonts w:ascii="Calibri" w:hAnsi="Calibri"/>
          <w:sz w:val="20"/>
          <w:szCs w:val="20"/>
        </w:rPr>
      </w:pPr>
      <w:r>
        <w:rPr>
          <w:rFonts w:cs="HFWUMC+HelveticaNeue-Bold"/>
          <w:b/>
          <w:bCs/>
          <w:color w:val="000000"/>
          <w:sz w:val="28"/>
          <w:szCs w:val="28"/>
        </w:rPr>
        <w:t xml:space="preserve">Applications: </w:t>
      </w:r>
      <w:r>
        <w:rPr>
          <w:rFonts w:ascii="HFWUMC+HelveticaNeue-Bold" w:hAnsi="HFWUMC+HelveticaNeue-Bold" w:cs="HFWUMC+HelveticaNeue-Bold"/>
          <w:sz w:val="20"/>
          <w:szCs w:val="20"/>
        </w:rPr>
        <w:t>■</w:t>
      </w:r>
      <w:r>
        <w:rPr>
          <w:rFonts w:ascii="Calibri" w:hAnsi="Calibri" w:cs="HFWUMC+HelveticaNeue-Bold"/>
          <w:sz w:val="20"/>
          <w:szCs w:val="20"/>
        </w:rPr>
        <w:t xml:space="preserve"> </w:t>
      </w:r>
      <w:r>
        <w:rPr>
          <w:rFonts w:ascii="Calibri" w:hAnsi="Calibri"/>
          <w:sz w:val="20"/>
          <w:szCs w:val="20"/>
        </w:rPr>
        <w:t xml:space="preserve">Controlling high vacuum systems </w:t>
      </w:r>
      <w:r>
        <w:rPr>
          <w:rFonts w:ascii="Times New Roman" w:hAnsi="Times New Roman" w:cs="Times New Roman"/>
          <w:sz w:val="20"/>
          <w:szCs w:val="20"/>
        </w:rPr>
        <w:t>■</w:t>
      </w:r>
      <w:r>
        <w:rPr>
          <w:rFonts w:ascii="Calibri" w:hAnsi="Calibri" w:cs="Rockwell"/>
          <w:sz w:val="20"/>
          <w:szCs w:val="20"/>
        </w:rPr>
        <w:t xml:space="preserve"> </w:t>
      </w:r>
      <w:r>
        <w:rPr>
          <w:rFonts w:ascii="Calibri" w:hAnsi="Calibri"/>
          <w:sz w:val="20"/>
          <w:szCs w:val="20"/>
        </w:rPr>
        <w:t xml:space="preserve">Fore vacuum pressure monitoring </w:t>
      </w:r>
      <w:r>
        <w:rPr>
          <w:rFonts w:ascii="Times New Roman" w:hAnsi="Times New Roman" w:cs="Times New Roman"/>
          <w:sz w:val="20"/>
          <w:szCs w:val="20"/>
        </w:rPr>
        <w:t>■</w:t>
      </w:r>
      <w:r>
        <w:rPr>
          <w:rFonts w:ascii="Calibri" w:hAnsi="Calibri" w:cs="Rockwell"/>
          <w:sz w:val="20"/>
          <w:szCs w:val="20"/>
        </w:rPr>
        <w:t xml:space="preserve"> </w:t>
      </w:r>
      <w:r>
        <w:rPr>
          <w:rFonts w:ascii="Calibri" w:hAnsi="Calibri"/>
          <w:sz w:val="20"/>
          <w:szCs w:val="20"/>
        </w:rPr>
        <w:t xml:space="preserve">Safety circuits in vacuum systems </w:t>
      </w:r>
      <w:r>
        <w:rPr>
          <w:rFonts w:ascii="Times New Roman" w:hAnsi="Times New Roman" w:cs="Times New Roman"/>
          <w:sz w:val="20"/>
          <w:szCs w:val="20"/>
        </w:rPr>
        <w:t>■</w:t>
      </w:r>
      <w:r>
        <w:rPr>
          <w:rFonts w:ascii="Calibri" w:hAnsi="Calibri" w:cs="Rockwell"/>
          <w:sz w:val="20"/>
          <w:szCs w:val="20"/>
        </w:rPr>
        <w:t xml:space="preserve"> </w:t>
      </w:r>
      <w:r>
        <w:rPr>
          <w:rFonts w:ascii="Calibri" w:hAnsi="Calibri"/>
          <w:sz w:val="20"/>
          <w:szCs w:val="20"/>
        </w:rPr>
        <w:t>General vacuum measurement &amp; control in the fine and rough vacuum range.</w:t>
      </w:r>
    </w:p>
    <w:p>
      <w:pPr>
        <w:pStyle w:val="13"/>
        <w:ind w:firstLine="90"/>
        <w:rPr>
          <w:rFonts w:asciiTheme="minorHAnsi" w:hAnsiTheme="minorHAnsi"/>
          <w:b/>
          <w:i/>
          <w:sz w:val="28"/>
          <w:szCs w:val="28"/>
        </w:rPr>
      </w:pPr>
      <w:r>
        <w:rPr>
          <w:rFonts w:asciiTheme="minorHAnsi" w:hAnsiTheme="minorHAnsi"/>
          <w:b/>
          <w:i/>
          <w:sz w:val="28"/>
          <w:szCs w:val="28"/>
        </w:rPr>
        <w:t>Calibration: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bCs/>
          <w:i/>
          <w:iCs/>
          <w:color w:val="000000"/>
          <w:sz w:val="16"/>
          <w:szCs w:val="16"/>
        </w:rPr>
      </w:pPr>
      <w:r>
        <w:rPr>
          <w:rFonts w:eastAsia="Times New Roman" w:cs="Arial"/>
          <w:b/>
          <w:bCs/>
          <w:sz w:val="20"/>
          <w:lang w:eastAsia="en-IN"/>
        </w:rPr>
        <w:t>Unique Vacuum Solutions</w:t>
      </w:r>
      <w:r>
        <w:rPr>
          <w:rFonts w:cs="Arial"/>
          <w:color w:val="000000"/>
          <w:sz w:val="20"/>
          <w:szCs w:val="20"/>
        </w:rPr>
        <w:t xml:space="preserve"> </w:t>
      </w:r>
      <w:r>
        <w:rPr>
          <w:rFonts w:cs="Arial"/>
          <w:b/>
          <w:bCs/>
          <w:i/>
          <w:iCs/>
          <w:color w:val="000000"/>
          <w:sz w:val="16"/>
          <w:szCs w:val="16"/>
        </w:rPr>
        <w:t xml:space="preserve">offers a convenient recalibration service to help users of vacuum measurement pirani/ thermocouple/ full range gauges to maintain all of their vacuum gauges in Certified and peak condition, regardless of the original manufacturer. All makes of vacuum gauges can also be calibrated / repaired if required. 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bCs/>
          <w:i/>
          <w:iCs/>
          <w:color w:val="000000"/>
          <w:sz w:val="16"/>
          <w:szCs w:val="16"/>
        </w:rPr>
      </w:pPr>
      <w:r>
        <w:rPr>
          <w:rFonts w:cs="Arial"/>
          <w:b/>
          <w:bCs/>
          <w:i/>
          <w:iCs/>
          <w:color w:val="000000"/>
          <w:sz w:val="16"/>
          <w:szCs w:val="16"/>
        </w:rPr>
        <w:t xml:space="preserve">The calibration certificates are available only on request at additional cost. Pl contact before ordering. 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  <w:sz w:val="20"/>
          <w:szCs w:val="20"/>
        </w:rPr>
      </w:pPr>
    </w:p>
    <w:p>
      <w:pPr>
        <w:pStyle w:val="7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31"/>
        </w:pBdr>
        <w:jc w:val="center"/>
        <w:rPr>
          <w:b/>
          <w:i/>
        </w:rPr>
      </w:pPr>
      <w:r>
        <w:rPr>
          <w:b/>
          <w:i/>
        </w:rPr>
        <w:t>UNIQUE VACUUM SOLUTIONS</w:t>
      </w:r>
    </w:p>
    <w:p>
      <w:pPr>
        <w:pStyle w:val="7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31"/>
        </w:pBdr>
        <w:jc w:val="center"/>
        <w:rPr>
          <w:b/>
          <w:sz w:val="20"/>
          <w:szCs w:val="20"/>
        </w:rPr>
      </w:pPr>
      <w:r>
        <w:rPr>
          <w:b/>
          <w:sz w:val="18"/>
          <w:szCs w:val="20"/>
        </w:rPr>
        <w:t>#57, 8</w:t>
      </w:r>
      <w:r>
        <w:rPr>
          <w:b/>
          <w:sz w:val="18"/>
          <w:szCs w:val="20"/>
          <w:vertAlign w:val="superscript"/>
        </w:rPr>
        <w:t>th</w:t>
      </w:r>
      <w:r>
        <w:rPr>
          <w:b/>
          <w:sz w:val="18"/>
          <w:szCs w:val="20"/>
        </w:rPr>
        <w:t xml:space="preserve"> cross, 1</w:t>
      </w:r>
      <w:r>
        <w:rPr>
          <w:b/>
          <w:sz w:val="18"/>
          <w:szCs w:val="20"/>
          <w:vertAlign w:val="superscript"/>
        </w:rPr>
        <w:t>st</w:t>
      </w:r>
      <w:r>
        <w:rPr>
          <w:b/>
          <w:sz w:val="18"/>
          <w:szCs w:val="20"/>
        </w:rPr>
        <w:t xml:space="preserve"> B cross, Doddanna industrial area main road, vishwaneedam post, Near Peenya 2</w:t>
      </w:r>
      <w:r>
        <w:rPr>
          <w:b/>
          <w:sz w:val="18"/>
          <w:szCs w:val="20"/>
          <w:vertAlign w:val="superscript"/>
        </w:rPr>
        <w:t>nd</w:t>
      </w:r>
      <w:r>
        <w:rPr>
          <w:b/>
          <w:sz w:val="18"/>
          <w:szCs w:val="20"/>
        </w:rPr>
        <w:t xml:space="preserve"> stage, Bangalore -560091</w:t>
      </w:r>
    </w:p>
    <w:p>
      <w:pPr>
        <w:pStyle w:val="7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31"/>
        </w:pBdr>
        <w:jc w:val="center"/>
        <w:rPr>
          <w:b/>
          <w:i/>
        </w:rPr>
      </w:pPr>
      <w:r>
        <w:rPr>
          <w:b/>
        </w:rPr>
        <w:t xml:space="preserve">Ph: 080-28367059, +91-9886726920. </w:t>
      </w:r>
      <w:r>
        <w:fldChar w:fldCharType="begin"/>
      </w:r>
      <w:r>
        <w:instrText xml:space="preserve"> HYPERLINK "mailto:support@uniquevacuum.co.in" </w:instrText>
      </w:r>
      <w:r>
        <w:fldChar w:fldCharType="separate"/>
      </w:r>
      <w:r>
        <w:rPr>
          <w:rStyle w:val="5"/>
          <w:rFonts w:ascii="Calibri" w:hAnsi="Calibri"/>
        </w:rPr>
        <w:t>support@uniquevacuum.co.in</w:t>
      </w:r>
      <w:r>
        <w:rPr>
          <w:rStyle w:val="5"/>
          <w:rFonts w:ascii="Calibri" w:hAnsi="Calibri"/>
        </w:rPr>
        <w:fldChar w:fldCharType="end"/>
      </w:r>
      <w:r>
        <w:t xml:space="preserve">, </w:t>
      </w:r>
      <w:r>
        <w:fldChar w:fldCharType="begin"/>
      </w:r>
      <w:r>
        <w:instrText xml:space="preserve"> HYPERLINK "http://www.uniquevacuum.co.in" </w:instrText>
      </w:r>
      <w:r>
        <w:fldChar w:fldCharType="separate"/>
      </w:r>
      <w:r>
        <w:rPr>
          <w:rStyle w:val="5"/>
          <w:rFonts w:ascii="Calibri" w:hAnsi="Calibri"/>
          <w:b/>
          <w:bCs/>
          <w:i/>
          <w:iCs/>
        </w:rPr>
        <w:t>www.uniquevacuum.co.in</w:t>
      </w:r>
      <w:r>
        <w:rPr>
          <w:rStyle w:val="5"/>
          <w:rFonts w:ascii="Calibri" w:hAnsi="Calibri"/>
          <w:b/>
          <w:bCs/>
          <w:i/>
          <w:iCs/>
        </w:rPr>
        <w:fldChar w:fldCharType="end"/>
      </w:r>
    </w:p>
    <w:sectPr>
      <w:pgSz w:w="11906" w:h="16838"/>
      <w:pgMar w:top="270" w:right="926" w:bottom="36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00000000" w:usb1="00000000" w:usb2="00000000" w:usb3="00000000" w:csb0="00000000" w:csb1="00000000"/>
  </w:font>
  <w:font w:name="Kartika">
    <w:altName w:val="苹方-简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CRYQUM+HelveticaNeue-Condensed">
    <w:altName w:val="苹方-简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HFWUMC+HelveticaNeue-Bold">
    <w:altName w:val="苹方-简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Rockwell">
    <w:panose1 w:val="02060503020205020403"/>
    <w:charset w:val="00"/>
    <w:family w:val="roman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6F5A"/>
    <w:rsid w:val="00027E9A"/>
    <w:rsid w:val="00030FD5"/>
    <w:rsid w:val="00076E5F"/>
    <w:rsid w:val="0009252B"/>
    <w:rsid w:val="00094C2B"/>
    <w:rsid w:val="000A44F2"/>
    <w:rsid w:val="000B2D41"/>
    <w:rsid w:val="000C7BD0"/>
    <w:rsid w:val="000D78C9"/>
    <w:rsid w:val="0011251C"/>
    <w:rsid w:val="00135FC8"/>
    <w:rsid w:val="0014471D"/>
    <w:rsid w:val="00151EE4"/>
    <w:rsid w:val="0016621B"/>
    <w:rsid w:val="0017717D"/>
    <w:rsid w:val="001A6F5A"/>
    <w:rsid w:val="001A712D"/>
    <w:rsid w:val="001D4254"/>
    <w:rsid w:val="001E6171"/>
    <w:rsid w:val="001F1230"/>
    <w:rsid w:val="00216BC3"/>
    <w:rsid w:val="00230F94"/>
    <w:rsid w:val="00250FDF"/>
    <w:rsid w:val="0026568E"/>
    <w:rsid w:val="00273CF4"/>
    <w:rsid w:val="002779CF"/>
    <w:rsid w:val="002B409F"/>
    <w:rsid w:val="002C4E59"/>
    <w:rsid w:val="002C76D6"/>
    <w:rsid w:val="002E52CD"/>
    <w:rsid w:val="00316AEE"/>
    <w:rsid w:val="003276EB"/>
    <w:rsid w:val="003322E7"/>
    <w:rsid w:val="0034099A"/>
    <w:rsid w:val="0034442C"/>
    <w:rsid w:val="0035233B"/>
    <w:rsid w:val="0036183D"/>
    <w:rsid w:val="003622B9"/>
    <w:rsid w:val="0036463C"/>
    <w:rsid w:val="0037049A"/>
    <w:rsid w:val="00377122"/>
    <w:rsid w:val="003D3C90"/>
    <w:rsid w:val="003D40F6"/>
    <w:rsid w:val="003F20CD"/>
    <w:rsid w:val="00422050"/>
    <w:rsid w:val="00465B51"/>
    <w:rsid w:val="0048343A"/>
    <w:rsid w:val="004B4DB3"/>
    <w:rsid w:val="004C6579"/>
    <w:rsid w:val="004F7D30"/>
    <w:rsid w:val="00504A65"/>
    <w:rsid w:val="00507DDB"/>
    <w:rsid w:val="00513853"/>
    <w:rsid w:val="005174B6"/>
    <w:rsid w:val="00570B9A"/>
    <w:rsid w:val="005F05FA"/>
    <w:rsid w:val="005F43C8"/>
    <w:rsid w:val="006420C3"/>
    <w:rsid w:val="00642A6D"/>
    <w:rsid w:val="006643E3"/>
    <w:rsid w:val="0067223B"/>
    <w:rsid w:val="006A2365"/>
    <w:rsid w:val="006F5CB2"/>
    <w:rsid w:val="00754E15"/>
    <w:rsid w:val="00782B75"/>
    <w:rsid w:val="007930E7"/>
    <w:rsid w:val="007D1F91"/>
    <w:rsid w:val="007E4791"/>
    <w:rsid w:val="00801D14"/>
    <w:rsid w:val="0081685F"/>
    <w:rsid w:val="00843BA5"/>
    <w:rsid w:val="008C2BA8"/>
    <w:rsid w:val="00916F04"/>
    <w:rsid w:val="00930B9C"/>
    <w:rsid w:val="00955C43"/>
    <w:rsid w:val="00963E47"/>
    <w:rsid w:val="00973DC8"/>
    <w:rsid w:val="009C478D"/>
    <w:rsid w:val="009E3C59"/>
    <w:rsid w:val="00A149EB"/>
    <w:rsid w:val="00A21D51"/>
    <w:rsid w:val="00A84784"/>
    <w:rsid w:val="00AA5BAE"/>
    <w:rsid w:val="00AD6E64"/>
    <w:rsid w:val="00B331F2"/>
    <w:rsid w:val="00B36B0E"/>
    <w:rsid w:val="00B44D28"/>
    <w:rsid w:val="00B61093"/>
    <w:rsid w:val="00B65547"/>
    <w:rsid w:val="00B83A48"/>
    <w:rsid w:val="00B91869"/>
    <w:rsid w:val="00B94E76"/>
    <w:rsid w:val="00BC0AFB"/>
    <w:rsid w:val="00BD7775"/>
    <w:rsid w:val="00C11589"/>
    <w:rsid w:val="00C465C1"/>
    <w:rsid w:val="00C727E7"/>
    <w:rsid w:val="00C770CD"/>
    <w:rsid w:val="00C9386F"/>
    <w:rsid w:val="00CA0AE8"/>
    <w:rsid w:val="00CB578D"/>
    <w:rsid w:val="00CE50EB"/>
    <w:rsid w:val="00D12BC7"/>
    <w:rsid w:val="00D32EE8"/>
    <w:rsid w:val="00D87047"/>
    <w:rsid w:val="00D96774"/>
    <w:rsid w:val="00DB513F"/>
    <w:rsid w:val="00DC10D8"/>
    <w:rsid w:val="00E2685A"/>
    <w:rsid w:val="00E37E52"/>
    <w:rsid w:val="00E80AB9"/>
    <w:rsid w:val="00E85AE2"/>
    <w:rsid w:val="00E95358"/>
    <w:rsid w:val="00F2513E"/>
    <w:rsid w:val="00F54D73"/>
    <w:rsid w:val="00F575C4"/>
    <w:rsid w:val="00F61A24"/>
    <w:rsid w:val="00F86950"/>
    <w:rsid w:val="00F947F7"/>
    <w:rsid w:val="00FC6490"/>
    <w:rsid w:val="00FE5C59"/>
    <w:rsid w:val="5BF7C4A1"/>
    <w:rsid w:val="7BBA6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9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5">
    <w:name w:val="Hyperlink"/>
    <w:basedOn w:val="2"/>
    <w:unhideWhenUsed/>
    <w:uiPriority w:val="99"/>
    <w:rPr>
      <w:color w:val="0000FF"/>
      <w:u w:val="single"/>
    </w:rPr>
  </w:style>
  <w:style w:type="table" w:styleId="6">
    <w:name w:val="Light Grid Accent 2"/>
    <w:basedOn w:val="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paragraph" w:styleId="7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customStyle="1" w:styleId="8">
    <w:name w:val="Revision"/>
    <w:hidden/>
    <w:semiHidden/>
    <w:uiPriority w:val="99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customStyle="1" w:styleId="9">
    <w:name w:val="Balloon Text Char"/>
    <w:basedOn w:val="2"/>
    <w:link w:val="4"/>
    <w:semiHidden/>
    <w:uiPriority w:val="99"/>
    <w:rPr>
      <w:rFonts w:ascii="Tahoma" w:hAnsi="Tahoma" w:cs="Tahoma"/>
      <w:sz w:val="16"/>
      <w:szCs w:val="16"/>
    </w:rPr>
  </w:style>
  <w:style w:type="character" w:customStyle="1" w:styleId="10">
    <w:name w:val="SC4002"/>
    <w:uiPriority w:val="99"/>
    <w:rPr>
      <w:rFonts w:cs="Times New Roman"/>
      <w:b/>
      <w:bCs/>
      <w:color w:val="000000"/>
      <w:sz w:val="48"/>
      <w:szCs w:val="48"/>
    </w:rPr>
  </w:style>
  <w:style w:type="paragraph" w:customStyle="1" w:styleId="11">
    <w:name w:val="SP122961"/>
    <w:basedOn w:val="1"/>
    <w:next w:val="1"/>
    <w:uiPriority w:val="99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Kartika"/>
      <w:sz w:val="24"/>
      <w:szCs w:val="24"/>
      <w:lang w:bidi="ml-IN"/>
    </w:rPr>
  </w:style>
  <w:style w:type="character" w:customStyle="1" w:styleId="12">
    <w:name w:val="SC4005"/>
    <w:uiPriority w:val="99"/>
    <w:rPr>
      <w:rFonts w:cs="Times New Roman"/>
      <w:color w:val="000000"/>
      <w:sz w:val="22"/>
      <w:szCs w:val="22"/>
    </w:rPr>
  </w:style>
  <w:style w:type="paragraph" w:customStyle="1" w:styleId="13">
    <w:name w:val="Default"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ml-IN"/>
    </w:rPr>
  </w:style>
  <w:style w:type="character" w:customStyle="1" w:styleId="14">
    <w:name w:val="SC4046"/>
    <w:uiPriority w:val="99"/>
    <w:rPr>
      <w:rFonts w:cs="Times New Roman"/>
      <w:color w:val="000000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A6"/>
    <w:uiPriority w:val="99"/>
    <w:rPr>
      <w:rFonts w:cs="CRYQUM+HelveticaNeue-Condensed"/>
      <w:color w:val="000000"/>
      <w:sz w:val="20"/>
      <w:szCs w:val="20"/>
    </w:rPr>
  </w:style>
  <w:style w:type="character" w:customStyle="1" w:styleId="17">
    <w:name w:val="A14"/>
    <w:uiPriority w:val="99"/>
    <w:rPr>
      <w:rFonts w:cs="CRYQUM+HelveticaNeue-Condensed"/>
      <w:color w:val="000000"/>
      <w:sz w:val="12"/>
      <w:szCs w:val="12"/>
    </w:rPr>
  </w:style>
  <w:style w:type="character" w:customStyle="1" w:styleId="18">
    <w:name w:val="Unresolved Mention"/>
    <w:basedOn w:val="2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468</Words>
  <Characters>2670</Characters>
  <Lines>22</Lines>
  <Paragraphs>6</Paragraphs>
  <TotalTime>4</TotalTime>
  <ScaleCrop>false</ScaleCrop>
  <LinksUpToDate>false</LinksUpToDate>
  <CharactersWithSpaces>3132</CharactersWithSpaces>
  <Application>WPS Office_4.9.0.7859_F1E327BC-269C-435d-A152-05C5408002CA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2022-04-14T15:24:00Z</dcterms:created>
  <dc:creator>unique vacuum</dc:creator>
  <cp:lastModifiedBy>nagendra</cp:lastModifiedBy>
  <cp:lastPrinted>2021-07-28T10:10:00Z</cp:lastPrinted>
  <dcterms:modified xsi:type="dcterms:W3CDTF">2023-02-12T01:59:58Z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-1450648234</vt:i4>
  </property>
  <property fmtid="{D5CDD505-2E9C-101B-9397-08002B2CF9AE}" pid="3" name="KSOProductBuildVer">
    <vt:lpwstr>1033-4.9.0.7859</vt:lpwstr>
  </property>
</Properties>
</file>