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66D0D">
      <w:r>
        <w:drawing>
          <wp:inline distT="0" distB="0" distL="114300" distR="114300">
            <wp:extent cx="834390" cy="882015"/>
            <wp:effectExtent l="0" t="0" r="381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834390" cy="882015"/>
                    </a:xfrm>
                    <a:prstGeom prst="rect">
                      <a:avLst/>
                    </a:prstGeom>
                    <a:noFill/>
                    <a:ln>
                      <a:noFill/>
                    </a:ln>
                  </pic:spPr>
                </pic:pic>
              </a:graphicData>
            </a:graphic>
          </wp:inline>
        </w:drawing>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drawing>
          <wp:inline distT="0" distB="0" distL="114300" distR="114300">
            <wp:extent cx="2936875" cy="877570"/>
            <wp:effectExtent l="0" t="0" r="9525" b="1143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rcRect t="25670" b="28302"/>
                    <a:stretch>
                      <a:fillRect/>
                    </a:stretch>
                  </pic:blipFill>
                  <pic:spPr>
                    <a:xfrm>
                      <a:off x="0" y="0"/>
                      <a:ext cx="2936875" cy="877570"/>
                    </a:xfrm>
                    <a:prstGeom prst="rect">
                      <a:avLst/>
                    </a:prstGeom>
                    <a:noFill/>
                    <a:ln>
                      <a:noFill/>
                    </a:ln>
                  </pic:spPr>
                </pic:pic>
              </a:graphicData>
            </a:graphic>
          </wp:inline>
        </w:drawing>
      </w:r>
    </w:p>
    <w:p w14:paraId="3C67F47E">
      <w:pPr>
        <w:rPr>
          <w:rFonts w:ascii="Verdana" w:hAnsi="Verdana"/>
          <w:b/>
          <w:i/>
          <w:sz w:val="28"/>
          <w:szCs w:val="28"/>
        </w:rPr>
      </w:pPr>
      <w:r>
        <w:rPr>
          <w:rFonts w:ascii="Verdana" w:hAnsi="Verdana"/>
          <w:b/>
          <w:i/>
          <w:sz w:val="28"/>
          <w:szCs w:val="28"/>
        </w:rPr>
        <w:t>HIGH VACUUM STANDARD PUMPING SYSTEMS:</w:t>
      </w:r>
    </w:p>
    <w:p w14:paraId="3599B752">
      <w:r>
        <w:t>Vacuum Pumping systems are the most reliable and cost-effective means for producing high vacuum. The vacuum pumping systems are trolley mounted for easy movement and has capable of achieving an ultimate vacuum of10</w:t>
      </w:r>
      <w:r>
        <w:rPr>
          <w:vertAlign w:val="superscript"/>
        </w:rPr>
        <w:t>-6</w:t>
      </w:r>
      <w:r>
        <w:t>  m.bar with Liquid nitrogen trap.</w:t>
      </w:r>
    </w:p>
    <w:p w14:paraId="7DCF3AAE">
      <w:r>
        <w:t>UVS offers many choices of vacuum pumping system, with different pumping speeds for  various  application, ranges from USP-65D, UPS-75D, UPS-100D,  USP- 150D, UPS-225F , UPS-300F and Custom built  suitable for the most of the vacuum applications.</w:t>
      </w:r>
      <w:r>
        <w:br w:type="textWrapping"/>
      </w: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566670" cy="3077210"/>
            <wp:effectExtent l="19050" t="0" r="5025" b="0"/>
            <wp:wrapSquare wrapText="bothSides"/>
            <wp:docPr id="1" name="Picture 1" descr="C:\Documents and Settings\utpath\Desktop\Vacuum-Pumping-System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Documents and Settings\utpath\Desktop\Vacuum-Pumping-System_big.jpg"/>
                    <pic:cNvPicPr>
                      <a:picLocks noChangeAspect="1" noChangeArrowheads="1"/>
                    </pic:cNvPicPr>
                  </pic:nvPicPr>
                  <pic:blipFill>
                    <a:blip r:embed="rId8"/>
                    <a:srcRect/>
                    <a:stretch>
                      <a:fillRect/>
                    </a:stretch>
                  </pic:blipFill>
                  <pic:spPr>
                    <a:xfrm>
                      <a:off x="0" y="0"/>
                      <a:ext cx="2566725" cy="3077154"/>
                    </a:xfrm>
                    <a:prstGeom prst="rect">
                      <a:avLst/>
                    </a:prstGeom>
                    <a:noFill/>
                    <a:ln w="9525">
                      <a:noFill/>
                      <a:miter lim="800000"/>
                      <a:headEnd/>
                      <a:tailEnd/>
                    </a:ln>
                  </pic:spPr>
                </pic:pic>
              </a:graphicData>
            </a:graphic>
          </wp:anchor>
        </w:drawing>
      </w:r>
    </w:p>
    <w:p w14:paraId="446EDFE6">
      <w:pPr>
        <w:pStyle w:val="9"/>
      </w:pPr>
      <w:r>
        <w:t xml:space="preserve">     The standard Vacuum Pumping Systems consists of UVS Rotary Vacuum Pump, Diffusion pumps and other hardware like valves, baffles, collar, gauge and plumbing lines with Pirani Gauge to measure the roughing and backing vacuum &amp; Penning gauge for measuring the high vacuum.  etc., </w:t>
      </w:r>
    </w:p>
    <w:p w14:paraId="4FCEA9DB">
      <w:pPr>
        <w:rPr>
          <w:rFonts w:ascii="Verdana" w:hAnsi="Verdana"/>
          <w:b/>
          <w:i/>
        </w:rPr>
      </w:pPr>
      <w:r>
        <w:rPr/>
        <w:br w:type="textWrapping" w:clear="all"/>
      </w:r>
      <w:r>
        <w:rPr>
          <w:rFonts w:ascii="Verdana" w:hAnsi="Verdana"/>
          <w:b/>
          <w:i/>
        </w:rPr>
        <w:t>TECHNICAL SPECIFICATIONS FOR UPS-100D :</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68"/>
        <w:gridCol w:w="3780"/>
      </w:tblGrid>
      <w:tr w14:paraId="2B2E2FD6">
        <w:tc>
          <w:tcPr>
            <w:tcW w:w="3168" w:type="dxa"/>
          </w:tcPr>
          <w:p w14:paraId="3A2C0652">
            <w:pPr>
              <w:pStyle w:val="9"/>
              <w:jc w:val="center"/>
              <w:rPr>
                <w:rFonts w:ascii="Arial Rounded MT Bold" w:hAnsi="Arial Rounded MT Bold"/>
                <w:b/>
              </w:rPr>
            </w:pPr>
            <w:r>
              <w:rPr>
                <w:rFonts w:ascii="Arial Rounded MT Bold" w:hAnsi="Arial Rounded MT Bold"/>
                <w:b/>
              </w:rPr>
              <w:t>PARAMETERS</w:t>
            </w:r>
          </w:p>
        </w:tc>
        <w:tc>
          <w:tcPr>
            <w:tcW w:w="3780" w:type="dxa"/>
          </w:tcPr>
          <w:p w14:paraId="11D39BC4">
            <w:pPr>
              <w:pStyle w:val="9"/>
              <w:jc w:val="center"/>
              <w:rPr>
                <w:rFonts w:ascii="Arial Rounded MT Bold" w:hAnsi="Arial Rounded MT Bold"/>
                <w:b/>
              </w:rPr>
            </w:pPr>
            <w:r>
              <w:rPr>
                <w:rFonts w:ascii="Arial Rounded MT Bold" w:hAnsi="Arial Rounded MT Bold"/>
                <w:b/>
              </w:rPr>
              <w:t>DETAILS</w:t>
            </w:r>
          </w:p>
        </w:tc>
      </w:tr>
      <w:tr w14:paraId="5179FD1D">
        <w:tc>
          <w:tcPr>
            <w:tcW w:w="3168" w:type="dxa"/>
          </w:tcPr>
          <w:p w14:paraId="1D824871">
            <w:pPr>
              <w:pStyle w:val="9"/>
              <w:rPr>
                <w:b/>
                <w:i/>
              </w:rPr>
            </w:pPr>
            <w:r>
              <w:rPr>
                <w:b/>
                <w:i/>
              </w:rPr>
              <w:t>Diffusion pump with DC 704 oil</w:t>
            </w:r>
          </w:p>
        </w:tc>
        <w:tc>
          <w:tcPr>
            <w:tcW w:w="3780" w:type="dxa"/>
          </w:tcPr>
          <w:p w14:paraId="6354E04D">
            <w:pPr>
              <w:pStyle w:val="9"/>
              <w:rPr>
                <w:b/>
                <w:i/>
              </w:rPr>
            </w:pPr>
            <w:r>
              <w:rPr>
                <w:b/>
                <w:i/>
              </w:rPr>
              <w:t>OD-114D diffstak 280LPS (un baffled)</w:t>
            </w:r>
          </w:p>
        </w:tc>
      </w:tr>
      <w:tr w14:paraId="41A30195">
        <w:tc>
          <w:tcPr>
            <w:tcW w:w="3168" w:type="dxa"/>
          </w:tcPr>
          <w:p w14:paraId="67ACA8F3">
            <w:pPr>
              <w:autoSpaceDE w:val="0"/>
              <w:autoSpaceDN w:val="0"/>
              <w:adjustRightInd w:val="0"/>
              <w:spacing w:after="0" w:line="240" w:lineRule="auto"/>
              <w:rPr>
                <w:rFonts w:cs="Arial"/>
                <w:b/>
                <w:sz w:val="18"/>
                <w:szCs w:val="18"/>
              </w:rPr>
            </w:pPr>
            <w:r>
              <w:rPr>
                <w:rFonts w:cs="Arial"/>
                <w:b/>
                <w:sz w:val="18"/>
                <w:szCs w:val="18"/>
              </w:rPr>
              <w:t>Rotary Vacuum Pump Model:</w:t>
            </w:r>
          </w:p>
          <w:p w14:paraId="38A70DEE">
            <w:pPr>
              <w:pStyle w:val="9"/>
              <w:rPr>
                <w:b/>
                <w:i/>
              </w:rPr>
            </w:pPr>
            <w:r>
              <w:rPr>
                <w:rFonts w:cs="Arial"/>
                <w:b/>
                <w:sz w:val="18"/>
                <w:szCs w:val="18"/>
              </w:rPr>
              <w:t>Speed(Lit/Min.)</w:t>
            </w:r>
          </w:p>
        </w:tc>
        <w:tc>
          <w:tcPr>
            <w:tcW w:w="3780" w:type="dxa"/>
          </w:tcPr>
          <w:p w14:paraId="3B49474D">
            <w:pPr>
              <w:pStyle w:val="9"/>
              <w:rPr>
                <w:b/>
                <w:i/>
              </w:rPr>
            </w:pPr>
            <w:r>
              <w:rPr>
                <w:b/>
                <w:i/>
              </w:rPr>
              <w:t>URP-15</w:t>
            </w:r>
          </w:p>
          <w:p w14:paraId="7C9BD8F4">
            <w:pPr>
              <w:pStyle w:val="9"/>
              <w:rPr>
                <w:b/>
                <w:i/>
              </w:rPr>
            </w:pPr>
            <w:r>
              <w:rPr>
                <w:b/>
                <w:i/>
              </w:rPr>
              <w:t>280 LPM</w:t>
            </w:r>
          </w:p>
        </w:tc>
      </w:tr>
      <w:tr w14:paraId="6D9E91B3">
        <w:tc>
          <w:tcPr>
            <w:tcW w:w="3168" w:type="dxa"/>
          </w:tcPr>
          <w:p w14:paraId="1BBA8041">
            <w:pPr>
              <w:autoSpaceDE w:val="0"/>
              <w:autoSpaceDN w:val="0"/>
              <w:adjustRightInd w:val="0"/>
              <w:spacing w:after="0" w:line="240" w:lineRule="auto"/>
              <w:rPr>
                <w:rFonts w:cs="Arial"/>
                <w:b/>
                <w:sz w:val="18"/>
                <w:szCs w:val="18"/>
              </w:rPr>
            </w:pPr>
            <w:r>
              <w:rPr>
                <w:rFonts w:cs="Arial"/>
                <w:b/>
                <w:sz w:val="18"/>
                <w:szCs w:val="18"/>
              </w:rPr>
              <w:t>High Vacuum Valve</w:t>
            </w:r>
          </w:p>
          <w:p w14:paraId="5561C438">
            <w:pPr>
              <w:pStyle w:val="9"/>
              <w:rPr>
                <w:b/>
                <w:i/>
              </w:rPr>
            </w:pPr>
            <w:r>
              <w:rPr>
                <w:rFonts w:cs="Arial"/>
                <w:b/>
                <w:sz w:val="18"/>
                <w:szCs w:val="18"/>
              </w:rPr>
              <w:t>- Size (QSV)</w:t>
            </w:r>
          </w:p>
        </w:tc>
        <w:tc>
          <w:tcPr>
            <w:tcW w:w="3780" w:type="dxa"/>
          </w:tcPr>
          <w:p w14:paraId="4CAB3455">
            <w:pPr>
              <w:pStyle w:val="9"/>
              <w:rPr>
                <w:b/>
                <w:i/>
              </w:rPr>
            </w:pPr>
            <w:r>
              <w:rPr>
                <w:b/>
                <w:i/>
              </w:rPr>
              <w:t>QSV-4</w:t>
            </w:r>
          </w:p>
        </w:tc>
      </w:tr>
      <w:tr w14:paraId="33C3C065">
        <w:tc>
          <w:tcPr>
            <w:tcW w:w="3168" w:type="dxa"/>
          </w:tcPr>
          <w:p w14:paraId="65F910E9">
            <w:pPr>
              <w:pStyle w:val="9"/>
              <w:rPr>
                <w:b/>
                <w:i/>
              </w:rPr>
            </w:pPr>
            <w:r>
              <w:rPr>
                <w:rFonts w:cs="Arial"/>
                <w:b/>
                <w:sz w:val="18"/>
                <w:szCs w:val="18"/>
              </w:rPr>
              <w:t>Roughing, Backing Valves</w:t>
            </w:r>
          </w:p>
        </w:tc>
        <w:tc>
          <w:tcPr>
            <w:tcW w:w="3780" w:type="dxa"/>
          </w:tcPr>
          <w:p w14:paraId="2789300B">
            <w:pPr>
              <w:pStyle w:val="9"/>
              <w:rPr>
                <w:b/>
                <w:i/>
              </w:rPr>
            </w:pPr>
            <w:r>
              <w:rPr>
                <w:b/>
                <w:i/>
              </w:rPr>
              <w:t>QSV -1 – 2nos.</w:t>
            </w:r>
          </w:p>
        </w:tc>
      </w:tr>
      <w:tr w14:paraId="5FB9402F">
        <w:tc>
          <w:tcPr>
            <w:tcW w:w="3168" w:type="dxa"/>
          </w:tcPr>
          <w:p w14:paraId="5A86485D">
            <w:pPr>
              <w:autoSpaceDE w:val="0"/>
              <w:autoSpaceDN w:val="0"/>
              <w:adjustRightInd w:val="0"/>
              <w:spacing w:after="0" w:line="240" w:lineRule="auto"/>
              <w:rPr>
                <w:rFonts w:cs="Arial"/>
                <w:b/>
                <w:sz w:val="18"/>
                <w:szCs w:val="18"/>
              </w:rPr>
            </w:pPr>
            <w:r>
              <w:rPr>
                <w:rFonts w:cs="Arial"/>
                <w:b/>
                <w:sz w:val="18"/>
                <w:szCs w:val="18"/>
              </w:rPr>
              <w:t>Ultimate Vacuum- mbar (When</w:t>
            </w:r>
          </w:p>
          <w:p w14:paraId="4131CF03">
            <w:pPr>
              <w:autoSpaceDE w:val="0"/>
              <w:autoSpaceDN w:val="0"/>
              <w:adjustRightInd w:val="0"/>
              <w:spacing w:after="0" w:line="240" w:lineRule="auto"/>
              <w:rPr>
                <w:rFonts w:cs="Arial"/>
                <w:b/>
                <w:sz w:val="18"/>
                <w:szCs w:val="18"/>
              </w:rPr>
            </w:pPr>
            <w:r>
              <w:rPr>
                <w:rFonts w:cs="Arial"/>
                <w:b/>
                <w:sz w:val="18"/>
                <w:szCs w:val="18"/>
              </w:rPr>
              <w:t>Ln2 filled in the Liquid</w:t>
            </w:r>
          </w:p>
          <w:p w14:paraId="0429C648">
            <w:pPr>
              <w:pStyle w:val="9"/>
              <w:rPr>
                <w:b/>
                <w:i/>
              </w:rPr>
            </w:pPr>
            <w:r>
              <w:rPr>
                <w:rFonts w:cs="Arial"/>
                <w:b/>
                <w:sz w:val="18"/>
                <w:szCs w:val="18"/>
              </w:rPr>
              <w:t>Nitrogen Trap)</w:t>
            </w:r>
          </w:p>
        </w:tc>
        <w:tc>
          <w:tcPr>
            <w:tcW w:w="3780" w:type="dxa"/>
          </w:tcPr>
          <w:p w14:paraId="152F3FB2">
            <w:pPr>
              <w:pStyle w:val="9"/>
              <w:rPr>
                <w:b/>
                <w:i/>
              </w:rPr>
            </w:pPr>
            <w:r>
              <w:rPr>
                <w:b/>
                <w:i/>
              </w:rPr>
              <w:t>&gt;1.0E -6</w:t>
            </w:r>
          </w:p>
          <w:p w14:paraId="252D4695">
            <w:pPr>
              <w:pStyle w:val="9"/>
              <w:rPr>
                <w:b/>
                <w:i/>
              </w:rPr>
            </w:pPr>
            <w:r>
              <w:rPr>
                <w:rFonts w:cs="Arial"/>
                <w:b/>
                <w:sz w:val="18"/>
                <w:szCs w:val="18"/>
              </w:rPr>
              <w:t>with empty, clean &amp; degassed chamber</w:t>
            </w:r>
          </w:p>
          <w:p w14:paraId="007F5ACA">
            <w:pPr>
              <w:pStyle w:val="9"/>
              <w:rPr>
                <w:b/>
                <w:i/>
              </w:rPr>
            </w:pPr>
          </w:p>
        </w:tc>
      </w:tr>
      <w:tr w14:paraId="0EA4576A">
        <w:tc>
          <w:tcPr>
            <w:tcW w:w="3168" w:type="dxa"/>
          </w:tcPr>
          <w:p w14:paraId="4BDA5BE9">
            <w:pPr>
              <w:pStyle w:val="9"/>
              <w:rPr>
                <w:b/>
                <w:i/>
              </w:rPr>
            </w:pPr>
            <w:r>
              <w:rPr>
                <w:rFonts w:cs="Arial"/>
                <w:b/>
                <w:sz w:val="18"/>
                <w:szCs w:val="18"/>
              </w:rPr>
              <w:t>Inlet Collar Diameter</w:t>
            </w:r>
          </w:p>
        </w:tc>
        <w:tc>
          <w:tcPr>
            <w:tcW w:w="3780" w:type="dxa"/>
          </w:tcPr>
          <w:p w14:paraId="3D19E0A3">
            <w:pPr>
              <w:pStyle w:val="9"/>
              <w:rPr>
                <w:b/>
                <w:i/>
              </w:rPr>
            </w:pPr>
            <w:r>
              <w:rPr>
                <w:b/>
                <w:i/>
              </w:rPr>
              <w:t>114mm</w:t>
            </w:r>
          </w:p>
        </w:tc>
      </w:tr>
      <w:tr w14:paraId="69A477A2">
        <w:tc>
          <w:tcPr>
            <w:tcW w:w="3168" w:type="dxa"/>
          </w:tcPr>
          <w:p w14:paraId="461F39B4">
            <w:pPr>
              <w:autoSpaceDE w:val="0"/>
              <w:autoSpaceDN w:val="0"/>
              <w:adjustRightInd w:val="0"/>
              <w:spacing w:after="0" w:line="240" w:lineRule="auto"/>
              <w:rPr>
                <w:rFonts w:cs="Arial"/>
                <w:b/>
                <w:sz w:val="18"/>
                <w:szCs w:val="18"/>
              </w:rPr>
            </w:pPr>
            <w:r>
              <w:rPr>
                <w:rFonts w:cs="Arial"/>
                <w:b/>
                <w:sz w:val="18"/>
                <w:szCs w:val="18"/>
              </w:rPr>
              <w:t>Utilities Required - Power</w:t>
            </w:r>
          </w:p>
          <w:p w14:paraId="27307C46">
            <w:pPr>
              <w:autoSpaceDE w:val="0"/>
              <w:autoSpaceDN w:val="0"/>
              <w:adjustRightInd w:val="0"/>
              <w:spacing w:after="0" w:line="240" w:lineRule="auto"/>
              <w:rPr>
                <w:rFonts w:cs="Arial"/>
                <w:b/>
                <w:sz w:val="18"/>
                <w:szCs w:val="18"/>
              </w:rPr>
            </w:pPr>
            <w:r>
              <w:rPr>
                <w:rFonts w:cs="Arial"/>
                <w:b/>
                <w:sz w:val="18"/>
                <w:szCs w:val="18"/>
              </w:rPr>
              <w:t>- Cooling Water at 25</w:t>
            </w:r>
            <w:r>
              <w:rPr>
                <w:rFonts w:cs="Arial"/>
                <w:b/>
                <w:sz w:val="9"/>
                <w:szCs w:val="9"/>
              </w:rPr>
              <w:t xml:space="preserve">o </w:t>
            </w:r>
            <w:r>
              <w:rPr>
                <w:rFonts w:cs="Arial"/>
                <w:b/>
                <w:sz w:val="18"/>
                <w:szCs w:val="18"/>
              </w:rPr>
              <w:t>C</w:t>
            </w:r>
          </w:p>
          <w:p w14:paraId="337E55F7">
            <w:pPr>
              <w:pStyle w:val="9"/>
              <w:rPr>
                <w:b/>
                <w:i/>
              </w:rPr>
            </w:pPr>
            <w:r>
              <w:rPr>
                <w:rFonts w:cs="Arial"/>
                <w:b/>
                <w:sz w:val="18"/>
                <w:szCs w:val="18"/>
              </w:rPr>
              <w:t>at Pr.of 2-3 Kg/Cm</w:t>
            </w:r>
            <w:r>
              <w:rPr>
                <w:rFonts w:cs="Arial"/>
                <w:b/>
                <w:bCs/>
                <w:sz w:val="9"/>
                <w:szCs w:val="9"/>
              </w:rPr>
              <w:t>2</w:t>
            </w:r>
          </w:p>
        </w:tc>
        <w:tc>
          <w:tcPr>
            <w:tcW w:w="3780" w:type="dxa"/>
          </w:tcPr>
          <w:p w14:paraId="5D643750">
            <w:pPr>
              <w:autoSpaceDE w:val="0"/>
              <w:autoSpaceDN w:val="0"/>
              <w:adjustRightInd w:val="0"/>
              <w:spacing w:after="0" w:line="240" w:lineRule="auto"/>
              <w:rPr>
                <w:rFonts w:cs="Arial"/>
                <w:b/>
                <w:sz w:val="18"/>
                <w:szCs w:val="18"/>
              </w:rPr>
            </w:pPr>
            <w:r>
              <w:rPr>
                <w:rFonts w:cs="Arial"/>
                <w:b/>
                <w:sz w:val="18"/>
                <w:szCs w:val="18"/>
              </w:rPr>
              <w:t>230 V - 50Hz,1 Phase,10 A</w:t>
            </w:r>
          </w:p>
          <w:p w14:paraId="24271DEB">
            <w:pPr>
              <w:pStyle w:val="9"/>
              <w:rPr>
                <w:b/>
                <w:i/>
              </w:rPr>
            </w:pPr>
            <w:r>
              <w:rPr>
                <w:rFonts w:cs="Arial"/>
                <w:b/>
                <w:sz w:val="18"/>
                <w:szCs w:val="18"/>
              </w:rPr>
              <w:t>2 ltr/min</w:t>
            </w:r>
          </w:p>
        </w:tc>
      </w:tr>
    </w:tbl>
    <w:p w14:paraId="385329ED">
      <w:pPr>
        <w:pStyle w:val="9"/>
        <w:rPr>
          <w:rFonts w:ascii="Verdana" w:hAnsi="Verdana"/>
          <w:b/>
          <w:i/>
        </w:rPr>
      </w:pPr>
    </w:p>
    <w:p w14:paraId="7CAF3792">
      <w:pPr>
        <w:pStyle w:val="9"/>
        <w:rPr>
          <w:b/>
          <w:bCs/>
          <w:i/>
          <w:iCs/>
          <w:color w:val="FF0000"/>
          <w:sz w:val="36"/>
          <w:szCs w:val="36"/>
        </w:rPr>
      </w:pPr>
      <w:r>
        <w:rPr>
          <w:b/>
          <w:bCs/>
          <w:i/>
          <w:iCs/>
          <w:color w:val="FF0000"/>
          <w:sz w:val="36"/>
          <w:szCs w:val="36"/>
        </w:rPr>
        <w:t>UNIQUE VACUUM SOLUTIONS</w:t>
      </w:r>
    </w:p>
    <w:tbl>
      <w:tblPr>
        <w:tblStyle w:val="3"/>
        <w:tblW w:w="104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480"/>
      </w:tblGrid>
      <w:tr w14:paraId="0E362D09">
        <w:tc>
          <w:tcPr>
            <w:tcW w:w="10480" w:type="dxa"/>
            <w:shd w:val="clear" w:color="auto" w:fill="auto"/>
            <w:tcMar>
              <w:left w:w="450" w:type="dxa"/>
              <w:bottom w:w="90" w:type="dxa"/>
            </w:tcMar>
            <w:vAlign w:val="center"/>
          </w:tcPr>
          <w:p w14:paraId="351AAED7">
            <w:pPr>
              <w:keepNext w:val="0"/>
              <w:keepLines w:val="0"/>
              <w:widowControl/>
              <w:suppressLineNumbers w:val="0"/>
              <w:spacing w:before="0" w:beforeAutospacing="0" w:after="0" w:afterAutospacing="0"/>
              <w:ind w:left="0" w:right="0"/>
              <w:jc w:val="left"/>
              <w:rPr>
                <w:rFonts w:hint="default" w:eastAsia="Times New Roman" w:cs="Arial" w:asciiTheme="minorAscii" w:hAnsiTheme="minorAscii"/>
                <w:color w:val="010100"/>
                <w:kern w:val="0"/>
                <w:sz w:val="15"/>
                <w:szCs w:val="15"/>
                <w:lang w:val="en-US" w:eastAsia="en-US" w:bidi="ar"/>
              </w:rPr>
            </w:pPr>
            <w:r>
              <w:rPr>
                <w:rFonts w:hint="default" w:eastAsia="Times New Roman" w:cs="Arial" w:asciiTheme="minorAscii" w:hAnsiTheme="minorAscii"/>
                <w:b/>
                <w:bCs/>
                <w:color w:val="010100"/>
                <w:kern w:val="0"/>
                <w:sz w:val="15"/>
                <w:szCs w:val="15"/>
                <w:lang w:val="en-US" w:eastAsia="en-US" w:bidi="ar"/>
              </w:rPr>
              <w:t>E:</w:t>
            </w:r>
            <w:r>
              <w:rPr>
                <w:rFonts w:hint="default" w:eastAsia="Times New Roman" w:cs="Arial" w:asciiTheme="minorAscii" w:hAnsiTheme="minorAscii"/>
                <w:color w:val="444444"/>
                <w:kern w:val="0"/>
                <w:sz w:val="15"/>
                <w:szCs w:val="15"/>
                <w:lang w:val="en-US" w:eastAsia="en-US" w:bidi="ar"/>
              </w:rPr>
              <w:t> </w:t>
            </w:r>
            <w:r>
              <w:rPr>
                <w:rFonts w:hint="default" w:eastAsia="Times New Roman" w:cs="Arial" w:asciiTheme="minorAscii" w:hAnsiTheme="minorAscii"/>
                <w:kern w:val="0"/>
                <w:sz w:val="15"/>
                <w:szCs w:val="15"/>
                <w:lang w:val="en-US" w:eastAsia="en-US" w:bidi="ar"/>
              </w:rPr>
              <w:fldChar w:fldCharType="begin"/>
            </w:r>
            <w:r>
              <w:rPr>
                <w:rFonts w:hint="default" w:eastAsia="Times New Roman" w:cs="Arial" w:asciiTheme="minorAscii" w:hAnsiTheme="minorAscii"/>
                <w:kern w:val="0"/>
                <w:sz w:val="15"/>
                <w:szCs w:val="15"/>
                <w:lang w:val="en-US" w:eastAsia="en-US" w:bidi="ar"/>
              </w:rPr>
              <w:instrText xml:space="preserve"> HYPERLINK "mailto:nagendrautpath@uniquevacuum.co.in" \o "mailto:nagendrautpath@uniquevacuum.co.in" </w:instrText>
            </w:r>
            <w:r>
              <w:rPr>
                <w:rFonts w:hint="default" w:eastAsia="Times New Roman" w:cs="Arial" w:asciiTheme="minorAscii" w:hAnsiTheme="minorAscii"/>
                <w:kern w:val="0"/>
                <w:sz w:val="15"/>
                <w:szCs w:val="15"/>
                <w:lang w:val="en-US" w:eastAsia="en-US" w:bidi="ar"/>
              </w:rPr>
              <w:fldChar w:fldCharType="separate"/>
            </w:r>
            <w:r>
              <w:rPr>
                <w:rStyle w:val="5"/>
                <w:rFonts w:hint="default" w:eastAsia="Times New Roman" w:cs="Arial" w:asciiTheme="minorAscii" w:hAnsiTheme="minorAscii"/>
                <w:color w:val="010100"/>
                <w:kern w:val="0"/>
                <w:sz w:val="15"/>
                <w:szCs w:val="15"/>
                <w:u w:val="none"/>
                <w:lang w:eastAsia="en-US"/>
              </w:rPr>
              <w:t>nagendrautpath@uniquevacuum.co.in</w:t>
            </w:r>
            <w:r>
              <w:rPr>
                <w:rFonts w:hint="default" w:eastAsia="Times New Roman" w:cs="Arial" w:asciiTheme="minorAscii" w:hAnsiTheme="minorAscii"/>
                <w:kern w:val="0"/>
                <w:sz w:val="15"/>
                <w:szCs w:val="15"/>
                <w:lang w:val="en-US" w:eastAsia="en-US" w:bidi="ar"/>
              </w:rPr>
              <w:fldChar w:fldCharType="end"/>
            </w:r>
            <w:r>
              <w:rPr>
                <w:rFonts w:hint="default" w:eastAsia="Times New Roman" w:cs="Arial" w:asciiTheme="minorAscii" w:hAnsiTheme="minorAscii"/>
                <w:color w:val="444444"/>
                <w:kern w:val="0"/>
                <w:sz w:val="15"/>
                <w:szCs w:val="15"/>
                <w:lang w:val="en-US" w:eastAsia="en-US" w:bidi="ar"/>
              </w:rPr>
              <w:br w:type="textWrapping"/>
            </w:r>
            <w:r>
              <w:rPr>
                <w:rFonts w:hint="default" w:eastAsia="Times New Roman" w:cs="Arial" w:asciiTheme="minorAscii" w:hAnsiTheme="minorAscii"/>
                <w:b/>
                <w:bCs/>
                <w:color w:val="010100"/>
                <w:kern w:val="0"/>
                <w:sz w:val="15"/>
                <w:szCs w:val="15"/>
                <w:lang w:val="en-US" w:eastAsia="en-US" w:bidi="ar"/>
              </w:rPr>
              <w:t>M:</w:t>
            </w:r>
            <w:r>
              <w:rPr>
                <w:rFonts w:hint="default" w:eastAsia="Times New Roman" w:cs="Arial" w:asciiTheme="minorAscii" w:hAnsiTheme="minorAscii"/>
                <w:color w:val="010100"/>
                <w:kern w:val="0"/>
                <w:sz w:val="15"/>
                <w:szCs w:val="15"/>
                <w:lang w:val="en-US" w:eastAsia="en-US" w:bidi="ar"/>
              </w:rPr>
              <w:t> +91 9886726920</w:t>
            </w:r>
            <w:r>
              <w:rPr>
                <w:rFonts w:hint="default" w:eastAsia="Times New Roman" w:cs="Arial" w:asciiTheme="minorAscii" w:hAnsiTheme="minorAscii"/>
                <w:color w:val="010100"/>
                <w:kern w:val="0"/>
                <w:sz w:val="15"/>
                <w:szCs w:val="15"/>
                <w:lang w:val="en-US" w:eastAsia="en-US" w:bidi="ar"/>
              </w:rPr>
              <w:br w:type="textWrapping"/>
            </w:r>
            <w:r>
              <w:rPr>
                <w:rFonts w:hint="default" w:eastAsia="Times New Roman" w:cs="Arial" w:asciiTheme="minorAscii" w:hAnsiTheme="minorAscii"/>
                <w:b/>
                <w:bCs/>
                <w:color w:val="010100"/>
                <w:kern w:val="0"/>
                <w:sz w:val="15"/>
                <w:szCs w:val="15"/>
                <w:lang w:val="en-US" w:eastAsia="en-US" w:bidi="ar"/>
              </w:rPr>
              <w:t>P:</w:t>
            </w:r>
            <w:r>
              <w:rPr>
                <w:rFonts w:hint="default" w:eastAsia="Times New Roman" w:cs="Arial" w:asciiTheme="minorAscii" w:hAnsiTheme="minorAscii"/>
                <w:color w:val="010100"/>
                <w:kern w:val="0"/>
                <w:sz w:val="15"/>
                <w:szCs w:val="15"/>
                <w:lang w:val="en-US" w:eastAsia="en-US" w:bidi="ar"/>
              </w:rPr>
              <w:t> 080-28367059</w:t>
            </w:r>
            <w:r>
              <w:rPr>
                <w:rFonts w:hint="default" w:eastAsia="Times New Roman" w:cs="Arial" w:asciiTheme="minorAscii" w:hAnsiTheme="minorAscii"/>
                <w:color w:val="010100"/>
                <w:kern w:val="0"/>
                <w:sz w:val="15"/>
                <w:szCs w:val="15"/>
                <w:lang w:val="en-US" w:eastAsia="en-US" w:bidi="ar"/>
              </w:rPr>
              <w:br w:type="textWrapping"/>
            </w:r>
            <w:r>
              <w:rPr>
                <w:rFonts w:hint="default" w:eastAsia="Times New Roman" w:cs="Arial" w:asciiTheme="minorAscii" w:hAnsiTheme="minorAscii"/>
                <w:b/>
                <w:bCs/>
                <w:color w:val="010100"/>
                <w:kern w:val="0"/>
                <w:sz w:val="15"/>
                <w:szCs w:val="15"/>
                <w:lang w:val="en-US" w:eastAsia="en-US" w:bidi="ar"/>
              </w:rPr>
              <w:t>A:</w:t>
            </w:r>
            <w:r>
              <w:rPr>
                <w:rFonts w:hint="default" w:eastAsia="Times New Roman" w:cs="Arial" w:asciiTheme="minorAscii" w:hAnsiTheme="minorAscii"/>
                <w:color w:val="444444"/>
                <w:kern w:val="0"/>
                <w:sz w:val="15"/>
                <w:szCs w:val="15"/>
                <w:lang w:val="en-US" w:eastAsia="en-US" w:bidi="ar"/>
              </w:rPr>
              <w:t> </w:t>
            </w:r>
            <w:r>
              <w:rPr>
                <w:rFonts w:hint="default" w:eastAsia="Times New Roman" w:cs="Arial" w:asciiTheme="minorAscii" w:hAnsiTheme="minorAscii"/>
                <w:color w:val="010100"/>
                <w:kern w:val="0"/>
                <w:sz w:val="15"/>
                <w:szCs w:val="15"/>
                <w:lang w:val="en-US" w:eastAsia="en-US" w:bidi="ar"/>
              </w:rPr>
              <w:t>Unique Vacuum Solutions,</w:t>
            </w:r>
            <w:r>
              <w:rPr>
                <w:rFonts w:hint="default" w:eastAsia="Times New Roman" w:cs="Arial" w:asciiTheme="minorAscii" w:hAnsiTheme="minorAscii"/>
                <w:color w:val="444444"/>
                <w:kern w:val="0"/>
                <w:sz w:val="15"/>
                <w:szCs w:val="15"/>
                <w:lang w:val="en-US" w:eastAsia="en-US" w:bidi="ar"/>
              </w:rPr>
              <w:t> </w:t>
            </w:r>
            <w:r>
              <w:rPr>
                <w:rFonts w:hint="default" w:eastAsia="Times New Roman" w:cs="Arial" w:asciiTheme="minorAscii" w:hAnsiTheme="minorAscii"/>
                <w:color w:val="010100"/>
                <w:kern w:val="0"/>
                <w:sz w:val="15"/>
                <w:szCs w:val="15"/>
                <w:lang w:val="en-US" w:eastAsia="en-US" w:bidi="ar"/>
              </w:rPr>
              <w:t>#57 8th cross 1st b cross, Doddanna Industrial Estate, Vishwaneedam Post, Peenya 2nd stage, Bengaluru 560091</w:t>
            </w:r>
          </w:p>
          <w:p w14:paraId="47D9D6EB">
            <w:pPr>
              <w:keepNext w:val="0"/>
              <w:keepLines w:val="0"/>
              <w:widowControl/>
              <w:suppressLineNumbers w:val="0"/>
              <w:spacing w:before="0" w:beforeAutospacing="0" w:after="0" w:afterAutospacing="0"/>
              <w:ind w:left="0" w:right="0"/>
              <w:jc w:val="left"/>
              <w:rPr>
                <w:rFonts w:hint="default" w:eastAsia="Times New Roman" w:cs="Arial" w:asciiTheme="minorAscii" w:hAnsiTheme="minorAscii"/>
                <w:color w:val="010100"/>
                <w:kern w:val="0"/>
                <w:sz w:val="15"/>
                <w:szCs w:val="15"/>
                <w:lang w:val="en-US" w:eastAsia="en-US" w:bidi="ar"/>
              </w:rPr>
            </w:pPr>
            <w:r>
              <w:rPr>
                <w:rFonts w:hint="eastAsia"/>
                <w:b/>
                <w:bCs/>
                <w:color w:val="FF0000"/>
                <w:kern w:val="2"/>
                <w:sz w:val="24"/>
                <w:szCs w:val="24"/>
                <w:lang w:val="en-US"/>
              </w:rPr>
              <w:t>w</w:t>
            </w:r>
            <w:r>
              <w:rPr>
                <w:rFonts w:hint="default"/>
                <w:b/>
                <w:bCs/>
                <w:color w:val="FF0000"/>
                <w:kern w:val="2"/>
                <w:sz w:val="24"/>
                <w:szCs w:val="24"/>
                <w:lang w:val="en-US"/>
              </w:rPr>
              <w:t>ww.uniquevacuum.co.in</w:t>
            </w:r>
          </w:p>
        </w:tc>
      </w:tr>
    </w:tbl>
    <w:p w14:paraId="5982E6B7">
      <w:pPr>
        <w:rPr>
          <w:rFonts w:hint="default"/>
          <w:lang w:val="en-US"/>
        </w:rPr>
      </w:pPr>
      <w:r>
        <w:rPr>
          <w:rFonts w:hint="default" w:ascii="Verdana" w:hAnsi="Verdana"/>
          <w:b/>
          <w:i/>
          <w:sz w:val="28"/>
          <w:szCs w:val="28"/>
          <w:lang w:val="en-US"/>
        </w:rPr>
        <w:t xml:space="preserve">FULLY AUTOMATED </w:t>
      </w:r>
      <w:r>
        <w:rPr>
          <w:rFonts w:ascii="Verdana" w:hAnsi="Verdana"/>
          <w:b/>
          <w:i/>
          <w:sz w:val="28"/>
          <w:szCs w:val="28"/>
        </w:rPr>
        <w:t>HIGH VACUUM STANDARD PUMPING SYSTEMS</w:t>
      </w:r>
      <w:r>
        <w:rPr>
          <w:rFonts w:hint="default" w:ascii="Verdana" w:hAnsi="Verdana"/>
          <w:b/>
          <w:i/>
          <w:sz w:val="28"/>
          <w:szCs w:val="28"/>
          <w:lang w:val="en-US"/>
        </w:rPr>
        <w:t xml:space="preserve"> FOR PRODUCTION APPLICATIONS.</w:t>
      </w:r>
    </w:p>
    <w:p w14:paraId="5F84B779">
      <w:pPr>
        <w:tabs>
          <w:tab w:val="left" w:pos="1139"/>
        </w:tabs>
        <w:rPr>
          <w:rFonts w:hint="default"/>
          <w:lang w:val="en-US"/>
        </w:rPr>
      </w:pPr>
      <w:r>
        <w:rPr>
          <w:rFonts w:hint="default"/>
          <w:lang w:val="en-US"/>
        </w:rPr>
        <w:drawing>
          <wp:inline distT="0" distB="0" distL="114300" distR="114300">
            <wp:extent cx="1995170" cy="3510915"/>
            <wp:effectExtent l="0" t="0" r="11430" b="19685"/>
            <wp:docPr id="6" name="Picture 6" descr="IMG_7135-remov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7135-removebg"/>
                    <pic:cNvPicPr>
                      <a:picLocks noChangeAspect="1"/>
                    </pic:cNvPicPr>
                  </pic:nvPicPr>
                  <pic:blipFill>
                    <a:blip r:embed="rId9"/>
                    <a:srcRect l="16321" t="13123" r="24882" b="9278"/>
                    <a:stretch>
                      <a:fillRect/>
                    </a:stretch>
                  </pic:blipFill>
                  <pic:spPr>
                    <a:xfrm>
                      <a:off x="0" y="0"/>
                      <a:ext cx="1995170" cy="3510915"/>
                    </a:xfrm>
                    <a:prstGeom prst="rect">
                      <a:avLst/>
                    </a:prstGeom>
                  </pic:spPr>
                </pic:pic>
              </a:graphicData>
            </a:graphic>
          </wp:inline>
        </w:drawing>
      </w:r>
      <w:r>
        <w:rPr>
          <w:rFonts w:hint="default"/>
          <w:lang w:val="en-US"/>
        </w:rPr>
        <w:drawing>
          <wp:inline distT="0" distB="0" distL="114300" distR="114300">
            <wp:extent cx="2430780" cy="1804670"/>
            <wp:effectExtent l="0" t="0" r="7620" b="24130"/>
            <wp:docPr id="8" name="Picture 8" descr="IMG_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7063"/>
                    <pic:cNvPicPr>
                      <a:picLocks noChangeAspect="1"/>
                    </pic:cNvPicPr>
                  </pic:nvPicPr>
                  <pic:blipFill>
                    <a:blip r:embed="rId10"/>
                    <a:srcRect r="1990" b="2981"/>
                    <a:stretch>
                      <a:fillRect/>
                    </a:stretch>
                  </pic:blipFill>
                  <pic:spPr>
                    <a:xfrm>
                      <a:off x="0" y="0"/>
                      <a:ext cx="2430780" cy="1804670"/>
                    </a:xfrm>
                    <a:prstGeom prst="rect">
                      <a:avLst/>
                    </a:prstGeom>
                  </pic:spPr>
                </pic:pic>
              </a:graphicData>
            </a:graphic>
          </wp:inline>
        </w:drawing>
      </w:r>
    </w:p>
    <w:p w14:paraId="4AD855D8">
      <w:pPr>
        <w:tabs>
          <w:tab w:val="left" w:pos="1139"/>
        </w:tabs>
        <w:rPr>
          <w:rFonts w:hint="default"/>
          <w:lang w:val="en-US"/>
        </w:rPr>
      </w:pPr>
      <w:r>
        <w:rPr>
          <w:rFonts w:hint="default"/>
          <w:lang w:val="en-US"/>
        </w:rPr>
        <w:drawing>
          <wp:inline distT="0" distB="0" distL="114300" distR="114300">
            <wp:extent cx="3027045" cy="2132330"/>
            <wp:effectExtent l="0" t="0" r="20955" b="1270"/>
            <wp:docPr id="9" name="Picture 9" descr="IMG_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7072"/>
                    <pic:cNvPicPr>
                      <a:picLocks noChangeAspect="1"/>
                    </pic:cNvPicPr>
                  </pic:nvPicPr>
                  <pic:blipFill>
                    <a:blip r:embed="rId11"/>
                    <a:srcRect t="6076"/>
                    <a:stretch>
                      <a:fillRect/>
                    </a:stretch>
                  </pic:blipFill>
                  <pic:spPr>
                    <a:xfrm>
                      <a:off x="0" y="0"/>
                      <a:ext cx="3027045" cy="2132330"/>
                    </a:xfrm>
                    <a:prstGeom prst="rect">
                      <a:avLst/>
                    </a:prstGeom>
                  </pic:spPr>
                </pic:pic>
              </a:graphicData>
            </a:graphic>
          </wp:inline>
        </w:drawing>
      </w:r>
    </w:p>
    <w:p w14:paraId="52C823D9">
      <w:pPr>
        <w:tabs>
          <w:tab w:val="left" w:pos="1139"/>
        </w:tabs>
        <w:rPr>
          <w:rFonts w:hint="default"/>
          <w:b/>
          <w:bCs/>
          <w:sz w:val="28"/>
          <w:szCs w:val="28"/>
          <w:lang w:val="en-US"/>
        </w:rPr>
      </w:pPr>
      <w:r>
        <w:rPr>
          <w:rFonts w:hint="default"/>
          <w:b/>
          <w:bCs/>
          <w:sz w:val="28"/>
          <w:szCs w:val="28"/>
          <w:lang w:val="en-US"/>
        </w:rPr>
        <w:t>Features :</w:t>
      </w:r>
    </w:p>
    <w:p w14:paraId="0F4976C4">
      <w:pPr>
        <w:numPr>
          <w:ilvl w:val="0"/>
          <w:numId w:val="1"/>
        </w:numPr>
        <w:tabs>
          <w:tab w:val="left" w:pos="1139"/>
          <w:tab w:val="clear" w:pos="420"/>
        </w:tabs>
        <w:ind w:left="420" w:leftChars="0" w:hanging="420" w:firstLineChars="0"/>
        <w:rPr>
          <w:rFonts w:hint="default"/>
          <w:lang w:val="en-US"/>
        </w:rPr>
      </w:pPr>
      <w:r>
        <w:rPr>
          <w:rFonts w:hint="default"/>
          <w:lang w:val="en-US"/>
        </w:rPr>
        <w:t>setting the desired vacuum and single button operation to achieve at the port.</w:t>
      </w:r>
    </w:p>
    <w:p w14:paraId="0EFF47A6">
      <w:pPr>
        <w:numPr>
          <w:ilvl w:val="0"/>
          <w:numId w:val="1"/>
        </w:numPr>
        <w:tabs>
          <w:tab w:val="left" w:pos="1139"/>
          <w:tab w:val="clear" w:pos="420"/>
        </w:tabs>
        <w:ind w:left="420" w:leftChars="0" w:hanging="420" w:firstLineChars="0"/>
        <w:rPr>
          <w:rFonts w:hint="default"/>
          <w:lang w:val="en-US"/>
        </w:rPr>
      </w:pPr>
      <w:r>
        <w:rPr>
          <w:rFonts w:hint="default"/>
          <w:lang w:val="en-US"/>
        </w:rPr>
        <w:t>vacuum range from 10e-2 to 10e-6.</w:t>
      </w:r>
    </w:p>
    <w:p w14:paraId="19375D80">
      <w:pPr>
        <w:numPr>
          <w:ilvl w:val="0"/>
          <w:numId w:val="1"/>
        </w:numPr>
        <w:tabs>
          <w:tab w:val="left" w:pos="1139"/>
          <w:tab w:val="clear" w:pos="420"/>
        </w:tabs>
        <w:ind w:left="420" w:leftChars="0" w:hanging="420" w:firstLineChars="0"/>
        <w:rPr>
          <w:rFonts w:hint="default"/>
          <w:lang w:val="en-US"/>
        </w:rPr>
      </w:pPr>
      <w:r>
        <w:rPr>
          <w:rFonts w:hint="default"/>
          <w:lang w:val="en-US"/>
        </w:rPr>
        <w:t>auto change over from roughing mode to high vacuum mode.</w:t>
      </w:r>
    </w:p>
    <w:p w14:paraId="57C6AC29">
      <w:pPr>
        <w:numPr>
          <w:ilvl w:val="0"/>
          <w:numId w:val="1"/>
        </w:numPr>
        <w:tabs>
          <w:tab w:val="left" w:pos="1139"/>
          <w:tab w:val="clear" w:pos="420"/>
        </w:tabs>
        <w:ind w:left="420" w:leftChars="0" w:hanging="420" w:firstLineChars="0"/>
        <w:rPr>
          <w:rFonts w:hint="default"/>
          <w:lang w:val="en-US"/>
        </w:rPr>
      </w:pPr>
      <w:r>
        <w:rPr>
          <w:rFonts w:hint="default"/>
          <w:lang w:val="en-US"/>
        </w:rPr>
        <w:t>auto closure of cycle with load port isolation.</w:t>
      </w:r>
    </w:p>
    <w:p w14:paraId="1C5CCAF6">
      <w:pPr>
        <w:numPr>
          <w:ilvl w:val="0"/>
          <w:numId w:val="1"/>
        </w:numPr>
        <w:tabs>
          <w:tab w:val="left" w:pos="1139"/>
          <w:tab w:val="clear" w:pos="420"/>
        </w:tabs>
        <w:ind w:left="420" w:leftChars="0" w:hanging="420" w:firstLineChars="0"/>
        <w:rPr>
          <w:rFonts w:hint="default"/>
          <w:lang w:val="en-US"/>
        </w:rPr>
      </w:pPr>
      <w:r>
        <w:rPr>
          <w:rFonts w:hint="default"/>
          <w:lang w:val="en-US"/>
        </w:rPr>
        <w:t>fully automatic pumps start with all the safety interlocks.</w:t>
      </w:r>
    </w:p>
    <w:p w14:paraId="21BFF433">
      <w:pPr>
        <w:numPr>
          <w:ilvl w:val="0"/>
          <w:numId w:val="1"/>
        </w:numPr>
        <w:tabs>
          <w:tab w:val="left" w:pos="1139"/>
          <w:tab w:val="clear" w:pos="420"/>
        </w:tabs>
        <w:ind w:left="420" w:leftChars="0" w:hanging="420" w:firstLineChars="0"/>
        <w:rPr>
          <w:rFonts w:hint="default"/>
          <w:lang w:val="en-US"/>
        </w:rPr>
      </w:pPr>
      <w:r>
        <w:rPr>
          <w:rFonts w:hint="default"/>
          <w:lang w:val="en-US"/>
        </w:rPr>
        <w:t>complete cycle monitoring on the HMI screen.</w:t>
      </w:r>
    </w:p>
    <w:p w14:paraId="13C42EDA">
      <w:pPr>
        <w:numPr>
          <w:ilvl w:val="0"/>
          <w:numId w:val="1"/>
        </w:numPr>
        <w:tabs>
          <w:tab w:val="left" w:pos="1139"/>
          <w:tab w:val="clear" w:pos="420"/>
        </w:tabs>
        <w:ind w:left="420" w:leftChars="0" w:hanging="420" w:firstLineChars="0"/>
        <w:rPr>
          <w:rFonts w:hint="default"/>
          <w:lang w:val="en-US"/>
        </w:rPr>
      </w:pPr>
      <w:r>
        <w:rPr>
          <w:rFonts w:hint="default"/>
          <w:lang w:val="en-US"/>
        </w:rPr>
        <w:t>data logging of total evacuation cycle.</w:t>
      </w:r>
      <w:bookmarkStart w:id="0" w:name="_GoBack"/>
      <w:bookmarkEnd w:id="0"/>
    </w:p>
    <w:sectPr>
      <w:pgSz w:w="12240" w:h="15840"/>
      <w:pgMar w:top="360" w:right="1440" w:bottom="85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Verdana">
    <w:panose1 w:val="020B0804030504040204"/>
    <w:charset w:val="00"/>
    <w:family w:val="swiss"/>
    <w:pitch w:val="default"/>
    <w:sig w:usb0="A10006FF" w:usb1="4000205B" w:usb2="00000010" w:usb3="00000000" w:csb0="2000019F" w:csb1="00000000"/>
  </w:font>
  <w:font w:name="Arial Rounded MT Bold">
    <w:panose1 w:val="020F0704030504030204"/>
    <w:charset w:val="00"/>
    <w:family w:val="swiss"/>
    <w:pitch w:val="default"/>
    <w:sig w:usb0="00000003" w:usb1="00000000" w:usb2="00000000" w:usb3="00000000" w:csb0="2000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E9428"/>
    <w:multiLevelType w:val="singleLevel"/>
    <w:tmpl w:val="BF3E942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841101"/>
    <w:rsid w:val="00061958"/>
    <w:rsid w:val="00184E14"/>
    <w:rsid w:val="005B3DF3"/>
    <w:rsid w:val="006C376B"/>
    <w:rsid w:val="00841101"/>
    <w:rsid w:val="00A67B4B"/>
    <w:rsid w:val="061CAE73"/>
    <w:rsid w:val="3D7AE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character" w:styleId="5">
    <w:name w:val="Hyperlink"/>
    <w:basedOn w:val="2"/>
    <w:uiPriority w:val="0"/>
    <w:rPr>
      <w:color w:val="0000FF"/>
      <w:u w:val="single"/>
    </w:rPr>
  </w:style>
  <w:style w:type="table" w:styleId="6">
    <w:name w:val="Table Grid"/>
    <w:basedOn w:val="3"/>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7">
    <w:name w:val="body_text"/>
    <w:basedOn w:val="1"/>
    <w:uiPriority w:val="0"/>
    <w:pPr>
      <w:spacing w:before="100" w:beforeAutospacing="1" w:after="100" w:afterAutospacing="1" w:line="225" w:lineRule="atLeast"/>
      <w:jc w:val="both"/>
    </w:pPr>
    <w:rPr>
      <w:rFonts w:ascii="Verdana" w:hAnsi="Verdana" w:eastAsia="Times New Roman" w:cs="Times New Roman"/>
      <w:b/>
      <w:bCs/>
      <w:color w:val="00005E"/>
      <w:sz w:val="15"/>
      <w:szCs w:val="15"/>
    </w:rPr>
  </w:style>
  <w:style w:type="character" w:customStyle="1" w:styleId="8">
    <w:name w:val="Balloon Text Char"/>
    <w:basedOn w:val="2"/>
    <w:link w:val="4"/>
    <w:semiHidden/>
    <w:uiPriority w:val="99"/>
    <w:rPr>
      <w:rFonts w:ascii="Tahoma" w:hAnsi="Tahoma" w:cs="Tahoma"/>
      <w:sz w:val="16"/>
      <w:szCs w:val="16"/>
    </w:rPr>
  </w:style>
  <w:style w:type="paragraph" w:styleId="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unique</Company>
  <Pages>2</Pages>
  <Words>246</Words>
  <Characters>1408</Characters>
  <Lines>11</Lines>
  <Paragraphs>3</Paragraphs>
  <TotalTime>24</TotalTime>
  <ScaleCrop>false</ScaleCrop>
  <LinksUpToDate>false</LinksUpToDate>
  <CharactersWithSpaces>1651</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2010-02-04T23:03:00Z</dcterms:created>
  <dc:creator>nagendra</dc:creator>
  <cp:lastModifiedBy>NagendraUtpath</cp:lastModifiedBy>
  <cp:lastPrinted>2010-08-10T19:21:00Z</cp:lastPrinted>
  <dcterms:modified xsi:type="dcterms:W3CDTF">2025-07-06T20:13:47Z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CEF751E4D40B3FFAE1A531683949C8C4_42</vt:lpwstr>
  </property>
</Properties>
</file>