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DA482">
      <w:pPr>
        <w:tabs>
          <w:tab w:val="center" w:pos="4678"/>
        </w:tabs>
        <w:rPr>
          <w:sz w:val="21"/>
          <w:szCs w:val="21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color w:val="FF0000"/>
          <w:sz w:val="28"/>
          <w:szCs w:val="28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TURBO HIGH </w:t>
      </w:r>
      <w:r>
        <w:rPr>
          <w:b/>
          <w:bCs/>
          <w:color w:val="FF0000"/>
          <w:sz w:val="28"/>
          <w:szCs w:val="28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VACUUM PUMP</w:t>
      </w:r>
      <w:r>
        <w:rPr>
          <w:rFonts w:hint="default"/>
          <w:b/>
          <w:bCs/>
          <w:color w:val="FF0000"/>
          <w:sz w:val="28"/>
          <w:szCs w:val="28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ING SYSTEMS</w:t>
      </w:r>
      <w:r>
        <w:rPr>
          <w:sz w:val="21"/>
          <w:szCs w:val="21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 </w:t>
      </w:r>
    </w:p>
    <w:p w14:paraId="57986099">
      <w:pPr>
        <w:tabs>
          <w:tab w:val="center" w:pos="4678"/>
        </w:tabs>
        <w:rPr>
          <w:rFonts w:hint="default"/>
          <w:sz w:val="21"/>
          <w:szCs w:val="21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</w:pPr>
      <w:r>
        <w:rPr>
          <w:rFonts w:hint="default"/>
          <w:sz w:val="21"/>
          <w:szCs w:val="21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Over the years, Unique Vacuum Solutions, has expertised in delivering efficient and effective High vacuum Turbo pumping systems for various industrial applications.</w:t>
      </w:r>
    </w:p>
    <w:p w14:paraId="253F5C05">
      <w:pPr>
        <w:pStyle w:val="9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TRUBO PUMPING CARTS with various pumping speed options:</w:t>
      </w:r>
    </w:p>
    <w:p w14:paraId="31993AC1">
      <w:pPr>
        <w:pStyle w:val="9"/>
        <w:rPr>
          <w:rFonts w:hint="default"/>
          <w:b/>
          <w:bCs/>
          <w:sz w:val="16"/>
          <w:szCs w:val="16"/>
          <w:lang w:val="en-US"/>
        </w:rPr>
      </w:pPr>
    </w:p>
    <w:p w14:paraId="2003854D">
      <w:pPr>
        <w:pStyle w:val="9"/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Fore &amp; Rough pump : from 100 LPM to 1000 LPM</w:t>
      </w:r>
    </w:p>
    <w:p w14:paraId="517FC0E8">
      <w:pPr>
        <w:pStyle w:val="9"/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Turbo pump : from 60 LPS to 2000 LPS</w:t>
      </w:r>
    </w:p>
    <w:p w14:paraId="00192A7A">
      <w:pPr>
        <w:pStyle w:val="9"/>
        <w:rPr>
          <w:rFonts w:hint="default"/>
          <w:b/>
          <w:bCs/>
          <w:sz w:val="16"/>
          <w:szCs w:val="16"/>
          <w:lang w:val="en-US"/>
        </w:rPr>
      </w:pPr>
    </w:p>
    <w:p w14:paraId="0E3DB49E">
      <w:pPr>
        <w:pStyle w:val="9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integrated with high vacuum measurement instruments, roughing and backing valves, high vacuum valves and pirani gauges for measurement and monitoring the backing vacuum and evacuation port vacuum.</w:t>
      </w:r>
    </w:p>
    <w:p w14:paraId="795B4196">
      <w:pPr>
        <w:pStyle w:val="9"/>
        <w:rPr>
          <w:rFonts w:hint="default"/>
          <w:b/>
          <w:bCs/>
          <w:sz w:val="16"/>
          <w:szCs w:val="16"/>
          <w:lang w:val="en-US"/>
        </w:rPr>
      </w:pPr>
    </w:p>
    <w:p w14:paraId="5F77F783">
      <w:pPr>
        <w:pStyle w:val="9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ultimate vacuum : better than 10e-7 mbar</w:t>
      </w:r>
    </w:p>
    <w:p w14:paraId="6EE7C87C">
      <w:pPr>
        <w:pStyle w:val="9"/>
        <w:rPr>
          <w:rFonts w:hint="default"/>
          <w:b/>
          <w:bCs/>
          <w:sz w:val="16"/>
          <w:szCs w:val="16"/>
          <w:lang w:val="en-US"/>
        </w:rPr>
      </w:pPr>
    </w:p>
    <w:p w14:paraId="0DDBF4A6">
      <w:pPr>
        <w:pStyle w:val="9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total assembly mounted on a mild steel / stainless steel cart.</w:t>
      </w:r>
    </w:p>
    <w:p w14:paraId="3EEDA94E">
      <w:pPr>
        <w:pStyle w:val="9"/>
        <w:rPr>
          <w:rFonts w:hint="default"/>
          <w:b/>
          <w:bCs/>
          <w:sz w:val="16"/>
          <w:szCs w:val="16"/>
          <w:lang w:val="en-US"/>
        </w:rPr>
      </w:pPr>
    </w:p>
    <w:p w14:paraId="51D894B9">
      <w:pPr>
        <w:pStyle w:val="9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fully automated single button operation and semi automatic operation options are available</w:t>
      </w:r>
    </w:p>
    <w:p w14:paraId="4117047E">
      <w:pPr>
        <w:pStyle w:val="9"/>
        <w:rPr>
          <w:rFonts w:hint="default"/>
          <w:b/>
          <w:bCs/>
          <w:sz w:val="16"/>
          <w:szCs w:val="16"/>
          <w:lang w:val="en-US"/>
        </w:rPr>
      </w:pPr>
    </w:p>
    <w:p w14:paraId="49A465C4">
      <w:pPr>
        <w:tabs>
          <w:tab w:val="center" w:pos="4678"/>
        </w:tabs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</w:pPr>
    </w:p>
    <w:p w14:paraId="51C07E03">
      <w:pPr>
        <w:tabs>
          <w:tab w:val="center" w:pos="4678"/>
        </w:tabs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drawing>
          <wp:inline distT="0" distB="0" distL="114300" distR="114300">
            <wp:extent cx="2804160" cy="3100705"/>
            <wp:effectExtent l="0" t="0" r="15240" b="23495"/>
            <wp:docPr id="1" name="Picture 1" descr="vertex TMP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ex TMP syste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drawing>
          <wp:inline distT="0" distB="0" distL="114300" distR="114300">
            <wp:extent cx="2366645" cy="3134995"/>
            <wp:effectExtent l="0" t="0" r="20955" b="14605"/>
            <wp:docPr id="2" name="Picture 2" descr="UPS-250T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PS-250T 0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A8F5A7">
      <w:pPr>
        <w:tabs>
          <w:tab w:val="center" w:pos="4678"/>
        </w:tabs>
      </w:pPr>
      <w:r>
        <w:rPr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 xml:space="preserve">                   </w:t>
      </w:r>
      <w:r>
        <w:rPr>
          <w:rFonts w:hint="default"/>
          <w:lang w:val="en-US"/>
        </w:rPr>
        <w:t xml:space="preserve"> </w:t>
      </w:r>
    </w:p>
    <w:sectPr>
      <w:headerReference r:id="rId5" w:type="default"/>
      <w:footerReference r:id="rId6" w:type="default"/>
      <w:pgSz w:w="11906" w:h="16838"/>
      <w:pgMar w:top="1276" w:right="1274" w:bottom="709" w:left="1276" w:header="284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20B0004020202020204"/>
    <w:charset w:val="86"/>
    <w:family w:val="auto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F3792">
    <w:pPr>
      <w:pStyle w:val="9"/>
      <w:rPr>
        <w:b/>
        <w:bCs/>
        <w:i/>
        <w:iCs/>
        <w:color w:val="FF0000"/>
        <w:sz w:val="36"/>
        <w:szCs w:val="36"/>
      </w:rPr>
    </w:pPr>
    <w:r>
      <w:rPr>
        <w:b/>
        <w:bCs/>
        <w:i/>
        <w:iCs/>
        <w:color w:val="FF0000"/>
        <w:sz w:val="36"/>
        <w:szCs w:val="36"/>
      </w:rPr>
      <w:t>UNIQUE VACUUM SOLUTIONS</w:t>
    </w:r>
  </w:p>
  <w:tbl>
    <w:tblPr>
      <w:tblStyle w:val="3"/>
      <w:tblW w:w="10480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10480"/>
    </w:tblGrid>
    <w:tr w14:paraId="0E362D09">
      <w:tc>
        <w:tcPr>
          <w:tcW w:w="10480" w:type="dxa"/>
          <w:shd w:val="clear" w:color="auto" w:fill="auto"/>
          <w:tcMar>
            <w:left w:w="450" w:type="dxa"/>
            <w:bottom w:w="90" w:type="dxa"/>
          </w:tcMar>
          <w:vAlign w:val="center"/>
        </w:tcPr>
        <w:p w14:paraId="351AAED7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left"/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</w:pPr>
          <w:r>
            <w:rPr>
              <w:rFonts w:hint="default" w:eastAsia="Times New Roman" w:cs="Arial" w:asciiTheme="minorAscii" w:hAnsiTheme="minorAscii"/>
              <w:b/>
              <w:bCs/>
              <w:color w:val="010100"/>
              <w:kern w:val="0"/>
              <w:sz w:val="15"/>
              <w:szCs w:val="15"/>
              <w:lang w:val="en-US" w:eastAsia="en-US" w:bidi="ar"/>
            </w:rPr>
            <w:t>E:</w:t>
          </w:r>
          <w:r>
            <w:rPr>
              <w:rFonts w:hint="default" w:eastAsia="Times New Roman" w:cs="Arial" w:asciiTheme="minorAscii" w:hAnsiTheme="minorAscii"/>
              <w:color w:val="444444"/>
              <w:kern w:val="0"/>
              <w:sz w:val="15"/>
              <w:szCs w:val="15"/>
              <w:lang w:val="en-US" w:eastAsia="en-US" w:bidi="ar"/>
            </w:rPr>
            <w:t> </w:t>
          </w:r>
          <w:r>
            <w:rPr>
              <w:rFonts w:hint="default" w:eastAsia="Times New Roman" w:cs="Arial" w:asciiTheme="minorAscii" w:hAnsiTheme="minorAscii"/>
              <w:kern w:val="0"/>
              <w:sz w:val="15"/>
              <w:szCs w:val="15"/>
              <w:lang w:val="en-US" w:eastAsia="en-US" w:bidi="ar"/>
            </w:rPr>
            <w:fldChar w:fldCharType="begin"/>
          </w:r>
          <w:r>
            <w:rPr>
              <w:rFonts w:hint="default" w:eastAsia="Times New Roman" w:cs="Arial" w:asciiTheme="minorAscii" w:hAnsiTheme="minorAscii"/>
              <w:kern w:val="0"/>
              <w:sz w:val="15"/>
              <w:szCs w:val="15"/>
              <w:lang w:val="en-US" w:eastAsia="en-US" w:bidi="ar"/>
            </w:rPr>
            <w:instrText xml:space="preserve"> HYPERLINK "mailto:nagendrautpath@uniquevacuum.co.in" \o "mailto:nagendrautpath@uniquevacuum.co.in" </w:instrText>
          </w:r>
          <w:r>
            <w:rPr>
              <w:rFonts w:hint="default" w:eastAsia="Times New Roman" w:cs="Arial" w:asciiTheme="minorAscii" w:hAnsiTheme="minorAscii"/>
              <w:kern w:val="0"/>
              <w:sz w:val="15"/>
              <w:szCs w:val="15"/>
              <w:lang w:val="en-US" w:eastAsia="en-US" w:bidi="ar"/>
            </w:rPr>
            <w:fldChar w:fldCharType="separate"/>
          </w:r>
          <w:r>
            <w:rPr>
              <w:rStyle w:val="6"/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u w:val="none"/>
              <w:lang w:eastAsia="en-US"/>
            </w:rPr>
            <w:t>nagendrautpath@uniquevacuum.co.in</w:t>
          </w:r>
          <w:r>
            <w:rPr>
              <w:rFonts w:hint="default" w:eastAsia="Times New Roman" w:cs="Arial" w:asciiTheme="minorAscii" w:hAnsiTheme="minorAscii"/>
              <w:kern w:val="0"/>
              <w:sz w:val="15"/>
              <w:szCs w:val="15"/>
              <w:lang w:val="en-US" w:eastAsia="en-US" w:bidi="ar"/>
            </w:rPr>
            <w:fldChar w:fldCharType="end"/>
          </w:r>
          <w:r>
            <w:rPr>
              <w:rFonts w:hint="default" w:eastAsia="Times New Roman" w:cs="Arial" w:asciiTheme="minorAscii" w:hAnsiTheme="minorAscii"/>
              <w:color w:val="444444"/>
              <w:kern w:val="0"/>
              <w:sz w:val="15"/>
              <w:szCs w:val="15"/>
              <w:lang w:val="en-US" w:eastAsia="en-US" w:bidi="ar"/>
            </w:rPr>
            <w:br w:type="textWrapping"/>
          </w:r>
          <w:r>
            <w:rPr>
              <w:rFonts w:hint="default" w:eastAsia="Times New Roman" w:cs="Arial" w:asciiTheme="minorAscii" w:hAnsiTheme="minorAscii"/>
              <w:b/>
              <w:bCs/>
              <w:color w:val="010100"/>
              <w:kern w:val="0"/>
              <w:sz w:val="15"/>
              <w:szCs w:val="15"/>
              <w:lang w:val="en-US" w:eastAsia="en-US" w:bidi="ar"/>
            </w:rPr>
            <w:t>M: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t> +91 9886726920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br w:type="textWrapping"/>
          </w:r>
          <w:r>
            <w:rPr>
              <w:rFonts w:hint="default" w:eastAsia="Times New Roman" w:cs="Arial" w:asciiTheme="minorAscii" w:hAnsiTheme="minorAscii"/>
              <w:b/>
              <w:bCs/>
              <w:color w:val="010100"/>
              <w:kern w:val="0"/>
              <w:sz w:val="15"/>
              <w:szCs w:val="15"/>
              <w:lang w:val="en-US" w:eastAsia="en-US" w:bidi="ar"/>
            </w:rPr>
            <w:t>P: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t> 080-28367059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br w:type="textWrapping"/>
          </w:r>
          <w:r>
            <w:rPr>
              <w:rFonts w:hint="default" w:eastAsia="Times New Roman" w:cs="Arial" w:asciiTheme="minorAscii" w:hAnsiTheme="minorAscii"/>
              <w:b/>
              <w:bCs/>
              <w:color w:val="010100"/>
              <w:kern w:val="0"/>
              <w:sz w:val="15"/>
              <w:szCs w:val="15"/>
              <w:lang w:val="en-US" w:eastAsia="en-US" w:bidi="ar"/>
            </w:rPr>
            <w:t>A:</w:t>
          </w:r>
          <w:r>
            <w:rPr>
              <w:rFonts w:hint="default" w:eastAsia="Times New Roman" w:cs="Arial" w:asciiTheme="minorAscii" w:hAnsiTheme="minorAscii"/>
              <w:color w:val="444444"/>
              <w:kern w:val="0"/>
              <w:sz w:val="15"/>
              <w:szCs w:val="15"/>
              <w:lang w:val="en-US" w:eastAsia="en-US" w:bidi="ar"/>
            </w:rPr>
            <w:t> 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t>Unique Vacuum Solutions,</w:t>
          </w:r>
          <w:r>
            <w:rPr>
              <w:rFonts w:hint="default" w:eastAsia="Times New Roman" w:cs="Arial" w:asciiTheme="minorAscii" w:hAnsiTheme="minorAscii"/>
              <w:color w:val="444444"/>
              <w:kern w:val="0"/>
              <w:sz w:val="15"/>
              <w:szCs w:val="15"/>
              <w:lang w:val="en-US" w:eastAsia="en-US" w:bidi="ar"/>
            </w:rPr>
            <w:t> </w:t>
          </w:r>
          <w:r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  <w:t>#57 8th cross 1st b cross, Doddanna Industrial Estate, Vishwaneedam Post, Peenya 2nd stage, Bengaluru 560091</w:t>
          </w:r>
        </w:p>
        <w:p w14:paraId="47D9D6EB"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left"/>
            <w:rPr>
              <w:rFonts w:hint="default" w:eastAsia="Times New Roman" w:cs="Arial" w:asciiTheme="minorAscii" w:hAnsiTheme="minorAscii"/>
              <w:color w:val="010100"/>
              <w:kern w:val="0"/>
              <w:sz w:val="15"/>
              <w:szCs w:val="15"/>
              <w:lang w:val="en-US" w:eastAsia="en-US" w:bidi="ar"/>
            </w:rPr>
          </w:pPr>
          <w:r>
            <w:rPr>
              <w:rFonts w:hint="eastAsia"/>
              <w:b/>
              <w:bCs/>
              <w:color w:val="FF0000"/>
              <w:kern w:val="2"/>
              <w:sz w:val="24"/>
              <w:szCs w:val="24"/>
              <w:lang w:val="en-US"/>
            </w:rPr>
            <w:t>w</w:t>
          </w:r>
          <w:r>
            <w:rPr>
              <w:rFonts w:hint="default"/>
              <w:b/>
              <w:bCs/>
              <w:color w:val="FF0000"/>
              <w:kern w:val="2"/>
              <w:sz w:val="24"/>
              <w:szCs w:val="24"/>
              <w:lang w:val="en-US"/>
            </w:rPr>
            <w:t>ww.uniquevacuum.co.in</w:t>
          </w:r>
        </w:p>
      </w:tc>
    </w:tr>
  </w:tbl>
  <w:p w14:paraId="0CA7D6B9">
    <w:pPr>
      <w:tabs>
        <w:tab w:val="left" w:pos="1418"/>
      </w:tabs>
      <w:rPr>
        <w:rFonts w:hint="default"/>
        <w:b/>
        <w:bCs/>
        <w:color w:val="FF0000"/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8E089">
    <w:pPr>
      <w:pStyle w:val="9"/>
    </w:pPr>
    <w:r>
      <w:drawing>
        <wp:inline distT="0" distB="0" distL="114300" distR="114300">
          <wp:extent cx="834390" cy="882015"/>
          <wp:effectExtent l="0" t="0" r="3810" b="6985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4390" cy="882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drawing>
        <wp:inline distT="0" distB="0" distL="114300" distR="114300">
          <wp:extent cx="2936875" cy="877570"/>
          <wp:effectExtent l="0" t="0" r="9525" b="11430"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/>
                  <pic:cNvPicPr>
                    <a:picLocks noChangeAspect="1"/>
                  </pic:cNvPicPr>
                </pic:nvPicPr>
                <pic:blipFill>
                  <a:blip r:embed="rId2"/>
                  <a:srcRect t="25670" b="28302"/>
                  <a:stretch>
                    <a:fillRect/>
                  </a:stretch>
                </pic:blipFill>
                <pic:spPr>
                  <a:xfrm>
                    <a:off x="0" y="0"/>
                    <a:ext cx="2936875" cy="877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2EB8F"/>
    <w:multiLevelType w:val="singleLevel"/>
    <w:tmpl w:val="F7F2EB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350"/>
    <w:rsid w:val="00057D27"/>
    <w:rsid w:val="000C382C"/>
    <w:rsid w:val="001470BA"/>
    <w:rsid w:val="00162927"/>
    <w:rsid w:val="0022589E"/>
    <w:rsid w:val="00231761"/>
    <w:rsid w:val="00281881"/>
    <w:rsid w:val="002B3AA9"/>
    <w:rsid w:val="003059A8"/>
    <w:rsid w:val="00315350"/>
    <w:rsid w:val="00335A60"/>
    <w:rsid w:val="00405FA4"/>
    <w:rsid w:val="004F571D"/>
    <w:rsid w:val="00751344"/>
    <w:rsid w:val="007C7F3D"/>
    <w:rsid w:val="007F650A"/>
    <w:rsid w:val="00816774"/>
    <w:rsid w:val="00876C99"/>
    <w:rsid w:val="008F2FC0"/>
    <w:rsid w:val="00940793"/>
    <w:rsid w:val="00A22248"/>
    <w:rsid w:val="00A529DD"/>
    <w:rsid w:val="00BB2C18"/>
    <w:rsid w:val="00BE6E80"/>
    <w:rsid w:val="00C30467"/>
    <w:rsid w:val="00C344A8"/>
    <w:rsid w:val="00D02F41"/>
    <w:rsid w:val="00D84D8E"/>
    <w:rsid w:val="00D91352"/>
    <w:rsid w:val="00E264CC"/>
    <w:rsid w:val="00E86B57"/>
    <w:rsid w:val="427A621F"/>
    <w:rsid w:val="4B7DDAD9"/>
    <w:rsid w:val="72735F91"/>
    <w:rsid w:val="72EF752B"/>
    <w:rsid w:val="7FD5E236"/>
    <w:rsid w:val="BF79AB2B"/>
    <w:rsid w:val="DFFAFEDA"/>
    <w:rsid w:val="F7B7B64A"/>
    <w:rsid w:val="FB7FA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10">
    <w:name w:val="Header Char"/>
    <w:basedOn w:val="2"/>
    <w:link w:val="5"/>
    <w:uiPriority w:val="99"/>
  </w:style>
  <w:style w:type="character" w:customStyle="1" w:styleId="11">
    <w:name w:val="Footer Char"/>
    <w:basedOn w:val="2"/>
    <w:link w:val="4"/>
    <w:uiPriority w:val="99"/>
  </w:style>
  <w:style w:type="character" w:customStyle="1" w:styleId="12">
    <w:name w:val="emailstyle15"/>
    <w:uiPriority w:val="0"/>
    <w:rPr>
      <w:rFonts w:hint="eastAsia" w:ascii="Aptos" w:hAnsi="Aptos" w:eastAsia="Aptos" w:cs="Times New Roman"/>
      <w:color w:val="auto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155</Characters>
  <Lines>1</Lines>
  <Paragraphs>1</Paragraphs>
  <TotalTime>65</TotalTime>
  <ScaleCrop>false</ScaleCrop>
  <LinksUpToDate>false</LinksUpToDate>
  <CharactersWithSpaces>181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2020-04-30T23:28:00Z</dcterms:created>
  <dc:creator>nagendra utpath</dc:creator>
  <cp:lastModifiedBy>NagendraUtpath</cp:lastModifiedBy>
  <cp:lastPrinted>2019-12-19T02:53:00Z</cp:lastPrinted>
  <dcterms:modified xsi:type="dcterms:W3CDTF">2025-07-06T20:22:19Z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45EF9066E1705682F88B6A68D236FFDA_43</vt:lpwstr>
  </property>
</Properties>
</file>