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0.png" ContentType="image/png"/>
  <Override PartName="/word/media/rId30.png" ContentType="image/png"/>
  <Override PartName="/word/media/rId3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2023</w:t>
      </w:r>
      <w:r>
        <w:t xml:space="preserve"> </w:t>
      </w:r>
      <w:r>
        <w:t xml:space="preserve">AI</w:t>
      </w:r>
      <w:r>
        <w:t xml:space="preserve"> </w:t>
      </w:r>
      <w:r>
        <w:t xml:space="preserve">Pacific</w:t>
      </w:r>
      <w:r>
        <w:t xml:space="preserve"> </w:t>
      </w:r>
      <w:r>
        <w:t xml:space="preserve">Cod</w:t>
      </w:r>
      <w:r>
        <w:t xml:space="preserve"> </w:t>
      </w:r>
      <w:r>
        <w:t xml:space="preserve">Forecasting</w:t>
      </w:r>
    </w:p>
    <w:p>
      <w:pPr>
        <w:pStyle w:val="Author"/>
      </w:pPr>
      <w:r>
        <w:t xml:space="preserve">Maia</w:t>
      </w:r>
      <w:r>
        <w:t xml:space="preserve"> </w:t>
      </w:r>
      <w:r>
        <w:t xml:space="preserve">S</w:t>
      </w:r>
      <w:r>
        <w:t xml:space="preserve"> </w:t>
      </w:r>
      <w:r>
        <w:t xml:space="preserve">Kapur</w:t>
      </w:r>
    </w:p>
    <w:p>
      <w:pPr>
        <w:pStyle w:val="Date"/>
      </w:pPr>
      <w:r>
        <w:t xml:space="preserve">2023-11-17</w:t>
      </w:r>
    </w:p>
    <w:p>
      <w:pPr>
        <w:pStyle w:val="FirstParagraph"/>
      </w:pPr>
      <w:r>
        <w:t xml:space="preserve">This document describes the analyses performed to produce 15-year</w:t>
      </w:r>
      <w:r>
        <w:t xml:space="preserve"> </w:t>
      </w:r>
      <w:r>
        <w:t xml:space="preserve">projections (</w:t>
      </w:r>
      <w:r>
        <w:t xml:space="preserve">‘</w:t>
      </w:r>
      <w:r>
        <w:t xml:space="preserve">forecasts</w:t>
      </w:r>
      <w:r>
        <w:t xml:space="preserve">’</w:t>
      </w:r>
      <w:r>
        <w:t xml:space="preserve">) for three Aleutian Islands Pacific Cod Stock</w:t>
      </w:r>
      <w:r>
        <w:t xml:space="preserve"> </w:t>
      </w:r>
      <w:r>
        <w:t xml:space="preserve">assessments presented to the Groundfish Plan Team in November 2023. I</w:t>
      </w:r>
      <w:r>
        <w:t xml:space="preserve"> </w:t>
      </w:r>
      <w:r>
        <w:t xml:space="preserve">discuss the rationale</w:t>
      </w:r>
    </w:p>
    <w:p>
      <w:pPr>
        <w:pStyle w:val="BodyText"/>
      </w:pPr>
      <w:r>
        <w:t xml:space="preserve">The basic models used herein are as follows. I also describe what was</w:t>
      </w:r>
      <w:r>
        <w:t xml:space="preserve"> </w:t>
      </w:r>
      <w:r>
        <w:t xml:space="preserve">indicated in the</w:t>
      </w:r>
      <w:r>
        <w:t xml:space="preserve"> </w:t>
      </w:r>
      <w:r>
        <w:rPr>
          <w:iCs/>
          <w:i/>
        </w:rPr>
        <w:t xml:space="preserve">original</w:t>
      </w:r>
      <w:r>
        <w:t xml:space="preserve"> </w:t>
      </w:r>
      <w:r>
        <w:t xml:space="preserve">forecast file included with each model,</w:t>
      </w:r>
      <w:r>
        <w:t xml:space="preserve"> </w:t>
      </w:r>
      <w:r>
        <w:t xml:space="preserve">which was passed to the scenario-building routine and presented to the</w:t>
      </w:r>
      <w:r>
        <w:t xml:space="preserve"> </w:t>
      </w:r>
      <w:r>
        <w:t xml:space="preserve">GPT.</w:t>
      </w:r>
    </w:p>
    <w:tbl>
      <w:tblPr>
        <w:tblStyle w:val="Table"/>
        <w:tblW w:type="pct" w:w="5000"/>
        <w:tblLook w:firstRow="1" w:lastRow="0" w:firstColumn="0" w:lastColumn="0" w:noHBand="0" w:noVBand="0" w:val="0020"/>
        <w:jc w:val="start"/>
      </w:tblPr>
      <w:tblGrid>
        <w:gridCol w:w="2090"/>
        <w:gridCol w:w="1650"/>
        <w:gridCol w:w="2090"/>
        <w:gridCol w:w="2090"/>
      </w:tblGrid>
      <w:tr>
        <w:trPr>
          <w:tblHeader w:val="true"/>
        </w:trPr>
        <w:tc>
          <w:tcPr/>
          <w:p>
            <w:pPr>
              <w:pStyle w:val="Compact"/>
              <w:jc w:val="left"/>
            </w:pPr>
            <w:r>
              <w:t xml:space="preserve">Model</w:t>
            </w:r>
          </w:p>
        </w:tc>
        <w:tc>
          <w:tcPr/>
          <w:p>
            <w:pPr>
              <w:pStyle w:val="Compact"/>
              <w:jc w:val="left"/>
            </w:pPr>
            <w:r>
              <w:t xml:space="preserve">Description</w:t>
            </w:r>
          </w:p>
        </w:tc>
        <w:tc>
          <w:tcPr/>
          <w:p>
            <w:pPr>
              <w:pStyle w:val="Compact"/>
              <w:jc w:val="left"/>
            </w:pPr>
            <w:r>
              <w:t xml:space="preserve">Reference Points</w:t>
            </w:r>
          </w:p>
        </w:tc>
        <w:tc>
          <w:tcPr/>
          <w:p>
            <w:pPr>
              <w:pStyle w:val="Compact"/>
              <w:jc w:val="left"/>
            </w:pPr>
            <w:r>
              <w:t xml:space="preserve">Forecast Pars</w:t>
            </w:r>
          </w:p>
        </w:tc>
      </w:tr>
      <w:tr>
        <w:tc>
          <w:tcPr/>
          <w:p>
            <w:pPr>
              <w:pStyle w:val="Compact"/>
              <w:jc w:val="left"/>
            </w:pPr>
            <w:r>
              <w:t xml:space="preserve">23.0a</w:t>
            </w:r>
          </w:p>
        </w:tc>
        <w:tc>
          <w:tcPr/>
          <w:p>
            <w:pPr>
              <w:pStyle w:val="Compact"/>
              <w:jc w:val="left"/>
            </w:pPr>
            <w:r>
              <w:t xml:space="preserve">Time blocks on K in 2003 and 2017</w:t>
            </w:r>
          </w:p>
        </w:tc>
        <w:tc>
          <w:tcPr/>
          <w:p>
            <w:pPr>
              <w:pStyle w:val="Compact"/>
              <w:jc w:val="left"/>
            </w:pPr>
            <w:r>
              <w:t xml:space="preserve">Biology and selectivity averaged throughout time period for ref-point calculation.</w:t>
            </w:r>
          </w:p>
        </w:tc>
        <w:tc>
          <w:tcPr/>
          <w:p>
            <w:pPr>
              <w:pStyle w:val="Compact"/>
              <w:jc w:val="left"/>
            </w:pPr>
            <w:r>
              <w:t xml:space="preserve">Selectivity averaged from 2000-2019.</w:t>
            </w:r>
          </w:p>
        </w:tc>
      </w:tr>
      <w:tr>
        <w:tc>
          <w:tcPr/>
          <w:p>
            <w:pPr>
              <w:pStyle w:val="Compact"/>
              <w:jc w:val="left"/>
            </w:pPr>
            <w:r>
              <w:t xml:space="preserve">23.0b</w:t>
            </w:r>
          </w:p>
        </w:tc>
        <w:tc>
          <w:tcPr/>
          <w:p>
            <w:pPr>
              <w:pStyle w:val="Compact"/>
              <w:jc w:val="left"/>
            </w:pPr>
            <w:r>
              <w:t xml:space="preserve">As 23.0a, with time blocks on fishery selex in 2002, 2012, 2016, and 2019.</w:t>
            </w:r>
          </w:p>
        </w:tc>
        <w:tc>
          <w:tcPr/>
          <w:p>
            <w:pPr>
              <w:pStyle w:val="Compact"/>
              <w:jc w:val="left"/>
            </w:pPr>
            <w:r>
              <w:t xml:space="preserve">as above</w:t>
            </w:r>
          </w:p>
        </w:tc>
        <w:tc>
          <w:tcPr/>
          <w:p>
            <w:pPr>
              <w:pStyle w:val="Compact"/>
              <w:jc w:val="left"/>
            </w:pPr>
            <w:r>
              <w:t xml:space="preserve">as above</w:t>
            </w:r>
          </w:p>
        </w:tc>
      </w:tr>
      <w:tr>
        <w:tc>
          <w:tcPr/>
          <w:p>
            <w:pPr>
              <w:pStyle w:val="Compact"/>
              <w:jc w:val="left"/>
            </w:pPr>
            <w:r>
              <w:t xml:space="preserve">23.0c - Base Model</w:t>
            </w:r>
          </w:p>
        </w:tc>
        <w:tc>
          <w:tcPr/>
          <w:p>
            <w:pPr>
              <w:pStyle w:val="Compact"/>
              <w:jc w:val="left"/>
            </w:pPr>
            <w:r>
              <w:t xml:space="preserve">Time block on K in 2003, time block on M in 2015</w:t>
            </w:r>
          </w:p>
        </w:tc>
        <w:tc>
          <w:tcPr/>
          <w:p>
            <w:pPr>
              <w:pStyle w:val="Compact"/>
              <w:jc w:val="left"/>
            </w:pPr>
            <w:r>
              <w:t xml:space="preserve">as above</w:t>
            </w:r>
          </w:p>
        </w:tc>
        <w:tc>
          <w:tcPr/>
          <w:p>
            <w:pPr>
              <w:pStyle w:val="Compact"/>
              <w:jc w:val="left"/>
            </w:pPr>
            <w:r>
              <w:t xml:space="preserve">as above</w:t>
            </w:r>
          </w:p>
        </w:tc>
      </w:tr>
    </w:tbl>
    <w:p>
      <w:pPr>
        <w:pStyle w:val="BodyText"/>
      </w:pPr>
      <w:r>
        <w:t xml:space="preserve">Here’s what the</w:t>
      </w:r>
      <w:r>
        <w:t xml:space="preserve"> </w:t>
      </w:r>
      <w:r>
        <w:rPr>
          <w:iCs/>
          <w:i/>
        </w:rPr>
        <w:t xml:space="preserve">original</w:t>
      </w:r>
      <w:r>
        <w:t xml:space="preserve"> </w:t>
      </w:r>
      <w:r>
        <w:t xml:space="preserve">projection trajectories looked like (i.e., Scenario 1):</w:t>
      </w:r>
    </w:p>
    <w:p>
      <w:pPr>
        <w:pStyle w:val="CaptionedFigure"/>
      </w:pPr>
      <w:r>
        <w:drawing>
          <wp:inline>
            <wp:extent cx="5334000" cy="4103076"/>
            <wp:effectExtent b="0" l="0" r="0" t="0"/>
            <wp:docPr descr="xx" title="" id="21" name="Picture"/>
            <a:graphic>
              <a:graphicData uri="http://schemas.openxmlformats.org/drawingml/2006/picture">
                <pic:pic>
                  <pic:nvPicPr>
                    <pic:cNvPr descr="../figs/original_nov_models_compare/compare2_spawnbio_uncertainty.png" id="22" name="Picture"/>
                    <pic:cNvPicPr>
                      <a:picLocks noChangeArrowheads="1" noChangeAspect="1"/>
                    </pic:cNvPicPr>
                  </pic:nvPicPr>
                  <pic:blipFill>
                    <a:blip r:embed="rId20"/>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xx</w:t>
      </w:r>
    </w:p>
    <w:bookmarkStart w:id="23" w:name="updating-the-ss-forecast-file"/>
    <w:p>
      <w:pPr>
        <w:pStyle w:val="Heading1"/>
      </w:pPr>
      <w:r>
        <w:t xml:space="preserve">Updating the SS Forecast file</w:t>
      </w:r>
    </w:p>
    <w:p>
      <w:pPr>
        <w:pStyle w:val="FirstParagraph"/>
      </w:pPr>
      <w:r>
        <w:t xml:space="preserve">The original approach averaged quantities (demographic and selectivity) across many blocks.</w:t>
      </w:r>
      <w:r>
        <w:t xml:space="preserve"> </w:t>
      </w:r>
      <w:r>
        <w:t xml:space="preserve">This is unnecessary in certain cases (i.e. model 23.0a does not have time-varying selectivity, so no averaging is needed) and inappropriate in others (forecasts should represent what we reasonably expect to happen in the future, which is probably most similar to the present (versus an average of the past)). Additionally, specifying different time periods and parameter values for the reference points and forecasted values produces confusion when comparing trajectories with targets. For these reasons, my proposal is to instead use the terminal value for all quantities.</w:t>
      </w:r>
    </w:p>
    <w:p>
      <w:pPr>
        <w:pStyle w:val="BodyText"/>
      </w:pPr>
      <w:r>
        <w:t xml:space="preserve">In the forecast file itself, this is represented as follows:</w:t>
      </w:r>
      <w:r>
        <w:t xml:space="preserve"> </w:t>
      </w:r>
      <w:r>
        <w:t xml:space="preserve"> </w:t>
      </w:r>
      <w:r>
        <w:rPr>
          <w:rStyle w:val="VerbatimChar"/>
        </w:rPr>
        <w:t xml:space="preserve">#_Bmark_years</w:t>
      </w:r>
    </w:p>
    <w:p>
      <w:pPr>
        <w:pStyle w:val="BodyText"/>
      </w:pPr>
      <w:r>
        <w:rPr>
          <w:rStyle w:val="VerbatimChar"/>
        </w:rPr>
        <w:t xml:space="preserve">0 0 0 0 0 0 0 0 0 0</w:t>
      </w:r>
    </w:p>
    <w:p>
      <w:pPr>
        <w:pStyle w:val="BodyText"/>
      </w:pPr>
      <w:r>
        <w:rPr>
          <w:rStyle w:val="VerbatimChar"/>
        </w:rPr>
        <w:t xml:space="preserve">#_Fcast_years:</w:t>
      </w:r>
    </w:p>
    <w:p>
      <w:pPr>
        <w:pStyle w:val="BodyText"/>
      </w:pPr>
      <w:r>
        <w:rPr>
          <w:rStyle w:val="VerbatimChar"/>
        </w:rPr>
        <w:t xml:space="preserve">0 0 0 0 -999 0</w:t>
      </w:r>
    </w:p>
    <w:p>
      <w:pPr>
        <w:pStyle w:val="BodyText"/>
      </w:pPr>
      <w:r>
        <w:t xml:space="preserve">Do note that</w:t>
      </w:r>
      <w:r>
        <w:t xml:space="preserve"> </w:t>
      </w:r>
      <w:r>
        <w:rPr>
          <w:iCs/>
          <w:i/>
        </w:rPr>
        <w:t xml:space="preserve">for this model</w:t>
      </w:r>
      <w:r>
        <w:t xml:space="preserve">, only the first four values in</w:t>
      </w:r>
      <w:r>
        <w:t xml:space="preserve"> </w:t>
      </w:r>
      <w:r>
        <w:t xml:space="preserve">“</w:t>
      </w:r>
      <w:r>
        <w:t xml:space="preserve">Bmark_years</w:t>
      </w:r>
      <w:r>
        <w:t xml:space="preserve">”</w:t>
      </w:r>
      <w:r>
        <w:t xml:space="preserve"> </w:t>
      </w:r>
      <w:r>
        <w:t xml:space="preserve">and first two values of</w:t>
      </w:r>
      <w:r>
        <w:t xml:space="preserve"> </w:t>
      </w:r>
      <w:r>
        <w:t xml:space="preserve">“</w:t>
      </w:r>
      <w:r>
        <w:t xml:space="preserve">Fcast_years</w:t>
      </w:r>
      <w:r>
        <w:t xml:space="preserve">”</w:t>
      </w:r>
      <w:r>
        <w:t xml:space="preserve"> </w:t>
      </w:r>
      <w:r>
        <w:t xml:space="preserve">are used, because this model does not have multiple fishing fleets (thus no</w:t>
      </w:r>
      <w:r>
        <w:t xml:space="preserve"> </w:t>
      </w:r>
      <w:r>
        <w:rPr>
          <w:rStyle w:val="VerbatimChar"/>
        </w:rPr>
        <w:t xml:space="preserve">relF</w:t>
      </w:r>
      <w:r>
        <w:t xml:space="preserve">, no movement (thus no</w:t>
      </w:r>
      <w:r>
        <w:t xml:space="preserve"> </w:t>
      </w:r>
      <w:r>
        <w:rPr>
          <w:rStyle w:val="VerbatimChar"/>
        </w:rPr>
        <w:t xml:space="preserve">recr_dist</w:t>
      </w:r>
      <w:r>
        <w:t xml:space="preserve"> </w:t>
      </w:r>
      <w:r>
        <w:t xml:space="preserve">nor</w:t>
      </w:r>
      <w:r>
        <w:t xml:space="preserve"> </w:t>
      </w:r>
      <w:r>
        <w:rPr>
          <w:rStyle w:val="VerbatimChar"/>
        </w:rPr>
        <w:t xml:space="preserve">recruits</w:t>
      </w:r>
      <w:r>
        <w:t xml:space="preserve"> </w:t>
      </w:r>
      <w:r>
        <w:t xml:space="preserve">arguments), and no stock-recruit relationship.</w:t>
      </w:r>
    </w:p>
    <w:bookmarkEnd w:id="23"/>
    <w:bookmarkStart w:id="36" w:name="impacts-on-projections-scenario-1"/>
    <w:p>
      <w:pPr>
        <w:pStyle w:val="Heading1"/>
      </w:pPr>
      <w:r>
        <w:t xml:space="preserve">Impacts on Projections (Scenario 1)</w:t>
      </w:r>
    </w:p>
    <w:p>
      <w:pPr>
        <w:pStyle w:val="FirstParagraph"/>
      </w:pPr>
      <w:r>
        <w:t xml:space="preserve">The base model 23.0c has a high terminal value of</w:t>
      </w:r>
      <w:r>
        <w:t xml:space="preserve"> </w:t>
      </w:r>
      <m:oMath>
        <m:r>
          <m:t>M</m:t>
        </m:r>
      </m:oMath>
      <w:r>
        <w:t xml:space="preserve">:</w:t>
      </w:r>
      <w:r>
        <w:t xml:space="preserve"> </w:t>
      </w:r>
      <w:r>
        <w:drawing>
          <wp:inline>
            <wp:extent cx="2667000" cy="1641230"/>
            <wp:effectExtent b="0" l="0" r="0" t="0"/>
            <wp:docPr descr="" title="" id="25" name="Picture"/>
            <a:graphic>
              <a:graphicData uri="http://schemas.openxmlformats.org/drawingml/2006/picture">
                <pic:pic>
                  <pic:nvPicPr>
                    <pic:cNvPr descr="../model_runs/M23.0c/plots/bio24_time-varying_NatM_uniform_Fem_GP_1.png" id="26" name="Picture"/>
                    <pic:cNvPicPr>
                      <a:picLocks noChangeArrowheads="1" noChangeAspect="1"/>
                    </pic:cNvPicPr>
                  </pic:nvPicPr>
                  <pic:blipFill>
                    <a:blip r:embed="rId24"/>
                    <a:stretch>
                      <a:fillRect/>
                    </a:stretch>
                  </pic:blipFill>
                  <pic:spPr bwMode="auto">
                    <a:xfrm>
                      <a:off x="0" y="0"/>
                      <a:ext cx="2667000" cy="1641230"/>
                    </a:xfrm>
                    <a:prstGeom prst="rect">
                      <a:avLst/>
                    </a:prstGeom>
                    <a:noFill/>
                    <a:ln w="9525">
                      <a:noFill/>
                      <a:headEnd/>
                      <a:tailEnd/>
                    </a:ln>
                  </pic:spPr>
                </pic:pic>
              </a:graphicData>
            </a:graphic>
          </wp:inline>
        </w:drawing>
      </w:r>
    </w:p>
    <w:p>
      <w:pPr>
        <w:pStyle w:val="BodyText"/>
      </w:pPr>
      <w:r>
        <w:t xml:space="preserve">The plot below shows the impact (on SSB) of changing the forecast file to only consider the terminal year for demography and selectivity when calculating reference points and parameterizing forecasts.</w:t>
      </w:r>
    </w:p>
    <w:p>
      <w:pPr>
        <w:pStyle w:val="BodyText"/>
      </w:pPr>
      <w:r>
        <w:drawing>
          <wp:inline>
            <wp:extent cx="5334000" cy="4103076"/>
            <wp:effectExtent b="0" l="0" r="0" t="0"/>
            <wp:docPr descr="" title="" id="28" name="Picture"/>
            <a:graphic>
              <a:graphicData uri="http://schemas.openxmlformats.org/drawingml/2006/picture">
                <pic:pic>
                  <pic:nvPicPr>
                    <pic:cNvPr descr="../figs/new_forecast_compare/compare2_spawnbio_uncertainty.png" id="29" name="Picture"/>
                    <pic:cNvPicPr>
                      <a:picLocks noChangeArrowheads="1" noChangeAspect="1"/>
                    </pic:cNvPicPr>
                  </pic:nvPicPr>
                  <pic:blipFill>
                    <a:blip r:embed="rId27"/>
                    <a:stretch>
                      <a:fillRect/>
                    </a:stretch>
                  </pic:blipFill>
                  <pic:spPr bwMode="auto">
                    <a:xfrm>
                      <a:off x="0" y="0"/>
                      <a:ext cx="5334000" cy="4103076"/>
                    </a:xfrm>
                    <a:prstGeom prst="rect">
                      <a:avLst/>
                    </a:prstGeom>
                    <a:noFill/>
                    <a:ln w="9525">
                      <a:noFill/>
                      <a:headEnd/>
                      <a:tailEnd/>
                    </a:ln>
                  </pic:spPr>
                </pic:pic>
              </a:graphicData>
            </a:graphic>
          </wp:inline>
        </w:drawing>
      </w:r>
    </w:p>
    <w:p>
      <w:pPr>
        <w:pStyle w:val="BodyText"/>
      </w:pPr>
      <w:r>
        <w:t xml:space="preserve">The impact of this change less apparent for the first four models because growth and selectivity are not very different among time blocks – in fact, they are hardly distinguishable: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'2023'</w:t>
      </w:r>
      <w:r>
        <w:rPr>
          <w:rStyle w:val="NormalTok"/>
        </w:rPr>
        <w:t xml:space="preserve">,</w:t>
      </w:r>
      <w:r>
        <w:rPr>
          <w:rStyle w:val="StringTok"/>
        </w:rPr>
        <w:t xml:space="preserve">'model_runs'</w:t>
      </w:r>
      <w:r>
        <w:rPr>
          <w:rStyle w:val="NormalTok"/>
        </w:rPr>
        <w:t xml:space="preserve">,</w:t>
      </w:r>
      <w:r>
        <w:rPr>
          <w:rStyle w:val="StringTok"/>
        </w:rPr>
        <w:t xml:space="preserve">'M23.0a'</w:t>
      </w:r>
      <w:r>
        <w:rPr>
          <w:rStyle w:val="NormalTok"/>
        </w:rPr>
        <w:t xml:space="preserve">,</w:t>
      </w:r>
      <w:r>
        <w:rPr>
          <w:rStyle w:val="StringTok"/>
        </w:rPr>
        <w:t xml:space="preserve">'plots'</w:t>
      </w:r>
      <w:r>
        <w:rPr>
          <w:rStyle w:val="NormalTok"/>
        </w:rPr>
        <w:t xml:space="preserve">,</w:t>
      </w:r>
      <w:r>
        <w:rPr>
          <w:rStyle w:val="StringTok"/>
        </w:rPr>
        <w:t xml:space="preserve">'bio22_timevarygrowthsurf_sex1.png'</w:t>
      </w:r>
      <w:r>
        <w:rPr>
          <w:rStyle w:val="NormalTok"/>
        </w:rPr>
        <w:t xml:space="preserve">))</w:t>
      </w:r>
    </w:p>
    <w:p>
      <w:pPr>
        <w:pStyle w:val="CaptionedFigure"/>
      </w:pPr>
      <w:r>
        <w:drawing>
          <wp:inline>
            <wp:extent cx="5334000" cy="3282461"/>
            <wp:effectExtent b="0" l="0" r="0" t="0"/>
            <wp:docPr descr="Time-varying Growth in M23.0a, and time-varying fishery selectivity in M23.0b." title="" id="31" name="Picture"/>
            <a:graphic>
              <a:graphicData uri="http://schemas.openxmlformats.org/drawingml/2006/picture">
                <pic:pic>
                  <pic:nvPicPr>
                    <pic:cNvPr descr="../model_runs/M23.0a/plots/bio22_timevarygrowthsurf_sex1.png" id="32" name="Picture"/>
                    <pic:cNvPicPr>
                      <a:picLocks noChangeArrowheads="1" noChangeAspect="1"/>
                    </pic:cNvPicPr>
                  </pic:nvPicPr>
                  <pic:blipFill>
                    <a:blip r:embed="rId30"/>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Time-varying Growth in M23.0a, and time-varying fishery selectivity in M23.0b.</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'2023'</w:t>
      </w:r>
      <w:r>
        <w:rPr>
          <w:rStyle w:val="NormalTok"/>
        </w:rPr>
        <w:t xml:space="preserve">,</w:t>
      </w:r>
      <w:r>
        <w:rPr>
          <w:rStyle w:val="StringTok"/>
        </w:rPr>
        <w:t xml:space="preserve">'model_runs'</w:t>
      </w:r>
      <w:r>
        <w:rPr>
          <w:rStyle w:val="NormalTok"/>
        </w:rPr>
        <w:t xml:space="preserve">,</w:t>
      </w:r>
      <w:r>
        <w:rPr>
          <w:rStyle w:val="StringTok"/>
        </w:rPr>
        <w:t xml:space="preserve">'M23.0b'</w:t>
      </w:r>
      <w:r>
        <w:rPr>
          <w:rStyle w:val="NormalTok"/>
        </w:rPr>
        <w:t xml:space="preserve">,</w:t>
      </w:r>
      <w:r>
        <w:rPr>
          <w:rStyle w:val="StringTok"/>
        </w:rPr>
        <w:t xml:space="preserve">'plots'</w:t>
      </w:r>
      <w:r>
        <w:rPr>
          <w:rStyle w:val="NormalTok"/>
        </w:rPr>
        <w:t xml:space="preserve">,</w:t>
      </w:r>
      <w:r>
        <w:rPr>
          <w:rStyle w:val="StringTok"/>
        </w:rPr>
        <w:t xml:space="preserve">'sel03_len_timevary_surf_flt1sex1.png'</w:t>
      </w:r>
      <w:r>
        <w:rPr>
          <w:rStyle w:val="NormalTok"/>
        </w:rPr>
        <w:t xml:space="preserve">))</w:t>
      </w:r>
    </w:p>
    <w:p>
      <w:pPr>
        <w:pStyle w:val="CaptionedFigure"/>
      </w:pPr>
      <w:r>
        <w:drawing>
          <wp:inline>
            <wp:extent cx="5334000" cy="3282461"/>
            <wp:effectExtent b="0" l="0" r="0" t="0"/>
            <wp:docPr descr="Time-varying Growth in M23.0a, and time-varying fishery selectivity in M23.0b." title="" id="34" name="Picture"/>
            <a:graphic>
              <a:graphicData uri="http://schemas.openxmlformats.org/drawingml/2006/picture">
                <pic:pic>
                  <pic:nvPicPr>
                    <pic:cNvPr descr="../model_runs/M23.0b/plots/sel03_len_timevary_surf_flt1sex1.png" id="35" name="Picture"/>
                    <pic:cNvPicPr>
                      <a:picLocks noChangeArrowheads="1" noChangeAspect="1"/>
                    </pic:cNvPicPr>
                  </pic:nvPicPr>
                  <pic:blipFill>
                    <a:blip r:embed="rId33"/>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Time-varying Growth in M23.0a, and time-varying fishery selectivity in M23.0b.</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 AI Pacific Cod Forecasting</dc:title>
  <dc:creator>Maia S Kapur</dc:creator>
  <cp:keywords/>
  <dcterms:created xsi:type="dcterms:W3CDTF">2023-11-17T23:31:28Z</dcterms:created>
  <dcterms:modified xsi:type="dcterms:W3CDTF">2023-11-17T23:31:28Z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2023-11-17</vt:lpwstr>
  </property>
  <property fmtid="{D5CDD505-2E9C-101B-9397-08002B2CF9AE}" pid="3" name="editor_options">
    <vt:lpwstr/>
  </property>
  <property fmtid="{D5CDD505-2E9C-101B-9397-08002B2CF9AE}" pid="4" name="output">
    <vt:lpwstr>word_document</vt:lpwstr>
  </property>
</Properties>
</file>