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DF09" w14:textId="77777777" w:rsidR="00FB4708" w:rsidRPr="00FB4708" w:rsidRDefault="00FB4708" w:rsidP="00FB4708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FB4708">
        <w:rPr>
          <w:sz w:val="24"/>
        </w:rPr>
        <w:t xml:space="preserve">Millar, C. P., Jardim, E., Scott, F., </w:t>
      </w:r>
      <w:proofErr w:type="spellStart"/>
      <w:r w:rsidRPr="00FB4708">
        <w:rPr>
          <w:sz w:val="24"/>
        </w:rPr>
        <w:t>Osio</w:t>
      </w:r>
      <w:proofErr w:type="spellEnd"/>
      <w:r w:rsidRPr="00FB4708">
        <w:rPr>
          <w:sz w:val="24"/>
        </w:rPr>
        <w:t xml:space="preserve">, G. C., </w:t>
      </w:r>
      <w:proofErr w:type="spellStart"/>
      <w:r w:rsidRPr="00FB4708">
        <w:rPr>
          <w:sz w:val="24"/>
        </w:rPr>
        <w:t>Mosqueira</w:t>
      </w:r>
      <w:proofErr w:type="spellEnd"/>
      <w:r w:rsidRPr="00FB4708">
        <w:rPr>
          <w:sz w:val="24"/>
        </w:rPr>
        <w:t xml:space="preserve">, I., &amp; </w:t>
      </w:r>
      <w:proofErr w:type="spellStart"/>
      <w:r w:rsidRPr="00FB4708">
        <w:rPr>
          <w:sz w:val="24"/>
        </w:rPr>
        <w:t>Alzorriz</w:t>
      </w:r>
      <w:proofErr w:type="spellEnd"/>
      <w:r w:rsidRPr="00FB4708">
        <w:rPr>
          <w:sz w:val="24"/>
        </w:rPr>
        <w:t xml:space="preserve">, N. (2015). Model averaging to streamline the stock assessment process. </w:t>
      </w:r>
      <w:r w:rsidRPr="00FB4708">
        <w:rPr>
          <w:i/>
          <w:iCs/>
          <w:sz w:val="24"/>
        </w:rPr>
        <w:t>ICES Journal of Marine Science</w:t>
      </w:r>
      <w:r w:rsidRPr="00FB4708">
        <w:rPr>
          <w:sz w:val="24"/>
        </w:rPr>
        <w:t xml:space="preserve">, </w:t>
      </w:r>
      <w:r w:rsidRPr="00FB4708">
        <w:rPr>
          <w:i/>
          <w:iCs/>
          <w:sz w:val="24"/>
        </w:rPr>
        <w:t>72</w:t>
      </w:r>
      <w:r w:rsidRPr="00FB4708">
        <w:rPr>
          <w:sz w:val="24"/>
        </w:rPr>
        <w:t>(1), 93–98. http://doi.org/10.1093/icesjms/fsu043</w:t>
      </w:r>
    </w:p>
    <w:p w14:paraId="59E84D92" w14:textId="77777777" w:rsidR="00E97A9D" w:rsidRPr="00E97A9D" w:rsidRDefault="00E97A9D" w:rsidP="00E97A9D">
      <w:pPr>
        <w:spacing w:before="100" w:beforeAutospacing="1" w:after="100" w:afterAutospacing="1"/>
        <w:ind w:left="480" w:hanging="480"/>
        <w:jc w:val="left"/>
        <w:rPr>
          <w:sz w:val="24"/>
        </w:rPr>
      </w:pPr>
      <w:bookmarkStart w:id="0" w:name="t1"/>
      <w:r w:rsidRPr="00E97A9D">
        <w:rPr>
          <w:sz w:val="24"/>
        </w:rPr>
        <w:t xml:space="preserve">Watson, J. T., &amp; Haynie, A. C. (2018). Paths to resilience: Alaska pollock fleet uses multiple fishing strategies to buffer against environmental change in the Bering Sea. </w:t>
      </w:r>
      <w:r w:rsidRPr="00E97A9D">
        <w:rPr>
          <w:i/>
          <w:iCs/>
          <w:sz w:val="24"/>
        </w:rPr>
        <w:t xml:space="preserve">Can. J. Fish. </w:t>
      </w:r>
      <w:proofErr w:type="spellStart"/>
      <w:r w:rsidRPr="00E97A9D">
        <w:rPr>
          <w:i/>
          <w:iCs/>
          <w:sz w:val="24"/>
        </w:rPr>
        <w:t>Aquat</w:t>
      </w:r>
      <w:proofErr w:type="spellEnd"/>
      <w:r w:rsidRPr="00E97A9D">
        <w:rPr>
          <w:i/>
          <w:iCs/>
          <w:sz w:val="24"/>
        </w:rPr>
        <w:t>. Sci</w:t>
      </w:r>
      <w:r w:rsidRPr="00E97A9D">
        <w:rPr>
          <w:sz w:val="24"/>
        </w:rPr>
        <w:t xml:space="preserve">, </w:t>
      </w:r>
      <w:r w:rsidRPr="00E97A9D">
        <w:rPr>
          <w:i/>
          <w:iCs/>
          <w:sz w:val="24"/>
        </w:rPr>
        <w:t>13</w:t>
      </w:r>
      <w:r w:rsidRPr="00E97A9D">
        <w:rPr>
          <w:sz w:val="24"/>
        </w:rPr>
        <w:t>(March), 1–13. http://doi.org/https://doi.org/10.1139/cjfas-2017-0315.</w:t>
      </w:r>
    </w:p>
    <w:bookmarkEnd w:id="0"/>
    <w:p w14:paraId="5F6C51C3" w14:textId="77777777" w:rsidR="00831388" w:rsidRPr="00831388" w:rsidRDefault="00831388" w:rsidP="00831388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831388">
        <w:rPr>
          <w:sz w:val="24"/>
        </w:rPr>
        <w:t xml:space="preserve">Stevenson, D. E., &amp; </w:t>
      </w:r>
      <w:proofErr w:type="spellStart"/>
      <w:r w:rsidRPr="00831388">
        <w:rPr>
          <w:sz w:val="24"/>
        </w:rPr>
        <w:t>Lauth</w:t>
      </w:r>
      <w:proofErr w:type="spellEnd"/>
      <w:r w:rsidRPr="00831388">
        <w:rPr>
          <w:sz w:val="24"/>
        </w:rPr>
        <w:t xml:space="preserve">, R. R. (2012). Latitudinal trends and temporal shifts in the catch composition of bottom trawls conducted on the eastern Bering Sea shelf. </w:t>
      </w:r>
      <w:r w:rsidRPr="00831388">
        <w:rPr>
          <w:i/>
          <w:iCs/>
          <w:sz w:val="24"/>
        </w:rPr>
        <w:t>Deep-Sea Research Part II: Topical Studies in Oceanography</w:t>
      </w:r>
      <w:r w:rsidRPr="00831388">
        <w:rPr>
          <w:sz w:val="24"/>
        </w:rPr>
        <w:t xml:space="preserve">, </w:t>
      </w:r>
      <w:r w:rsidRPr="00831388">
        <w:rPr>
          <w:i/>
          <w:iCs/>
          <w:sz w:val="24"/>
        </w:rPr>
        <w:t>65</w:t>
      </w:r>
      <w:r w:rsidRPr="00831388">
        <w:rPr>
          <w:sz w:val="24"/>
        </w:rPr>
        <w:t>–</w:t>
      </w:r>
      <w:r w:rsidRPr="00831388">
        <w:rPr>
          <w:i/>
          <w:iCs/>
          <w:sz w:val="24"/>
        </w:rPr>
        <w:t>70</w:t>
      </w:r>
      <w:r w:rsidRPr="00831388">
        <w:rPr>
          <w:sz w:val="24"/>
        </w:rPr>
        <w:t>, 251–259. http://doi.org/10.1016/j.dsr2.2012.02.021</w:t>
      </w:r>
    </w:p>
    <w:p w14:paraId="3E36C3F4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t>Haynie, A., &amp; Pfeiffer, L. (2013). Climatic and economic drivers of the Bering Sea walleye pollock (</w:t>
      </w:r>
      <w:proofErr w:type="spellStart"/>
      <w:r w:rsidRPr="00712255">
        <w:rPr>
          <w:sz w:val="24"/>
        </w:rPr>
        <w:t>Theragra</w:t>
      </w:r>
      <w:proofErr w:type="spellEnd"/>
      <w:r w:rsidRPr="00712255">
        <w:rPr>
          <w:sz w:val="24"/>
        </w:rPr>
        <w:t xml:space="preserve"> </w:t>
      </w:r>
      <w:proofErr w:type="spellStart"/>
      <w:r w:rsidRPr="00712255">
        <w:rPr>
          <w:sz w:val="24"/>
        </w:rPr>
        <w:t>chalcogramma</w:t>
      </w:r>
      <w:proofErr w:type="spellEnd"/>
      <w:r w:rsidRPr="00712255">
        <w:rPr>
          <w:sz w:val="24"/>
        </w:rPr>
        <w:t xml:space="preserve">) fishery: implications for the future. </w:t>
      </w:r>
      <w:r w:rsidRPr="00712255">
        <w:rPr>
          <w:i/>
          <w:iCs/>
          <w:sz w:val="24"/>
        </w:rPr>
        <w:t>Canadian Journal of Fisheries and Aquatic Science…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70</w:t>
      </w:r>
      <w:r w:rsidRPr="00712255">
        <w:rPr>
          <w:sz w:val="24"/>
        </w:rPr>
        <w:t>(April), 841–853. http://doi.org/dx.doi.org/10.1139/cjfas-2012-0265</w:t>
      </w:r>
    </w:p>
    <w:p w14:paraId="56084334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t xml:space="preserve">Baker, M. R., &amp; Hollowed, A. B. (2014). Delineating ecological regions in marine systems: Integrating physical structure and community composition to inform spatial management in the eastern Bering Sea. </w:t>
      </w:r>
      <w:r w:rsidRPr="00712255">
        <w:rPr>
          <w:i/>
          <w:iCs/>
          <w:sz w:val="24"/>
        </w:rPr>
        <w:t>Deep-Sea Research Part II: Topical Studies in Oceanography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109</w:t>
      </w:r>
      <w:r w:rsidRPr="00712255">
        <w:rPr>
          <w:sz w:val="24"/>
        </w:rPr>
        <w:t>, 215–240. http://doi.org/10.1016/j.dsr2.2014.03.001</w:t>
      </w:r>
    </w:p>
    <w:p w14:paraId="1606FA62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t xml:space="preserve">Spencer, P. D., Holsman, K. K., </w:t>
      </w:r>
      <w:proofErr w:type="spellStart"/>
      <w:r w:rsidRPr="00712255">
        <w:rPr>
          <w:sz w:val="24"/>
        </w:rPr>
        <w:t>Zador</w:t>
      </w:r>
      <w:proofErr w:type="spellEnd"/>
      <w:r w:rsidRPr="00712255">
        <w:rPr>
          <w:sz w:val="24"/>
        </w:rPr>
        <w:t xml:space="preserve">, S., Bond, N. A., </w:t>
      </w:r>
      <w:proofErr w:type="spellStart"/>
      <w:r w:rsidRPr="00712255">
        <w:rPr>
          <w:sz w:val="24"/>
        </w:rPr>
        <w:t>Mueter</w:t>
      </w:r>
      <w:proofErr w:type="spellEnd"/>
      <w:r w:rsidRPr="00712255">
        <w:rPr>
          <w:sz w:val="24"/>
        </w:rPr>
        <w:t xml:space="preserve">, F. J., Hollowed, A. B., &amp; Ianelli, J. N. (2016). Under Future Climate Scenarios, </w:t>
      </w:r>
      <w:r w:rsidRPr="00712255">
        <w:rPr>
          <w:i/>
          <w:iCs/>
          <w:sz w:val="24"/>
        </w:rPr>
        <w:t>73</w:t>
      </w:r>
      <w:r w:rsidRPr="00712255">
        <w:rPr>
          <w:sz w:val="24"/>
        </w:rPr>
        <w:t>, 1330–1342.</w:t>
      </w:r>
    </w:p>
    <w:p w14:paraId="24C048EF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712255">
        <w:rPr>
          <w:sz w:val="24"/>
        </w:rPr>
        <w:t>Mueter</w:t>
      </w:r>
      <w:proofErr w:type="spellEnd"/>
      <w:r w:rsidRPr="00712255">
        <w:rPr>
          <w:sz w:val="24"/>
        </w:rPr>
        <w:t xml:space="preserve">, F., Palmer, M., &amp; Norcross, B. (2004). Environmental predictors of walleye pollock recruitment on the Eastern Bering Sea shelf. </w:t>
      </w:r>
      <w:r w:rsidRPr="00712255">
        <w:rPr>
          <w:i/>
          <w:iCs/>
          <w:sz w:val="24"/>
        </w:rPr>
        <w:t>Final Report to the Pollock …</w:t>
      </w:r>
      <w:r w:rsidRPr="00712255">
        <w:rPr>
          <w:sz w:val="24"/>
        </w:rPr>
        <w:t xml:space="preserve">, (June 2004). Retrieved from https://www.sfos.uaf.edu/pcc/projects/03/norcross/Mueter </w:t>
      </w:r>
      <w:proofErr w:type="spellStart"/>
      <w:r w:rsidRPr="00712255">
        <w:rPr>
          <w:sz w:val="24"/>
        </w:rPr>
        <w:t>Norcorss</w:t>
      </w:r>
      <w:proofErr w:type="spellEnd"/>
      <w:r w:rsidRPr="00712255">
        <w:rPr>
          <w:sz w:val="24"/>
        </w:rPr>
        <w:t xml:space="preserve"> Final Report 2003.pdf</w:t>
      </w:r>
    </w:p>
    <w:p w14:paraId="7FBACFAA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712255">
        <w:rPr>
          <w:sz w:val="24"/>
        </w:rPr>
        <w:t>Shubina</w:t>
      </w:r>
      <w:proofErr w:type="spellEnd"/>
      <w:r w:rsidRPr="00712255">
        <w:rPr>
          <w:sz w:val="24"/>
        </w:rPr>
        <w:t xml:space="preserve">, E. a., </w:t>
      </w:r>
      <w:proofErr w:type="spellStart"/>
      <w:r w:rsidRPr="00712255">
        <w:rPr>
          <w:sz w:val="24"/>
        </w:rPr>
        <w:t>Ponomareva</w:t>
      </w:r>
      <w:proofErr w:type="spellEnd"/>
      <w:r w:rsidRPr="00712255">
        <w:rPr>
          <w:sz w:val="24"/>
        </w:rPr>
        <w:t xml:space="preserve">, E. V., &amp; </w:t>
      </w:r>
      <w:proofErr w:type="spellStart"/>
      <w:r w:rsidRPr="00712255">
        <w:rPr>
          <w:sz w:val="24"/>
        </w:rPr>
        <w:t>Glubokov</w:t>
      </w:r>
      <w:proofErr w:type="spellEnd"/>
      <w:r w:rsidRPr="00712255">
        <w:rPr>
          <w:sz w:val="24"/>
        </w:rPr>
        <w:t xml:space="preserve">, a. I. (2009). Population genetic structure of walleye pollock </w:t>
      </w:r>
      <w:proofErr w:type="spellStart"/>
      <w:r w:rsidRPr="00712255">
        <w:rPr>
          <w:sz w:val="24"/>
        </w:rPr>
        <w:t>Theragra</w:t>
      </w:r>
      <w:proofErr w:type="spellEnd"/>
      <w:r w:rsidRPr="00712255">
        <w:rPr>
          <w:sz w:val="24"/>
        </w:rPr>
        <w:t xml:space="preserve"> </w:t>
      </w:r>
      <w:proofErr w:type="spellStart"/>
      <w:r w:rsidRPr="00712255">
        <w:rPr>
          <w:sz w:val="24"/>
        </w:rPr>
        <w:t>chalcogramma</w:t>
      </w:r>
      <w:proofErr w:type="spellEnd"/>
      <w:r w:rsidRPr="00712255">
        <w:rPr>
          <w:sz w:val="24"/>
        </w:rPr>
        <w:t xml:space="preserve"> (</w:t>
      </w:r>
      <w:proofErr w:type="spellStart"/>
      <w:r w:rsidRPr="00712255">
        <w:rPr>
          <w:sz w:val="24"/>
        </w:rPr>
        <w:t>Gadidae</w:t>
      </w:r>
      <w:proofErr w:type="spellEnd"/>
      <w:r w:rsidRPr="00712255">
        <w:rPr>
          <w:sz w:val="24"/>
        </w:rPr>
        <w:t xml:space="preserve">, Pisces) from the Bering Sea and Sea of Okhotsk. </w:t>
      </w:r>
      <w:r w:rsidRPr="00712255">
        <w:rPr>
          <w:i/>
          <w:iCs/>
          <w:sz w:val="24"/>
        </w:rPr>
        <w:t>Molecular Biology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43</w:t>
      </w:r>
      <w:r w:rsidRPr="00712255">
        <w:rPr>
          <w:sz w:val="24"/>
        </w:rPr>
        <w:t>(5), 855–866. http://doi.org/10.1134/S0026893309050161</w:t>
      </w:r>
    </w:p>
    <w:p w14:paraId="3CBD9A9A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t xml:space="preserve">Hunsicker, M. E., </w:t>
      </w:r>
      <w:proofErr w:type="spellStart"/>
      <w:r w:rsidRPr="00712255">
        <w:rPr>
          <w:sz w:val="24"/>
        </w:rPr>
        <w:t>Ciannelli</w:t>
      </w:r>
      <w:proofErr w:type="spellEnd"/>
      <w:r w:rsidRPr="00712255">
        <w:rPr>
          <w:sz w:val="24"/>
        </w:rPr>
        <w:t xml:space="preserve">, L., Bailey, K. M., </w:t>
      </w:r>
      <w:proofErr w:type="spellStart"/>
      <w:r w:rsidRPr="00712255">
        <w:rPr>
          <w:sz w:val="24"/>
        </w:rPr>
        <w:t>Zador</w:t>
      </w:r>
      <w:proofErr w:type="spellEnd"/>
      <w:r w:rsidRPr="00712255">
        <w:rPr>
          <w:sz w:val="24"/>
        </w:rPr>
        <w:t xml:space="preserve">, S., &amp; </w:t>
      </w:r>
      <w:proofErr w:type="spellStart"/>
      <w:r w:rsidRPr="00712255">
        <w:rPr>
          <w:sz w:val="24"/>
        </w:rPr>
        <w:t>Stige</w:t>
      </w:r>
      <w:proofErr w:type="spellEnd"/>
      <w:r w:rsidRPr="00712255">
        <w:rPr>
          <w:sz w:val="24"/>
        </w:rPr>
        <w:t xml:space="preserve">, L. C. (2013). Climate and Demography Dictate the Strength of Predator-Prey Overlap in a Subarctic Marine Ecosystem. </w:t>
      </w:r>
      <w:proofErr w:type="spellStart"/>
      <w:r w:rsidRPr="00712255">
        <w:rPr>
          <w:i/>
          <w:iCs/>
          <w:sz w:val="24"/>
        </w:rPr>
        <w:t>PloS</w:t>
      </w:r>
      <w:proofErr w:type="spellEnd"/>
      <w:r w:rsidRPr="00712255">
        <w:rPr>
          <w:i/>
          <w:iCs/>
          <w:sz w:val="24"/>
        </w:rPr>
        <w:t xml:space="preserve"> One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8</w:t>
      </w:r>
      <w:r w:rsidRPr="00712255">
        <w:rPr>
          <w:sz w:val="24"/>
        </w:rPr>
        <w:t>(6), e66025. http://doi.org/10.1371/journal.pone.0066025</w:t>
      </w:r>
    </w:p>
    <w:p w14:paraId="50E0EADF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712255">
        <w:rPr>
          <w:sz w:val="24"/>
        </w:rPr>
        <w:t>Stabeno</w:t>
      </w:r>
      <w:proofErr w:type="spellEnd"/>
      <w:r w:rsidRPr="00712255">
        <w:rPr>
          <w:sz w:val="24"/>
        </w:rPr>
        <w:t xml:space="preserve">, P. J., </w:t>
      </w:r>
      <w:proofErr w:type="spellStart"/>
      <w:r w:rsidRPr="00712255">
        <w:rPr>
          <w:sz w:val="24"/>
        </w:rPr>
        <w:t>Kachel</w:t>
      </w:r>
      <w:proofErr w:type="spellEnd"/>
      <w:r w:rsidRPr="00712255">
        <w:rPr>
          <w:sz w:val="24"/>
        </w:rPr>
        <w:t xml:space="preserve">, N. B., Moore, S. E., </w:t>
      </w:r>
      <w:proofErr w:type="spellStart"/>
      <w:r w:rsidRPr="00712255">
        <w:rPr>
          <w:sz w:val="24"/>
        </w:rPr>
        <w:t>Napp</w:t>
      </w:r>
      <w:proofErr w:type="spellEnd"/>
      <w:r w:rsidRPr="00712255">
        <w:rPr>
          <w:sz w:val="24"/>
        </w:rPr>
        <w:t xml:space="preserve">, J. M., Sigler, M., Yamaguchi, A., &amp; </w:t>
      </w:r>
      <w:proofErr w:type="spellStart"/>
      <w:r w:rsidRPr="00712255">
        <w:rPr>
          <w:sz w:val="24"/>
        </w:rPr>
        <w:t>Zerbini</w:t>
      </w:r>
      <w:proofErr w:type="spellEnd"/>
      <w:r w:rsidRPr="00712255">
        <w:rPr>
          <w:sz w:val="24"/>
        </w:rPr>
        <w:t xml:space="preserve">, A. N. (2012). Comparison of warm and cold years on the southeastern Bering Sea shelf and some implications for the ecosystem. </w:t>
      </w:r>
      <w:r w:rsidRPr="00712255">
        <w:rPr>
          <w:i/>
          <w:iCs/>
          <w:sz w:val="24"/>
        </w:rPr>
        <w:t>Deep-Sea Research Part II: Topical Studies in Oceanography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65</w:t>
      </w:r>
      <w:r w:rsidRPr="00712255">
        <w:rPr>
          <w:sz w:val="24"/>
        </w:rPr>
        <w:t>–</w:t>
      </w:r>
      <w:r w:rsidRPr="00712255">
        <w:rPr>
          <w:i/>
          <w:iCs/>
          <w:sz w:val="24"/>
        </w:rPr>
        <w:t>70</w:t>
      </w:r>
      <w:r w:rsidRPr="00712255">
        <w:rPr>
          <w:sz w:val="24"/>
        </w:rPr>
        <w:t>, 31–45. http://doi.org/10.1016/j.dsr2.2012.02.020</w:t>
      </w:r>
    </w:p>
    <w:p w14:paraId="5F9F608D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lastRenderedPageBreak/>
        <w:t xml:space="preserve">Thorson, J. T., Ianelli, J. N., &amp; Kotwicki, S. (2017). The relative influence of temperature and size-structure on fish distribution shifts: A case-study on Walleye pollock in the Bering Sea. </w:t>
      </w:r>
      <w:r w:rsidRPr="00712255">
        <w:rPr>
          <w:i/>
          <w:iCs/>
          <w:sz w:val="24"/>
        </w:rPr>
        <w:t>Fish and Fisheries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18</w:t>
      </w:r>
      <w:r w:rsidRPr="00712255">
        <w:rPr>
          <w:sz w:val="24"/>
        </w:rPr>
        <w:t>(6), 1073–1084. http://doi.org/10.1111/faf.12225</w:t>
      </w:r>
    </w:p>
    <w:p w14:paraId="0047DE83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t xml:space="preserve">Thorson, J. T., Ianelli, J. N., Larsen, E. A., </w:t>
      </w:r>
      <w:proofErr w:type="spellStart"/>
      <w:r w:rsidRPr="00712255">
        <w:rPr>
          <w:sz w:val="24"/>
        </w:rPr>
        <w:t>Ries</w:t>
      </w:r>
      <w:proofErr w:type="spellEnd"/>
      <w:r w:rsidRPr="00712255">
        <w:rPr>
          <w:sz w:val="24"/>
        </w:rPr>
        <w:t xml:space="preserve">, L., </w:t>
      </w:r>
      <w:proofErr w:type="spellStart"/>
      <w:r w:rsidRPr="00712255">
        <w:rPr>
          <w:sz w:val="24"/>
        </w:rPr>
        <w:t>Scheuerell</w:t>
      </w:r>
      <w:proofErr w:type="spellEnd"/>
      <w:r w:rsidRPr="00712255">
        <w:rPr>
          <w:sz w:val="24"/>
        </w:rPr>
        <w:t xml:space="preserve">, M. D., </w:t>
      </w:r>
      <w:proofErr w:type="spellStart"/>
      <w:r w:rsidRPr="00712255">
        <w:rPr>
          <w:sz w:val="24"/>
        </w:rPr>
        <w:t>Szuwalski</w:t>
      </w:r>
      <w:proofErr w:type="spellEnd"/>
      <w:r w:rsidRPr="00712255">
        <w:rPr>
          <w:sz w:val="24"/>
        </w:rPr>
        <w:t xml:space="preserve">, C., &amp; </w:t>
      </w:r>
      <w:proofErr w:type="spellStart"/>
      <w:r w:rsidRPr="00712255">
        <w:rPr>
          <w:sz w:val="24"/>
        </w:rPr>
        <w:t>Zipkin</w:t>
      </w:r>
      <w:proofErr w:type="spellEnd"/>
      <w:r w:rsidRPr="00712255">
        <w:rPr>
          <w:sz w:val="24"/>
        </w:rPr>
        <w:t xml:space="preserve">, E. F. (2016). Joint dynamic species distribution models: a tool for community ordination and </w:t>
      </w:r>
      <w:proofErr w:type="spellStart"/>
      <w:r w:rsidRPr="00712255">
        <w:rPr>
          <w:sz w:val="24"/>
        </w:rPr>
        <w:t>spatio</w:t>
      </w:r>
      <w:proofErr w:type="spellEnd"/>
      <w:r w:rsidRPr="00712255">
        <w:rPr>
          <w:sz w:val="24"/>
        </w:rPr>
        <w:t xml:space="preserve">-temporal monitoring. </w:t>
      </w:r>
      <w:r w:rsidRPr="00712255">
        <w:rPr>
          <w:i/>
          <w:iCs/>
          <w:sz w:val="24"/>
        </w:rPr>
        <w:t>Global Ecology and Biogeography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25</w:t>
      </w:r>
      <w:r w:rsidRPr="00712255">
        <w:rPr>
          <w:sz w:val="24"/>
        </w:rPr>
        <w:t>(9), 1144–1158. http://doi.org/10.1111/geb.12464</w:t>
      </w:r>
    </w:p>
    <w:p w14:paraId="60300089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712255">
        <w:rPr>
          <w:sz w:val="24"/>
        </w:rPr>
        <w:t xml:space="preserve">Pfeiffer, L., &amp; Haynie, A. C. A. (2012). The effect of decreasing seasonal sea-ice cover on the winter Bering Sea pollock fishery. </w:t>
      </w:r>
      <w:r w:rsidRPr="00712255">
        <w:rPr>
          <w:i/>
          <w:iCs/>
          <w:sz w:val="24"/>
        </w:rPr>
        <w:t>ICES Journal of Marine Science: …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69</w:t>
      </w:r>
      <w:r w:rsidRPr="00712255">
        <w:rPr>
          <w:sz w:val="24"/>
        </w:rPr>
        <w:t>(7), 1148–1159. http://doi.org/10.1093/icesjms/fss097</w:t>
      </w:r>
    </w:p>
    <w:p w14:paraId="2C916369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712255">
        <w:rPr>
          <w:sz w:val="24"/>
        </w:rPr>
        <w:t>Melorose</w:t>
      </w:r>
      <w:proofErr w:type="spellEnd"/>
      <w:r w:rsidRPr="00712255">
        <w:rPr>
          <w:sz w:val="24"/>
        </w:rPr>
        <w:t xml:space="preserve">, J., </w:t>
      </w:r>
      <w:proofErr w:type="spellStart"/>
      <w:r w:rsidRPr="00712255">
        <w:rPr>
          <w:sz w:val="24"/>
        </w:rPr>
        <w:t>Perroy</w:t>
      </w:r>
      <w:proofErr w:type="spellEnd"/>
      <w:r w:rsidRPr="00712255">
        <w:rPr>
          <w:sz w:val="24"/>
        </w:rPr>
        <w:t xml:space="preserve">, R., &amp; </w:t>
      </w:r>
      <w:proofErr w:type="spellStart"/>
      <w:r w:rsidRPr="00712255">
        <w:rPr>
          <w:sz w:val="24"/>
        </w:rPr>
        <w:t>Careas</w:t>
      </w:r>
      <w:proofErr w:type="spellEnd"/>
      <w:r w:rsidRPr="00712255">
        <w:rPr>
          <w:sz w:val="24"/>
        </w:rPr>
        <w:t xml:space="preserve">, S. (2015). No Title No Title. </w:t>
      </w:r>
      <w:r w:rsidRPr="00712255">
        <w:rPr>
          <w:i/>
          <w:iCs/>
          <w:sz w:val="24"/>
        </w:rPr>
        <w:t>Statewide Agricultural Land Use Baseline 2015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1</w:t>
      </w:r>
      <w:r w:rsidRPr="00712255">
        <w:rPr>
          <w:sz w:val="24"/>
        </w:rPr>
        <w:t>(Version 4). http://doi.org/10.1017/CBO9781107415324.004</w:t>
      </w:r>
    </w:p>
    <w:p w14:paraId="609F7AA0" w14:textId="77777777" w:rsidR="00712255" w:rsidRPr="00712255" w:rsidRDefault="00712255" w:rsidP="00712255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712255">
        <w:rPr>
          <w:sz w:val="24"/>
        </w:rPr>
        <w:t>Mueter</w:t>
      </w:r>
      <w:proofErr w:type="spellEnd"/>
      <w:r w:rsidRPr="00712255">
        <w:rPr>
          <w:sz w:val="24"/>
        </w:rPr>
        <w:t>, F. J., Ladd, C., Palmer, M. C., &amp; Norcross, B. L. (2006). Bottom-up and top-down controls of walleye pollock (</w:t>
      </w:r>
      <w:proofErr w:type="spellStart"/>
      <w:r w:rsidRPr="00712255">
        <w:rPr>
          <w:sz w:val="24"/>
        </w:rPr>
        <w:t>Theragra</w:t>
      </w:r>
      <w:proofErr w:type="spellEnd"/>
      <w:r w:rsidRPr="00712255">
        <w:rPr>
          <w:sz w:val="24"/>
        </w:rPr>
        <w:t xml:space="preserve"> </w:t>
      </w:r>
      <w:proofErr w:type="spellStart"/>
      <w:r w:rsidRPr="00712255">
        <w:rPr>
          <w:sz w:val="24"/>
        </w:rPr>
        <w:t>chalcogramma</w:t>
      </w:r>
      <w:proofErr w:type="spellEnd"/>
      <w:r w:rsidRPr="00712255">
        <w:rPr>
          <w:sz w:val="24"/>
        </w:rPr>
        <w:t xml:space="preserve">) on the Eastern Bering Sea shelf. </w:t>
      </w:r>
      <w:r w:rsidRPr="00712255">
        <w:rPr>
          <w:i/>
          <w:iCs/>
          <w:sz w:val="24"/>
        </w:rPr>
        <w:t>Progress in Oceanography</w:t>
      </w:r>
      <w:r w:rsidRPr="00712255">
        <w:rPr>
          <w:sz w:val="24"/>
        </w:rPr>
        <w:t xml:space="preserve">, </w:t>
      </w:r>
      <w:r w:rsidRPr="00712255">
        <w:rPr>
          <w:i/>
          <w:iCs/>
          <w:sz w:val="24"/>
        </w:rPr>
        <w:t>68</w:t>
      </w:r>
      <w:r w:rsidRPr="00712255">
        <w:rPr>
          <w:sz w:val="24"/>
        </w:rPr>
        <w:t>(2–4), 152–183. http://doi.org/10.1016/j.pocean.2006.02.012</w:t>
      </w:r>
    </w:p>
    <w:p w14:paraId="255167E2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Conners</w:t>
      </w:r>
      <w:proofErr w:type="spellEnd"/>
      <w:r w:rsidRPr="001E0A2E">
        <w:rPr>
          <w:sz w:val="24"/>
        </w:rPr>
        <w:t xml:space="preserve">, M. E., Hollowed, a. B., &amp; Brown, E. (2002). Retrospective analysis of Bering Sea bottom trawl surveys: Regime shift and ecosystem reorganization. </w:t>
      </w:r>
      <w:r w:rsidRPr="001E0A2E">
        <w:rPr>
          <w:i/>
          <w:iCs/>
          <w:sz w:val="24"/>
        </w:rPr>
        <w:t>Progress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55</w:t>
      </w:r>
      <w:r w:rsidRPr="001E0A2E">
        <w:rPr>
          <w:sz w:val="24"/>
        </w:rPr>
        <w:t>(1–2 SPEC ISS.), 209–222. http://doi.org/10.1016/S0079-6611(02)00079-4</w:t>
      </w:r>
    </w:p>
    <w:p w14:paraId="3F0B01BF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Stabeno</w:t>
      </w:r>
      <w:proofErr w:type="spellEnd"/>
      <w:r w:rsidRPr="001E0A2E">
        <w:rPr>
          <w:sz w:val="24"/>
        </w:rPr>
        <w:t xml:space="preserve">, P. J., Farley, E. V., </w:t>
      </w:r>
      <w:proofErr w:type="spellStart"/>
      <w:r w:rsidRPr="001E0A2E">
        <w:rPr>
          <w:sz w:val="24"/>
        </w:rPr>
        <w:t>Kachel</w:t>
      </w:r>
      <w:proofErr w:type="spellEnd"/>
      <w:r w:rsidRPr="001E0A2E">
        <w:rPr>
          <w:sz w:val="24"/>
        </w:rPr>
        <w:t xml:space="preserve">, N. B., Moore, S., </w:t>
      </w:r>
      <w:proofErr w:type="spellStart"/>
      <w:r w:rsidRPr="001E0A2E">
        <w:rPr>
          <w:sz w:val="24"/>
        </w:rPr>
        <w:t>Mordy</w:t>
      </w:r>
      <w:proofErr w:type="spellEnd"/>
      <w:r w:rsidRPr="001E0A2E">
        <w:rPr>
          <w:sz w:val="24"/>
        </w:rPr>
        <w:t xml:space="preserve">, C. W., </w:t>
      </w:r>
      <w:proofErr w:type="spellStart"/>
      <w:r w:rsidRPr="001E0A2E">
        <w:rPr>
          <w:sz w:val="24"/>
        </w:rPr>
        <w:t>Napp</w:t>
      </w:r>
      <w:proofErr w:type="spellEnd"/>
      <w:r w:rsidRPr="001E0A2E">
        <w:rPr>
          <w:sz w:val="24"/>
        </w:rPr>
        <w:t xml:space="preserve">, J. M., … Sigler, M. F. (2012). A comparison of the physics of the northern and southern shelves of the eastern Bering Sea and some implications for the ecosystem.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65</w:t>
      </w:r>
      <w:r w:rsidRPr="001E0A2E">
        <w:rPr>
          <w:sz w:val="24"/>
        </w:rPr>
        <w:t>–</w:t>
      </w:r>
      <w:r w:rsidRPr="001E0A2E">
        <w:rPr>
          <w:i/>
          <w:iCs/>
          <w:sz w:val="24"/>
        </w:rPr>
        <w:t>70</w:t>
      </w:r>
      <w:r w:rsidRPr="001E0A2E">
        <w:rPr>
          <w:sz w:val="24"/>
        </w:rPr>
        <w:t>, 14–30. http://doi.org/10.1016/j.dsr2.2012.02.019</w:t>
      </w:r>
    </w:p>
    <w:p w14:paraId="244EE284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The, F. O. R. (2016). P ACIFIC C OAST G ROUNDFISH F ISHERY M ANAGEMENT P LAN, </w:t>
      </w:r>
      <w:r w:rsidRPr="001E0A2E">
        <w:rPr>
          <w:i/>
          <w:iCs/>
          <w:sz w:val="24"/>
        </w:rPr>
        <w:t>97220</w:t>
      </w:r>
      <w:r w:rsidRPr="001E0A2E">
        <w:rPr>
          <w:sz w:val="24"/>
        </w:rPr>
        <w:t>(503).</w:t>
      </w:r>
    </w:p>
    <w:p w14:paraId="0154AB89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Ressler, P. H., De </w:t>
      </w:r>
      <w:proofErr w:type="spellStart"/>
      <w:r w:rsidRPr="001E0A2E">
        <w:rPr>
          <w:sz w:val="24"/>
        </w:rPr>
        <w:t>Robertis</w:t>
      </w:r>
      <w:proofErr w:type="spellEnd"/>
      <w:r w:rsidRPr="001E0A2E">
        <w:rPr>
          <w:sz w:val="24"/>
        </w:rPr>
        <w:t xml:space="preserve">, A., &amp; Kotwicki, S. (2014). The spatial distribution of </w:t>
      </w:r>
      <w:proofErr w:type="spellStart"/>
      <w:r w:rsidRPr="001E0A2E">
        <w:rPr>
          <w:sz w:val="24"/>
        </w:rPr>
        <w:t>euphausiids</w:t>
      </w:r>
      <w:proofErr w:type="spellEnd"/>
      <w:r w:rsidRPr="001E0A2E">
        <w:rPr>
          <w:sz w:val="24"/>
        </w:rPr>
        <w:t xml:space="preserve"> and walleye pollock in the eastern Bering Sea does not imply top-down control by predation. </w:t>
      </w:r>
      <w:r w:rsidRPr="001E0A2E">
        <w:rPr>
          <w:i/>
          <w:iCs/>
          <w:sz w:val="24"/>
        </w:rPr>
        <w:t>Marine Ecology Progress Series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503</w:t>
      </w:r>
      <w:r w:rsidRPr="001E0A2E">
        <w:rPr>
          <w:sz w:val="24"/>
        </w:rPr>
        <w:t>, 111–122. http://doi.org/10.3354/meps10736</w:t>
      </w:r>
    </w:p>
    <w:p w14:paraId="2845687C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Zador</w:t>
      </w:r>
      <w:proofErr w:type="spellEnd"/>
      <w:r w:rsidRPr="001E0A2E">
        <w:rPr>
          <w:sz w:val="24"/>
        </w:rPr>
        <w:t xml:space="preserve">, S., Aydin, K., &amp; Cope, J. (2011). Fine-scale analysis of arrowtooth flounder </w:t>
      </w:r>
      <w:proofErr w:type="spellStart"/>
      <w:r w:rsidRPr="001E0A2E">
        <w:rPr>
          <w:sz w:val="24"/>
        </w:rPr>
        <w:t>Atherestes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stomias</w:t>
      </w:r>
      <w:proofErr w:type="spellEnd"/>
      <w:r w:rsidRPr="001E0A2E">
        <w:rPr>
          <w:sz w:val="24"/>
        </w:rPr>
        <w:t xml:space="preserve"> catch rates reveals spatial trends in abundance. </w:t>
      </w:r>
      <w:r w:rsidRPr="001E0A2E">
        <w:rPr>
          <w:i/>
          <w:iCs/>
          <w:sz w:val="24"/>
        </w:rPr>
        <w:t>Marine Ecology Progress Series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438</w:t>
      </w:r>
      <w:r w:rsidRPr="001E0A2E">
        <w:rPr>
          <w:sz w:val="24"/>
        </w:rPr>
        <w:t>, 229–239. http://doi.org/10.3354/meps09316</w:t>
      </w:r>
    </w:p>
    <w:p w14:paraId="09C61BFE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Iida, T., </w:t>
      </w:r>
      <w:proofErr w:type="spellStart"/>
      <w:r w:rsidRPr="001E0A2E">
        <w:rPr>
          <w:sz w:val="24"/>
        </w:rPr>
        <w:t>Saitoh</w:t>
      </w:r>
      <w:proofErr w:type="spellEnd"/>
      <w:r w:rsidRPr="001E0A2E">
        <w:rPr>
          <w:sz w:val="24"/>
        </w:rPr>
        <w:t xml:space="preserve">, S. I., </w:t>
      </w:r>
      <w:proofErr w:type="spellStart"/>
      <w:r w:rsidRPr="001E0A2E">
        <w:rPr>
          <w:sz w:val="24"/>
        </w:rPr>
        <w:t>Miyamura</w:t>
      </w:r>
      <w:proofErr w:type="spellEnd"/>
      <w:r w:rsidRPr="001E0A2E">
        <w:rPr>
          <w:sz w:val="24"/>
        </w:rPr>
        <w:t xml:space="preserve">, T., </w:t>
      </w:r>
      <w:proofErr w:type="spellStart"/>
      <w:r w:rsidRPr="001E0A2E">
        <w:rPr>
          <w:sz w:val="24"/>
        </w:rPr>
        <w:t>Toratani</w:t>
      </w:r>
      <w:proofErr w:type="spellEnd"/>
      <w:r w:rsidRPr="001E0A2E">
        <w:rPr>
          <w:sz w:val="24"/>
        </w:rPr>
        <w:t xml:space="preserve">, M., Fukushima, H., &amp; Shiga, N. (2002). Temporal and spatial variability of coccolithophore blooms in the eastern Bering Sea, 1998-2001. </w:t>
      </w:r>
      <w:r w:rsidRPr="001E0A2E">
        <w:rPr>
          <w:i/>
          <w:iCs/>
          <w:sz w:val="24"/>
        </w:rPr>
        <w:t>Progress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55</w:t>
      </w:r>
      <w:r w:rsidRPr="001E0A2E">
        <w:rPr>
          <w:sz w:val="24"/>
        </w:rPr>
        <w:t>(1–2 SPEC ISS.), 165–175. http://doi.org/10.1016/S0079-6611(02)00076-9</w:t>
      </w:r>
    </w:p>
    <w:p w14:paraId="102C8E12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lastRenderedPageBreak/>
        <w:t>Mueter</w:t>
      </w:r>
      <w:proofErr w:type="spellEnd"/>
      <w:r w:rsidRPr="001E0A2E">
        <w:rPr>
          <w:sz w:val="24"/>
        </w:rPr>
        <w:t>, F. J., Bond, N. A., Ianelli, J. N., &amp; Hollowed, A. B. (2011). Expected declines in recruitment of walleye pollock (</w:t>
      </w:r>
      <w:proofErr w:type="spellStart"/>
      <w:r w:rsidRPr="001E0A2E">
        <w:rPr>
          <w:sz w:val="24"/>
        </w:rPr>
        <w:t>Theragra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chalcogramma</w:t>
      </w:r>
      <w:proofErr w:type="spellEnd"/>
      <w:r w:rsidRPr="001E0A2E">
        <w:rPr>
          <w:sz w:val="24"/>
        </w:rPr>
        <w:t xml:space="preserve">) in the eastern Bering Sea under future climate change. </w:t>
      </w:r>
      <w:r w:rsidRPr="001E0A2E">
        <w:rPr>
          <w:i/>
          <w:iCs/>
          <w:sz w:val="24"/>
        </w:rPr>
        <w:t>ICES Journal of Marine Science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68</w:t>
      </w:r>
      <w:r w:rsidRPr="001E0A2E">
        <w:rPr>
          <w:sz w:val="24"/>
        </w:rPr>
        <w:t>, 1284–1296. http://doi.org/10.1093/icesjms/fsr022</w:t>
      </w:r>
    </w:p>
    <w:p w14:paraId="1852F982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Parker-Stetter, S., </w:t>
      </w:r>
      <w:proofErr w:type="spellStart"/>
      <w:r w:rsidRPr="001E0A2E">
        <w:rPr>
          <w:sz w:val="24"/>
        </w:rPr>
        <w:t>Urmy</w:t>
      </w:r>
      <w:proofErr w:type="spellEnd"/>
      <w:r w:rsidRPr="001E0A2E">
        <w:rPr>
          <w:sz w:val="24"/>
        </w:rPr>
        <w:t xml:space="preserve">, S., Horne, J., Eisner, L., &amp; Farley, E. (2016). Factors affecting summer distributions of Bering Sea forage fish species: Assessing competing hypotheses.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134</w:t>
      </w:r>
      <w:r w:rsidRPr="001E0A2E">
        <w:rPr>
          <w:sz w:val="24"/>
        </w:rPr>
        <w:t>, 255–269. http://doi.org/10.1016/j.dsr2.2016.06.013</w:t>
      </w:r>
    </w:p>
    <w:p w14:paraId="423AAB75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Hollowed, A. B., Barbeaux, S. J., </w:t>
      </w:r>
      <w:proofErr w:type="spellStart"/>
      <w:r w:rsidRPr="001E0A2E">
        <w:rPr>
          <w:sz w:val="24"/>
        </w:rPr>
        <w:t>Cokelet</w:t>
      </w:r>
      <w:proofErr w:type="spellEnd"/>
      <w:r w:rsidRPr="001E0A2E">
        <w:rPr>
          <w:sz w:val="24"/>
        </w:rPr>
        <w:t xml:space="preserve">, E. D., Farley, E., Kotwicki, S., Ressler, P. H., … Wilson, C. D. (2012). Effects of climate variations on pelagic ocean habitats and their role in structuring forage fish distributions in the Bering Sea. </w:t>
      </w:r>
      <w:r w:rsidRPr="001E0A2E">
        <w:rPr>
          <w:i/>
          <w:iCs/>
          <w:sz w:val="24"/>
        </w:rPr>
        <w:t>Deep 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65</w:t>
      </w:r>
      <w:r w:rsidRPr="001E0A2E">
        <w:rPr>
          <w:sz w:val="24"/>
        </w:rPr>
        <w:t>–</w:t>
      </w:r>
      <w:r w:rsidRPr="001E0A2E">
        <w:rPr>
          <w:i/>
          <w:iCs/>
          <w:sz w:val="24"/>
        </w:rPr>
        <w:t>70</w:t>
      </w:r>
      <w:r w:rsidRPr="001E0A2E">
        <w:rPr>
          <w:sz w:val="24"/>
        </w:rPr>
        <w:t>, 230–250. http://doi.org/10.1016/j.dsr2.2012.02.008</w:t>
      </w:r>
    </w:p>
    <w:p w14:paraId="5FD084AD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Barbeaux, S. J., &amp; Hollowed, A. B. (2018). Ontogeny matters: Climate variability and effects on fish distribution in the eastern Bering Sea. </w:t>
      </w:r>
      <w:r w:rsidRPr="001E0A2E">
        <w:rPr>
          <w:i/>
          <w:iCs/>
          <w:sz w:val="24"/>
        </w:rPr>
        <w:t>Fisheries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27</w:t>
      </w:r>
      <w:r w:rsidRPr="001E0A2E">
        <w:rPr>
          <w:sz w:val="24"/>
        </w:rPr>
        <w:t>(1), 1–15. http://doi.org/10.1111/fog.12229</w:t>
      </w:r>
    </w:p>
    <w:p w14:paraId="5D7EC8D9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Parrish, R. H., </w:t>
      </w:r>
      <w:proofErr w:type="spellStart"/>
      <w:r w:rsidRPr="001E0A2E">
        <w:rPr>
          <w:sz w:val="24"/>
        </w:rPr>
        <w:t>Bakun</w:t>
      </w:r>
      <w:proofErr w:type="spellEnd"/>
      <w:r w:rsidRPr="001E0A2E">
        <w:rPr>
          <w:sz w:val="24"/>
        </w:rPr>
        <w:t xml:space="preserve">, A., </w:t>
      </w:r>
      <w:proofErr w:type="spellStart"/>
      <w:r w:rsidRPr="001E0A2E">
        <w:rPr>
          <w:sz w:val="24"/>
        </w:rPr>
        <w:t>Husby</w:t>
      </w:r>
      <w:proofErr w:type="spellEnd"/>
      <w:r w:rsidRPr="001E0A2E">
        <w:rPr>
          <w:sz w:val="24"/>
        </w:rPr>
        <w:t xml:space="preserve">, D. M., &amp; Nelson, C. S. (1983). Comparative climatology of selected environmental processes in relation to eastern boundary current pelagic fish reproduction. </w:t>
      </w:r>
      <w:r w:rsidRPr="001E0A2E">
        <w:rPr>
          <w:i/>
          <w:iCs/>
          <w:sz w:val="24"/>
        </w:rPr>
        <w:t>Proceedings of the Expert Consultation to Examine Changes in Abundance and Species Composition of Neritic Fish Resources</w:t>
      </w:r>
      <w:r w:rsidRPr="001E0A2E">
        <w:rPr>
          <w:sz w:val="24"/>
        </w:rPr>
        <w:t>, (1), 731–778.</w:t>
      </w:r>
    </w:p>
    <w:p w14:paraId="63EC0B2A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Ohashi, R., Yamaguchi, A., </w:t>
      </w:r>
      <w:proofErr w:type="spellStart"/>
      <w:r w:rsidRPr="001E0A2E">
        <w:rPr>
          <w:sz w:val="24"/>
        </w:rPr>
        <w:t>Matsuno</w:t>
      </w:r>
      <w:proofErr w:type="spellEnd"/>
      <w:r w:rsidRPr="001E0A2E">
        <w:rPr>
          <w:sz w:val="24"/>
        </w:rPr>
        <w:t xml:space="preserve">, K., Saito, R., Yamada, N., </w:t>
      </w:r>
      <w:proofErr w:type="spellStart"/>
      <w:r w:rsidRPr="001E0A2E">
        <w:rPr>
          <w:sz w:val="24"/>
        </w:rPr>
        <w:t>Iijima</w:t>
      </w:r>
      <w:proofErr w:type="spellEnd"/>
      <w:r w:rsidRPr="001E0A2E">
        <w:rPr>
          <w:sz w:val="24"/>
        </w:rPr>
        <w:t xml:space="preserve">, A., … Imai, I. (2013). Interannual changes in the zooplankton community structure on the southeastern Bering Sea shelf during summers of 1994-2009.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94</w:t>
      </w:r>
      <w:r w:rsidRPr="001E0A2E">
        <w:rPr>
          <w:sz w:val="24"/>
        </w:rPr>
        <w:t>, 44–56. http://doi.org/10.1016/j.dsr2.2013.03.018</w:t>
      </w:r>
    </w:p>
    <w:p w14:paraId="71753E65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Duffy-Anderson, J. T., Barbeaux, S. J., Farley, E., </w:t>
      </w:r>
      <w:proofErr w:type="spellStart"/>
      <w:r w:rsidRPr="001E0A2E">
        <w:rPr>
          <w:sz w:val="24"/>
        </w:rPr>
        <w:t>Heintz</w:t>
      </w:r>
      <w:proofErr w:type="spellEnd"/>
      <w:r w:rsidRPr="001E0A2E">
        <w:rPr>
          <w:sz w:val="24"/>
        </w:rPr>
        <w:t xml:space="preserve">, R., Horne, J. K., Parker-Stetter, S. L., … Smart, T. I. (2016). The critical first year of life of walleye pollock (Gadus chalcogrammus) in the eastern Bering Sea: Implications for recruitment and future research.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134</w:t>
      </w:r>
      <w:r w:rsidRPr="001E0A2E">
        <w:rPr>
          <w:sz w:val="24"/>
        </w:rPr>
        <w:t>, 283–301. http://doi.org/10.1016/j.dsr2.2015.02.001</w:t>
      </w:r>
    </w:p>
    <w:p w14:paraId="39E7975C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Yanagimoto</w:t>
      </w:r>
      <w:proofErr w:type="spellEnd"/>
      <w:r w:rsidRPr="001E0A2E">
        <w:rPr>
          <w:sz w:val="24"/>
        </w:rPr>
        <w:t xml:space="preserve">, T., Nishimura, A., Mito, K., Takao, Y., &amp; Williamson, N. J. (2002). Interannual changes of biological properties of walleye pollock </w:t>
      </w:r>
      <w:proofErr w:type="spellStart"/>
      <w:r w:rsidRPr="001E0A2E">
        <w:rPr>
          <w:i/>
          <w:iCs/>
          <w:sz w:val="24"/>
        </w:rPr>
        <w:t>Theragra</w:t>
      </w:r>
      <w:proofErr w:type="spellEnd"/>
      <w:r w:rsidRPr="001E0A2E">
        <w:rPr>
          <w:i/>
          <w:iCs/>
          <w:sz w:val="24"/>
        </w:rPr>
        <w:t xml:space="preserve"> </w:t>
      </w:r>
      <w:proofErr w:type="spellStart"/>
      <w:r w:rsidRPr="001E0A2E">
        <w:rPr>
          <w:i/>
          <w:iCs/>
          <w:sz w:val="24"/>
        </w:rPr>
        <w:t>chalcogramma</w:t>
      </w:r>
      <w:proofErr w:type="spellEnd"/>
      <w:r w:rsidRPr="001E0A2E">
        <w:rPr>
          <w:sz w:val="24"/>
        </w:rPr>
        <w:t xml:space="preserve"> in the central Bering Sea. </w:t>
      </w:r>
      <w:r w:rsidRPr="001E0A2E">
        <w:rPr>
          <w:i/>
          <w:iCs/>
          <w:sz w:val="24"/>
        </w:rPr>
        <w:t>Progress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55</w:t>
      </w:r>
      <w:r w:rsidRPr="001E0A2E">
        <w:rPr>
          <w:sz w:val="24"/>
        </w:rPr>
        <w:t>, 195–208.</w:t>
      </w:r>
    </w:p>
    <w:p w14:paraId="04A68934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Bacheler</w:t>
      </w:r>
      <w:proofErr w:type="spellEnd"/>
      <w:r w:rsidRPr="001E0A2E">
        <w:rPr>
          <w:sz w:val="24"/>
        </w:rPr>
        <w:t xml:space="preserve">, N. M., </w:t>
      </w:r>
      <w:proofErr w:type="spellStart"/>
      <w:r w:rsidRPr="001E0A2E">
        <w:rPr>
          <w:sz w:val="24"/>
        </w:rPr>
        <w:t>Ciannelli</w:t>
      </w:r>
      <w:proofErr w:type="spellEnd"/>
      <w:r w:rsidRPr="001E0A2E">
        <w:rPr>
          <w:sz w:val="24"/>
        </w:rPr>
        <w:t>, L., Bailey, K. M., &amp; Duffy-Anderson, J. T. (2010). Spatial and temporal patterns of walleye pollock (</w:t>
      </w:r>
      <w:proofErr w:type="spellStart"/>
      <w:r w:rsidRPr="001E0A2E">
        <w:rPr>
          <w:sz w:val="24"/>
        </w:rPr>
        <w:t>Theragra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chalcogramma</w:t>
      </w:r>
      <w:proofErr w:type="spellEnd"/>
      <w:r w:rsidRPr="001E0A2E">
        <w:rPr>
          <w:sz w:val="24"/>
        </w:rPr>
        <w:t xml:space="preserve">) spawning in the eastern Bering Sea inferred from egg and larval distributions. </w:t>
      </w:r>
      <w:r w:rsidRPr="001E0A2E">
        <w:rPr>
          <w:i/>
          <w:iCs/>
          <w:sz w:val="24"/>
        </w:rPr>
        <w:t>Fisheries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19</w:t>
      </w:r>
      <w:r w:rsidRPr="001E0A2E">
        <w:rPr>
          <w:sz w:val="24"/>
        </w:rPr>
        <w:t>(2), 107–120. http://doi.org/10.1111/j.1365-2419.2009.00531.x</w:t>
      </w:r>
    </w:p>
    <w:p w14:paraId="03EA4F22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lastRenderedPageBreak/>
        <w:t xml:space="preserve">Smart, T. I., Duffy-Anderson, J. T., &amp; Horne, J. K. (2012). Alternating temperature states influence walleye pollock early life stages in the southeastern Bering Sea. </w:t>
      </w:r>
      <w:r w:rsidRPr="001E0A2E">
        <w:rPr>
          <w:i/>
          <w:iCs/>
          <w:sz w:val="24"/>
        </w:rPr>
        <w:t>Marine Ecology Progress Series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455</w:t>
      </w:r>
      <w:r w:rsidRPr="001E0A2E">
        <w:rPr>
          <w:sz w:val="24"/>
        </w:rPr>
        <w:t>, 257–267. http://doi.org/10.3354/meps09619</w:t>
      </w:r>
    </w:p>
    <w:p w14:paraId="4EEA8A84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Field, J. C., </w:t>
      </w:r>
      <w:proofErr w:type="spellStart"/>
      <w:r w:rsidRPr="001E0A2E">
        <w:rPr>
          <w:sz w:val="24"/>
        </w:rPr>
        <w:t>Elliger</w:t>
      </w:r>
      <w:proofErr w:type="spellEnd"/>
      <w:r w:rsidRPr="001E0A2E">
        <w:rPr>
          <w:sz w:val="24"/>
        </w:rPr>
        <w:t>, C., Baltz, K., Gillespie, G. E., Gilly, W. F., Ruiz-Cooley, R. I., … Walker, W. a. (2012). Foraging ecology and movement patterns of jumbo squid (</w:t>
      </w:r>
      <w:proofErr w:type="spellStart"/>
      <w:r w:rsidRPr="001E0A2E">
        <w:rPr>
          <w:sz w:val="24"/>
        </w:rPr>
        <w:t>Dosidicus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gigas</w:t>
      </w:r>
      <w:proofErr w:type="spellEnd"/>
      <w:r w:rsidRPr="001E0A2E">
        <w:rPr>
          <w:sz w:val="24"/>
        </w:rPr>
        <w:t xml:space="preserve">) in the California Current System. </w:t>
      </w:r>
      <w:r w:rsidRPr="001E0A2E">
        <w:rPr>
          <w:i/>
          <w:iCs/>
          <w:sz w:val="24"/>
        </w:rPr>
        <w:t>Deep 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95</w:t>
      </w:r>
      <w:r w:rsidRPr="001E0A2E">
        <w:rPr>
          <w:sz w:val="24"/>
        </w:rPr>
        <w:t>, 37–51. http://doi.org/10.1016/j.dsr2.2012.09.006</w:t>
      </w:r>
    </w:p>
    <w:p w14:paraId="16D0C884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Shima</w:t>
      </w:r>
      <w:proofErr w:type="spellEnd"/>
      <w:r w:rsidRPr="001E0A2E">
        <w:rPr>
          <w:sz w:val="24"/>
        </w:rPr>
        <w:t xml:space="preserve">, M., Hollowed, A., &amp; </w:t>
      </w:r>
      <w:proofErr w:type="spellStart"/>
      <w:r w:rsidRPr="001E0A2E">
        <w:rPr>
          <w:sz w:val="24"/>
        </w:rPr>
        <w:t>Vanblaricom</w:t>
      </w:r>
      <w:proofErr w:type="spellEnd"/>
      <w:r w:rsidRPr="001E0A2E">
        <w:rPr>
          <w:sz w:val="24"/>
        </w:rPr>
        <w:t>, G. R. (2002). Changes over time in the spatial distribution of walleye pollock (</w:t>
      </w:r>
      <w:proofErr w:type="spellStart"/>
      <w:r w:rsidRPr="001E0A2E">
        <w:rPr>
          <w:sz w:val="24"/>
        </w:rPr>
        <w:t>Theragra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chalcogramma</w:t>
      </w:r>
      <w:proofErr w:type="spellEnd"/>
      <w:r w:rsidRPr="001E0A2E">
        <w:rPr>
          <w:sz w:val="24"/>
        </w:rPr>
        <w:t xml:space="preserve">) in the Gulf of Alaska, 1984 – 1996. </w:t>
      </w:r>
      <w:r w:rsidRPr="001E0A2E">
        <w:rPr>
          <w:i/>
          <w:iCs/>
          <w:sz w:val="24"/>
        </w:rPr>
        <w:t>Fishery Bulletin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100</w:t>
      </w:r>
      <w:r w:rsidRPr="001E0A2E">
        <w:rPr>
          <w:sz w:val="24"/>
        </w:rPr>
        <w:t>, 307–323.</w:t>
      </w:r>
    </w:p>
    <w:p w14:paraId="62A92C45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Aydin, K., &amp; </w:t>
      </w:r>
      <w:proofErr w:type="spellStart"/>
      <w:r w:rsidRPr="001E0A2E">
        <w:rPr>
          <w:sz w:val="24"/>
        </w:rPr>
        <w:t>Mueter</w:t>
      </w:r>
      <w:proofErr w:type="spellEnd"/>
      <w:r w:rsidRPr="001E0A2E">
        <w:rPr>
          <w:sz w:val="24"/>
        </w:rPr>
        <w:t xml:space="preserve">, F. (2007). The Bering Sea-A dynamic food web perspective.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54</w:t>
      </w:r>
      <w:r w:rsidRPr="001E0A2E">
        <w:rPr>
          <w:sz w:val="24"/>
        </w:rPr>
        <w:t>(23–26), 2501–2525. http://doi.org/10.1016/j.dsr2.2007.08.022</w:t>
      </w:r>
    </w:p>
    <w:p w14:paraId="0F143560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Haynie, A. C. A., &amp; Pfeiffer, L. (2012). Why economics matters for understanding the effects of climate change on fisheries. </w:t>
      </w:r>
      <w:r w:rsidRPr="001E0A2E">
        <w:rPr>
          <w:i/>
          <w:iCs/>
          <w:sz w:val="24"/>
        </w:rPr>
        <w:t>ICES Journal of Marine Science: …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69</w:t>
      </w:r>
      <w:r w:rsidRPr="001E0A2E">
        <w:rPr>
          <w:sz w:val="24"/>
        </w:rPr>
        <w:t>(7), 1160–1167. http://doi.org/10.1093/icesjms/fss021</w:t>
      </w:r>
    </w:p>
    <w:p w14:paraId="15506358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Spencer, P. D. (2008). Density-independent and density-dependent factors affecting temporal changes in spatial distributions of eastern Bering Sea flatfish. </w:t>
      </w:r>
      <w:r w:rsidRPr="001E0A2E">
        <w:rPr>
          <w:i/>
          <w:iCs/>
          <w:sz w:val="24"/>
        </w:rPr>
        <w:t>Fisheries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17</w:t>
      </w:r>
      <w:r w:rsidRPr="001E0A2E">
        <w:rPr>
          <w:sz w:val="24"/>
        </w:rPr>
        <w:t>(5), 396–410. http://doi.org/10.1111/j.1365-2419.2008.00486.x</w:t>
      </w:r>
    </w:p>
    <w:p w14:paraId="47FFD4AD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Haynie, A., &amp; Pfeiffer, L. (2012). Why economics matters for understanding the effects of climate change on fisheries. </w:t>
      </w:r>
      <w:r w:rsidRPr="001E0A2E">
        <w:rPr>
          <w:i/>
          <w:iCs/>
          <w:sz w:val="24"/>
        </w:rPr>
        <w:t>ICES Journal of Marine Science: …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69</w:t>
      </w:r>
      <w:r w:rsidRPr="001E0A2E">
        <w:rPr>
          <w:sz w:val="24"/>
        </w:rPr>
        <w:t>, 1160–1167. Retrieved from http://icesjms.oxfordjournals.org/content/69/7/1160.short</w:t>
      </w:r>
    </w:p>
    <w:p w14:paraId="3C8EC30B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>Haynie, A. C., &amp; Pfeiffer, L. (n.d.). ARTICLE Climatic and economic drivers of the Bering Sea walleye pollock (</w:t>
      </w:r>
      <w:proofErr w:type="spellStart"/>
      <w:r w:rsidRPr="001E0A2E">
        <w:rPr>
          <w:sz w:val="24"/>
        </w:rPr>
        <w:t>Theragra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chalcogramma</w:t>
      </w:r>
      <w:proofErr w:type="spellEnd"/>
      <w:r w:rsidRPr="001E0A2E">
        <w:rPr>
          <w:sz w:val="24"/>
        </w:rPr>
        <w:t>) fishery: implications for the future. http://doi.org/10.1139/cjfas-2012-0265</w:t>
      </w:r>
    </w:p>
    <w:p w14:paraId="4BDD60CD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Kotwicki, S., &amp; </w:t>
      </w:r>
      <w:proofErr w:type="spellStart"/>
      <w:r w:rsidRPr="001E0A2E">
        <w:rPr>
          <w:sz w:val="24"/>
        </w:rPr>
        <w:t>Lauth</w:t>
      </w:r>
      <w:proofErr w:type="spellEnd"/>
      <w:r w:rsidRPr="001E0A2E">
        <w:rPr>
          <w:sz w:val="24"/>
        </w:rPr>
        <w:t xml:space="preserve">, R. R. (2013). Detecting temporal trends and environmentally-driven changes in the spatial distribution of bottom fishes and crabs on the eastern Bering Sea shelf. </w:t>
      </w:r>
      <w:r w:rsidRPr="001E0A2E">
        <w:rPr>
          <w:i/>
          <w:iCs/>
          <w:sz w:val="24"/>
        </w:rPr>
        <w:t>Deep 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94</w:t>
      </w:r>
      <w:r w:rsidRPr="001E0A2E">
        <w:rPr>
          <w:sz w:val="24"/>
        </w:rPr>
        <w:t>, 231–243. http://doi.org/10.1016/j.dsr2.2013.03.017</w:t>
      </w:r>
    </w:p>
    <w:p w14:paraId="06D77038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De </w:t>
      </w:r>
      <w:proofErr w:type="spellStart"/>
      <w:r w:rsidRPr="001E0A2E">
        <w:rPr>
          <w:sz w:val="24"/>
        </w:rPr>
        <w:t>Robertis</w:t>
      </w:r>
      <w:proofErr w:type="spellEnd"/>
      <w:r w:rsidRPr="001E0A2E">
        <w:rPr>
          <w:sz w:val="24"/>
        </w:rPr>
        <w:t xml:space="preserve">, A., &amp; </w:t>
      </w:r>
      <w:proofErr w:type="spellStart"/>
      <w:r w:rsidRPr="001E0A2E">
        <w:rPr>
          <w:sz w:val="24"/>
        </w:rPr>
        <w:t>Cokelet</w:t>
      </w:r>
      <w:proofErr w:type="spellEnd"/>
      <w:r w:rsidRPr="001E0A2E">
        <w:rPr>
          <w:sz w:val="24"/>
        </w:rPr>
        <w:t xml:space="preserve">, E. D. (2012). Distribution of fish and </w:t>
      </w:r>
      <w:proofErr w:type="spellStart"/>
      <w:r w:rsidRPr="001E0A2E">
        <w:rPr>
          <w:sz w:val="24"/>
        </w:rPr>
        <w:t>macrozooplankton</w:t>
      </w:r>
      <w:proofErr w:type="spellEnd"/>
      <w:r w:rsidRPr="001E0A2E">
        <w:rPr>
          <w:sz w:val="24"/>
        </w:rPr>
        <w:t xml:space="preserve"> in ice-covered and open-water areas of the eastern Bering Sea.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65</w:t>
      </w:r>
      <w:r w:rsidRPr="001E0A2E">
        <w:rPr>
          <w:sz w:val="24"/>
        </w:rPr>
        <w:t>–</w:t>
      </w:r>
      <w:r w:rsidRPr="001E0A2E">
        <w:rPr>
          <w:i/>
          <w:iCs/>
          <w:sz w:val="24"/>
        </w:rPr>
        <w:t>70</w:t>
      </w:r>
      <w:r w:rsidRPr="001E0A2E">
        <w:rPr>
          <w:sz w:val="24"/>
        </w:rPr>
        <w:t>, 217–229. http://doi.org/10.1016/j.dsr2.2012.02.005</w:t>
      </w:r>
    </w:p>
    <w:p w14:paraId="11F8BC5C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Akira, N., </w:t>
      </w:r>
      <w:proofErr w:type="spellStart"/>
      <w:r w:rsidRPr="001E0A2E">
        <w:rPr>
          <w:sz w:val="24"/>
        </w:rPr>
        <w:t>Yanagimoto</w:t>
      </w:r>
      <w:proofErr w:type="spellEnd"/>
      <w:r w:rsidRPr="001E0A2E">
        <w:rPr>
          <w:sz w:val="24"/>
        </w:rPr>
        <w:t xml:space="preserve">, T., Mito, K., &amp; Katakura, S. (2001). Interannual variability in growth of walleye pollock, </w:t>
      </w:r>
      <w:proofErr w:type="spellStart"/>
      <w:r w:rsidRPr="001E0A2E">
        <w:rPr>
          <w:sz w:val="24"/>
        </w:rPr>
        <w:t>Theragra</w:t>
      </w:r>
      <w:proofErr w:type="spellEnd"/>
      <w:r w:rsidRPr="001E0A2E">
        <w:rPr>
          <w:sz w:val="24"/>
        </w:rPr>
        <w:t xml:space="preserve"> </w:t>
      </w:r>
      <w:proofErr w:type="spellStart"/>
      <w:r w:rsidRPr="001E0A2E">
        <w:rPr>
          <w:sz w:val="24"/>
        </w:rPr>
        <w:t>chalcogramma</w:t>
      </w:r>
      <w:proofErr w:type="spellEnd"/>
      <w:r w:rsidRPr="001E0A2E">
        <w:rPr>
          <w:sz w:val="24"/>
        </w:rPr>
        <w:t xml:space="preserve">, in the central Bering Sea. </w:t>
      </w:r>
      <w:r w:rsidRPr="001E0A2E">
        <w:rPr>
          <w:i/>
          <w:iCs/>
          <w:sz w:val="24"/>
        </w:rPr>
        <w:t>Fisheries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10</w:t>
      </w:r>
      <w:r w:rsidRPr="001E0A2E">
        <w:rPr>
          <w:sz w:val="24"/>
        </w:rPr>
        <w:t>(4), 367–375. http://doi.org/10.1046/j.1365-2419.2001.00181.x</w:t>
      </w:r>
    </w:p>
    <w:p w14:paraId="0E5EC8C0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lastRenderedPageBreak/>
        <w:t xml:space="preserve">Renner, H. M., </w:t>
      </w:r>
      <w:proofErr w:type="spellStart"/>
      <w:r w:rsidRPr="001E0A2E">
        <w:rPr>
          <w:sz w:val="24"/>
        </w:rPr>
        <w:t>Mueter</w:t>
      </w:r>
      <w:proofErr w:type="spellEnd"/>
      <w:r w:rsidRPr="001E0A2E">
        <w:rPr>
          <w:sz w:val="24"/>
        </w:rPr>
        <w:t xml:space="preserve">, F., Drummond, B. A., </w:t>
      </w:r>
      <w:proofErr w:type="spellStart"/>
      <w:r w:rsidRPr="001E0A2E">
        <w:rPr>
          <w:sz w:val="24"/>
        </w:rPr>
        <w:t>Warzybok</w:t>
      </w:r>
      <w:proofErr w:type="spellEnd"/>
      <w:r w:rsidRPr="001E0A2E">
        <w:rPr>
          <w:sz w:val="24"/>
        </w:rPr>
        <w:t xml:space="preserve">, J. A., &amp; Sinclair, E. H. (2012). Patterns of change in diets of two piscivorous seabird species during 35 years in the Pribilof Islands.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65</w:t>
      </w:r>
      <w:r w:rsidRPr="001E0A2E">
        <w:rPr>
          <w:sz w:val="24"/>
        </w:rPr>
        <w:t>–</w:t>
      </w:r>
      <w:r w:rsidRPr="001E0A2E">
        <w:rPr>
          <w:i/>
          <w:iCs/>
          <w:sz w:val="24"/>
        </w:rPr>
        <w:t>70</w:t>
      </w:r>
      <w:r w:rsidRPr="001E0A2E">
        <w:rPr>
          <w:sz w:val="24"/>
        </w:rPr>
        <w:t>, 273–291. http://doi.org/10.1016/j.dsr2.2012.02.014</w:t>
      </w:r>
    </w:p>
    <w:p w14:paraId="6548317C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Zhang, J., Woodgate, R., &amp; Mangiameli, S. (2012). Towards seasonal prediction of the distribution and extent of cold bottom waters on the Bering Sea shelf. </w:t>
      </w:r>
      <w:r w:rsidRPr="001E0A2E">
        <w:rPr>
          <w:i/>
          <w:iCs/>
          <w:sz w:val="24"/>
        </w:rPr>
        <w:t>Deep-Sea Research Part II: Topical Studies in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65</w:t>
      </w:r>
      <w:r w:rsidRPr="001E0A2E">
        <w:rPr>
          <w:sz w:val="24"/>
        </w:rPr>
        <w:t>–</w:t>
      </w:r>
      <w:r w:rsidRPr="001E0A2E">
        <w:rPr>
          <w:i/>
          <w:iCs/>
          <w:sz w:val="24"/>
        </w:rPr>
        <w:t>70</w:t>
      </w:r>
      <w:r w:rsidRPr="001E0A2E">
        <w:rPr>
          <w:sz w:val="24"/>
        </w:rPr>
        <w:t>, 58–71. http://doi.org/10.1016/j.dsr2.2012.02.023</w:t>
      </w:r>
    </w:p>
    <w:p w14:paraId="1D9F43AE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Macklin, S. A., Nin, L., </w:t>
      </w:r>
      <w:proofErr w:type="spellStart"/>
      <w:r w:rsidRPr="001E0A2E">
        <w:rPr>
          <w:sz w:val="24"/>
        </w:rPr>
        <w:t>Radchenko</w:t>
      </w:r>
      <w:proofErr w:type="spellEnd"/>
      <w:r w:rsidRPr="001E0A2E">
        <w:rPr>
          <w:sz w:val="24"/>
        </w:rPr>
        <w:t xml:space="preserve">, V. I., </w:t>
      </w:r>
      <w:proofErr w:type="spellStart"/>
      <w:r w:rsidRPr="001E0A2E">
        <w:rPr>
          <w:sz w:val="24"/>
        </w:rPr>
        <w:t>Saitoh</w:t>
      </w:r>
      <w:proofErr w:type="spellEnd"/>
      <w:r w:rsidRPr="001E0A2E">
        <w:rPr>
          <w:sz w:val="24"/>
        </w:rPr>
        <w:t xml:space="preserve">, S., &amp; </w:t>
      </w:r>
      <w:proofErr w:type="spellStart"/>
      <w:r w:rsidRPr="001E0A2E">
        <w:rPr>
          <w:sz w:val="24"/>
        </w:rPr>
        <w:t>Stabeno</w:t>
      </w:r>
      <w:proofErr w:type="spellEnd"/>
      <w:r w:rsidRPr="001E0A2E">
        <w:rPr>
          <w:sz w:val="24"/>
        </w:rPr>
        <w:t xml:space="preserve">, P. J. (2002). Variability in the Bering Sea ecosystem. </w:t>
      </w:r>
      <w:r w:rsidRPr="001E0A2E">
        <w:rPr>
          <w:i/>
          <w:iCs/>
          <w:sz w:val="24"/>
        </w:rPr>
        <w:t xml:space="preserve">Progress </w:t>
      </w:r>
      <w:proofErr w:type="gramStart"/>
      <w:r w:rsidRPr="001E0A2E">
        <w:rPr>
          <w:i/>
          <w:iCs/>
          <w:sz w:val="24"/>
        </w:rPr>
        <w:t>In</w:t>
      </w:r>
      <w:proofErr w:type="gramEnd"/>
      <w:r w:rsidRPr="001E0A2E">
        <w:rPr>
          <w:i/>
          <w:iCs/>
          <w:sz w:val="24"/>
        </w:rPr>
        <w:t xml:space="preserve"> Oceanography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55</w:t>
      </w:r>
      <w:r w:rsidRPr="001E0A2E">
        <w:rPr>
          <w:sz w:val="24"/>
        </w:rPr>
        <w:t>(1–2), 1–4. http://doi.org/10.1016/S0079-6611(02)00115-5</w:t>
      </w:r>
    </w:p>
    <w:p w14:paraId="01F437B1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proofErr w:type="spellStart"/>
      <w:r w:rsidRPr="001E0A2E">
        <w:rPr>
          <w:sz w:val="24"/>
        </w:rPr>
        <w:t>Lauth</w:t>
      </w:r>
      <w:proofErr w:type="spellEnd"/>
      <w:r w:rsidRPr="001E0A2E">
        <w:rPr>
          <w:sz w:val="24"/>
        </w:rPr>
        <w:t xml:space="preserve">, R. R. (2011). </w:t>
      </w:r>
      <w:r w:rsidRPr="001E0A2E">
        <w:rPr>
          <w:i/>
          <w:iCs/>
          <w:sz w:val="24"/>
        </w:rPr>
        <w:t>Results of the 2010 Eastern and Northern Bering Sea Continental Shelf Bottom Trawl Survey of Groundfish and</w:t>
      </w:r>
      <w:r w:rsidRPr="001E0A2E">
        <w:rPr>
          <w:sz w:val="24"/>
        </w:rPr>
        <w:t xml:space="preserve">. </w:t>
      </w:r>
      <w:r w:rsidRPr="001E0A2E">
        <w:rPr>
          <w:i/>
          <w:iCs/>
          <w:sz w:val="24"/>
        </w:rPr>
        <w:t>National Marine Fisheries Service</w:t>
      </w:r>
      <w:r w:rsidRPr="001E0A2E">
        <w:rPr>
          <w:sz w:val="24"/>
        </w:rPr>
        <w:t>.</w:t>
      </w:r>
    </w:p>
    <w:p w14:paraId="11092DBD" w14:textId="77777777" w:rsidR="001E0A2E" w:rsidRPr="001E0A2E" w:rsidRDefault="001E0A2E" w:rsidP="001E0A2E">
      <w:pPr>
        <w:spacing w:before="100" w:beforeAutospacing="1" w:after="100" w:afterAutospacing="1"/>
        <w:ind w:left="480" w:hanging="480"/>
        <w:jc w:val="left"/>
        <w:rPr>
          <w:sz w:val="24"/>
        </w:rPr>
      </w:pPr>
      <w:r w:rsidRPr="001E0A2E">
        <w:rPr>
          <w:sz w:val="24"/>
        </w:rPr>
        <w:t xml:space="preserve">von Biela, V. R., Zimmerman, C. E., Kruse, G. H., </w:t>
      </w:r>
      <w:proofErr w:type="spellStart"/>
      <w:r w:rsidRPr="001E0A2E">
        <w:rPr>
          <w:sz w:val="24"/>
        </w:rPr>
        <w:t>Mueter</w:t>
      </w:r>
      <w:proofErr w:type="spellEnd"/>
      <w:r w:rsidRPr="001E0A2E">
        <w:rPr>
          <w:sz w:val="24"/>
        </w:rPr>
        <w:t xml:space="preserve">, F. J., Black, B. A., Douglas, D. C., &amp; Bodkin, J. L. (2016). Influence of Basin- and Local-Scale Environmental Conditions on Nearshore Production in the Northeast Pacific Ocean. </w:t>
      </w:r>
      <w:r w:rsidRPr="001E0A2E">
        <w:rPr>
          <w:i/>
          <w:iCs/>
          <w:sz w:val="24"/>
        </w:rPr>
        <w:t>Marine and Coastal Fisheries</w:t>
      </w:r>
      <w:r w:rsidRPr="001E0A2E">
        <w:rPr>
          <w:sz w:val="24"/>
        </w:rPr>
        <w:t xml:space="preserve">, </w:t>
      </w:r>
      <w:r w:rsidRPr="001E0A2E">
        <w:rPr>
          <w:i/>
          <w:iCs/>
          <w:sz w:val="24"/>
        </w:rPr>
        <w:t>8</w:t>
      </w:r>
      <w:r w:rsidRPr="001E0A2E">
        <w:rPr>
          <w:sz w:val="24"/>
        </w:rPr>
        <w:t>(1), 502–521. http://doi.org/10.1080/19425120.2016.1194919</w:t>
      </w:r>
    </w:p>
    <w:p w14:paraId="3DCA43F7" w14:textId="049B1409" w:rsidR="000922EC" w:rsidRDefault="000922EC">
      <w:bookmarkStart w:id="1" w:name="_GoBack"/>
      <w:bookmarkEnd w:id="1"/>
    </w:p>
    <w:p w14:paraId="4C5C3DF0" w14:textId="70C022A8" w:rsidR="00295426" w:rsidRDefault="00295426"/>
    <w:sectPr w:rsidR="00295426" w:rsidSect="0069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P MathA">
    <w:altName w:val="Symbol"/>
    <w:panose1 w:val="020B0604020202020204"/>
    <w:charset w:val="02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08"/>
    <w:rsid w:val="000143BE"/>
    <w:rsid w:val="000922EC"/>
    <w:rsid w:val="001E0A2E"/>
    <w:rsid w:val="00211009"/>
    <w:rsid w:val="00221F2A"/>
    <w:rsid w:val="0024454E"/>
    <w:rsid w:val="00295426"/>
    <w:rsid w:val="0039215B"/>
    <w:rsid w:val="00555864"/>
    <w:rsid w:val="0060476D"/>
    <w:rsid w:val="00692F12"/>
    <w:rsid w:val="006B67D4"/>
    <w:rsid w:val="006D1FFA"/>
    <w:rsid w:val="00712255"/>
    <w:rsid w:val="007A6A36"/>
    <w:rsid w:val="00831388"/>
    <w:rsid w:val="00867091"/>
    <w:rsid w:val="00AB1B37"/>
    <w:rsid w:val="00AB6B0A"/>
    <w:rsid w:val="00B536AA"/>
    <w:rsid w:val="00BE5A8E"/>
    <w:rsid w:val="00D97916"/>
    <w:rsid w:val="00E97A9D"/>
    <w:rsid w:val="00F247E2"/>
    <w:rsid w:val="00FB4708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C3C7A"/>
  <w15:chartTrackingRefBased/>
  <w15:docId w15:val="{950658EF-D5A4-3F46-9457-1EC5B401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7</cp:revision>
  <dcterms:created xsi:type="dcterms:W3CDTF">2018-10-01T01:05:00Z</dcterms:created>
  <dcterms:modified xsi:type="dcterms:W3CDTF">2018-10-02T20:00:00Z</dcterms:modified>
</cp:coreProperties>
</file>