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55" w:rsidRPr="00A24641" w:rsidRDefault="007D5708" w:rsidP="00966996">
      <w:pPr>
        <w:pStyle w:val="Title"/>
        <w:rPr>
          <w:rFonts w:ascii="Arial" w:hAnsi="Arial" w:cs="Arial"/>
        </w:rPr>
      </w:pPr>
      <w:r w:rsidRPr="00A24641">
        <w:rPr>
          <w:rFonts w:ascii="Arial" w:hAnsi="Arial" w:cs="Arial"/>
        </w:rPr>
        <w:t>Assessment of the Flathead sole-Bering flounder Stock in the Bering Sea and Aleutian Islands</w:t>
      </w:r>
    </w:p>
    <w:p w:rsidR="002D1455" w:rsidRPr="00966996" w:rsidRDefault="007D5708">
      <w:pPr>
        <w:pStyle w:val="Author"/>
        <w:rPr>
          <w:rFonts w:ascii="Times New Roman" w:hAnsi="Times New Roman" w:cs="Times New Roman"/>
          <w:sz w:val="22"/>
          <w:szCs w:val="22"/>
        </w:rPr>
      </w:pPr>
      <w:r w:rsidRPr="00966996">
        <w:rPr>
          <w:rFonts w:ascii="Times New Roman" w:hAnsi="Times New Roman" w:cs="Times New Roman"/>
          <w:sz w:val="22"/>
          <w:szCs w:val="22"/>
        </w:rPr>
        <w:t>Maia S. Kapur</w:t>
      </w:r>
    </w:p>
    <w:p w:rsidR="002D1455" w:rsidRPr="00966996" w:rsidRDefault="007D5708" w:rsidP="00966996">
      <w:pPr>
        <w:pStyle w:val="Date"/>
        <w:rPr>
          <w:rFonts w:ascii="Times New Roman" w:hAnsi="Times New Roman" w:cs="Times New Roman"/>
          <w:sz w:val="22"/>
          <w:szCs w:val="22"/>
        </w:rPr>
      </w:pPr>
      <w:r w:rsidRPr="00966996">
        <w:rPr>
          <w:rFonts w:ascii="Times New Roman" w:hAnsi="Times New Roman" w:cs="Times New Roman"/>
          <w:sz w:val="22"/>
          <w:szCs w:val="22"/>
        </w:rPr>
        <w:t>October 2022</w:t>
      </w:r>
    </w:p>
    <w:p w:rsidR="002D1455" w:rsidRPr="00966996" w:rsidRDefault="007D5708" w:rsidP="00966996">
      <w:pPr>
        <w:pStyle w:val="Heading1"/>
      </w:pPr>
      <w:bookmarkStart w:id="0" w:name="_Toc118193279"/>
      <w:bookmarkStart w:id="1" w:name="executive-summary"/>
      <w:r w:rsidRPr="00966996">
        <w:t>Executive Summary</w:t>
      </w:r>
      <w:bookmarkEnd w:id="0"/>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“Flathead sole” as currently managed by the North Pacific Fishery Management Council (NPFMC) in the Bering Sea and Aleutian Islands (BSAI) represents a two-species complex consisting of true Flathead sole (</w:t>
      </w:r>
      <w:r w:rsidRPr="00966996">
        <w:rPr>
          <w:rFonts w:ascii="Times New Roman" w:hAnsi="Times New Roman" w:cs="Times New Roman"/>
          <w:i/>
          <w:iCs/>
          <w:sz w:val="22"/>
          <w:szCs w:val="22"/>
        </w:rPr>
        <w:t>Hippoglossoides elassodon</w:t>
      </w:r>
      <w:r w:rsidRPr="00966996">
        <w:rPr>
          <w:rFonts w:ascii="Times New Roman" w:hAnsi="Times New Roman" w:cs="Times New Roman"/>
          <w:sz w:val="22"/>
          <w:szCs w:val="22"/>
        </w:rPr>
        <w:t>) and its morphologically-similar congener Bering flounder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xml:space="preserve">). In 2012, the BSAI Groundfish Plan Team moved Flathead sole to a biennial stock assessment schedule because it has historically been lightly exploited. A full stock assessment report was most recently produced in 2020 (Monnahan and Haehn, </w:t>
      </w:r>
      <w:r w:rsidRPr="0053648B">
        <w:rPr>
          <w:rFonts w:ascii="Times New Roman" w:hAnsi="Times New Roman" w:cs="Times New Roman"/>
          <w:color w:val="4F81BD" w:themeColor="accent1"/>
          <w:sz w:val="22"/>
          <w:szCs w:val="22"/>
          <w:u w:val="single"/>
        </w:rPr>
        <w:t>https://apps-afsc.fisheries.noaa.gov/refm/docs/2020/BSAIflathead.pdf</w:t>
      </w:r>
      <w:r w:rsidRPr="0053648B">
        <w:rPr>
          <w:rFonts w:ascii="Times New Roman" w:hAnsi="Times New Roman" w:cs="Times New Roman"/>
          <w:sz w:val="22"/>
          <w:szCs w:val="22"/>
          <w:u w:val="single"/>
        </w:rPr>
        <w:t>).</w:t>
      </w:r>
      <w:r w:rsidRPr="0053648B">
        <w:rPr>
          <w:rFonts w:ascii="Times New Roman" w:hAnsi="Times New Roman" w:cs="Times New Roman"/>
          <w:color w:val="4F81BD" w:themeColor="accent1"/>
          <w:sz w:val="22"/>
          <w:szCs w:val="22"/>
        </w:rPr>
        <w:t xml:space="preserve"> </w:t>
      </w:r>
      <w:r w:rsidRPr="00966996">
        <w:rPr>
          <w:rFonts w:ascii="Times New Roman" w:hAnsi="Times New Roman" w:cs="Times New Roman"/>
          <w:sz w:val="22"/>
          <w:szCs w:val="22"/>
        </w:rPr>
        <w:t>A full assessment for BSAI Flathead sole was scheduled for 2022, but due to limited staff resources, a partial assessment is presented this year. In partial assessment years, an executive summary is presented to recommend harvest levels for the next two years, along with trends in catch and biomass.</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 and set OFL for those years.</w:t>
      </w:r>
    </w:p>
    <w:p w:rsidR="002D1455" w:rsidRPr="00966996" w:rsidRDefault="007D5708" w:rsidP="00966996">
      <w:pPr>
        <w:pStyle w:val="Heading2"/>
      </w:pPr>
      <w:bookmarkStart w:id="2" w:name="_Toc118193280"/>
      <w:bookmarkStart w:id="3" w:name="summary-of-changes-in-assessment-inputs"/>
      <w:r w:rsidRPr="00966996">
        <w:t>Summary of Changes in Assessment Inputs</w:t>
      </w:r>
      <w:bookmarkEnd w:id="2"/>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 xml:space="preserve">This assessment used a single survey index of “total”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xml:space="preserve"> biomass that included the EBS “standard” survey areas and AI survey areas for the years 1982-2019 (Table 2). As was done in the 2020 full assessment (Monnohan et. al. 2020) and the 2021 partial assessment (Kapur 2021), we estimated a relationship between EBS shelf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xml:space="preserve"> survey biomass estimates and AI survey biomass estimates in years when no AI survey occurred. The estimation method uses the linear regression to find an AI biomass estimate in a particular year based on the EBS biomass estimate for that year. There were no AI surveys conducted in 2020 nor 2021, and AI biomass was estimated with the linear equation. An Aleutian Islands survey was conducted in 2022, and the 2022 total BSAI estimate was 710,804 t, a roughly 6% increase over the 2021 regression estimate of 670,091 t (Figure 2).</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To run the projection model to predict ABCs for 2023 and 2024, we used true, updated catches for 2020 and 2021 and estimates for the total catches in 2022-2024. Note that the 2020 catch used in the last benchmark model was itself an estimate (8,556), about 9% less than the finalized observation used for projections here. The catch for 2022 (14,659 t) was estimated by adding the average catch between Oct 19 and December 31 over the years 2017-2021 to the 2022 catch as of Oct 19, 2022. The 2023 and 2024 catches (11,130 t) were estimated as the average catch over the previous 5 years (2017-2021).</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p w:rsidR="002D1455" w:rsidRPr="00966996" w:rsidRDefault="007D5708" w:rsidP="00966996">
      <w:pPr>
        <w:pStyle w:val="Heading2"/>
      </w:pPr>
      <w:bookmarkStart w:id="4" w:name="_Toc118193281"/>
      <w:bookmarkStart w:id="5" w:name="summary-of-results"/>
      <w:bookmarkEnd w:id="3"/>
      <w:r w:rsidRPr="00966996">
        <w:lastRenderedPageBreak/>
        <w:t>Summary of Results</w:t>
      </w:r>
      <w:bookmarkEnd w:id="4"/>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Based on the updated projection model results, the recommended ABCs for 2023 and 2024 are listed in the table below. The ABC and OFL for 2023 are only slightly below those projected from the last partial assessment (2021). Estimated catches for 2021 and 2022 are higher than those used last year.</w:t>
      </w:r>
    </w:p>
    <w:tbl>
      <w:tblPr>
        <w:tblStyle w:val="Table"/>
        <w:tblW w:w="9375" w:type="dxa"/>
        <w:tblLook w:val="0020" w:firstRow="1" w:lastRow="0" w:firstColumn="0" w:lastColumn="0" w:noHBand="0" w:noVBand="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3542"/>
        <w:gridCol w:w="1060"/>
        <w:gridCol w:w="1561"/>
        <w:gridCol w:w="1606"/>
        <w:gridCol w:w="1606"/>
      </w:tblGrid>
      <w:tr w:rsidR="000712BC" w:rsidRPr="005C4533" w:rsidTr="000712BC">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val="restart"/>
            <w:tcBorders>
              <w:top w:val="single" w:sz="4" w:space="0" w:color="auto"/>
              <w:left w:val="single" w:sz="4" w:space="0" w:color="auto"/>
              <w:bottom w:val="single" w:sz="4" w:space="0" w:color="auto"/>
              <w:right w:val="single" w:sz="4" w:space="0" w:color="auto"/>
            </w:tcBorders>
            <w:vAlign w:val="center"/>
            <w:hideMark/>
          </w:tcPr>
          <w:p w:rsidR="000712BC" w:rsidRPr="005C4533" w:rsidRDefault="000712BC">
            <w:pPr>
              <w:pStyle w:val="Compact"/>
              <w:jc w:val="center"/>
              <w:rPr>
                <w:rFonts w:ascii="Times New Roman" w:hAnsi="Times New Roman" w:cs="Times New Roman"/>
                <w:b/>
                <w:sz w:val="22"/>
                <w:szCs w:val="22"/>
              </w:rPr>
            </w:pPr>
            <w:r w:rsidRPr="005C4533">
              <w:rPr>
                <w:rFonts w:ascii="Times New Roman" w:hAnsi="Times New Roman" w:cs="Times New Roman"/>
                <w:b/>
                <w:sz w:val="22"/>
                <w:szCs w:val="22"/>
              </w:rPr>
              <w:t>Quantity</w:t>
            </w:r>
          </w:p>
        </w:tc>
        <w:tc>
          <w:tcPr>
            <w:tcW w:w="2621" w:type="dxa"/>
            <w:gridSpan w:val="2"/>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 xml:space="preserve">As estimated or </w:t>
            </w:r>
            <w:r w:rsidRPr="005C4533">
              <w:rPr>
                <w:rFonts w:ascii="Times New Roman" w:hAnsi="Times New Roman" w:cs="Times New Roman"/>
                <w:i/>
                <w:sz w:val="22"/>
                <w:szCs w:val="22"/>
              </w:rPr>
              <w:t>specified last</w:t>
            </w:r>
            <w:r w:rsidRPr="005C4533">
              <w:rPr>
                <w:rFonts w:ascii="Times New Roman" w:hAnsi="Times New Roman" w:cs="Times New Roman"/>
                <w:sz w:val="22"/>
                <w:szCs w:val="22"/>
              </w:rPr>
              <w:t xml:space="preserve"> year for:</w:t>
            </w:r>
          </w:p>
        </w:tc>
        <w:tc>
          <w:tcPr>
            <w:tcW w:w="0" w:type="auto"/>
            <w:gridSpan w:val="2"/>
            <w:tcBorders>
              <w:top w:val="single" w:sz="4" w:space="0" w:color="auto"/>
              <w:left w:val="single" w:sz="4" w:space="0" w:color="auto"/>
              <w:bottom w:val="nil"/>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 xml:space="preserve">As estimated or </w:t>
            </w:r>
            <w:r w:rsidRPr="005C4533">
              <w:rPr>
                <w:rFonts w:ascii="Times New Roman" w:hAnsi="Times New Roman" w:cs="Times New Roman"/>
                <w:i/>
                <w:sz w:val="22"/>
                <w:szCs w:val="22"/>
              </w:rPr>
              <w:t>recommended this</w:t>
            </w:r>
            <w:r w:rsidRPr="005C4533">
              <w:rPr>
                <w:rFonts w:ascii="Times New Roman" w:hAnsi="Times New Roman" w:cs="Times New Roman"/>
                <w:sz w:val="22"/>
                <w:szCs w:val="22"/>
              </w:rPr>
              <w:t xml:space="preserve"> year for:</w:t>
            </w:r>
          </w:p>
        </w:tc>
      </w:tr>
      <w:tr w:rsidR="000712BC" w:rsidRPr="005C4533" w:rsidTr="000712BC">
        <w:trPr>
          <w:cnfStyle w:val="100000000000" w:firstRow="1" w:lastRow="0" w:firstColumn="0" w:lastColumn="0" w:oddVBand="0" w:evenVBand="0" w:oddHBand="0" w:evenHBand="0" w:firstRowFirstColumn="0" w:firstRowLastColumn="0" w:lastRowFirstColumn="0" w:lastRowLastColumn="0"/>
          <w:trHeight w:val="36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12BC" w:rsidRPr="005C4533" w:rsidRDefault="000712BC">
            <w:pPr>
              <w:spacing w:after="0"/>
              <w:rPr>
                <w:rFonts w:ascii="Times New Roman" w:hAnsi="Times New Roman" w:cs="Times New Roman"/>
                <w:b/>
                <w:sz w:val="22"/>
                <w:szCs w:val="22"/>
              </w:rPr>
            </w:pP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2022</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2023</w:t>
            </w:r>
          </w:p>
        </w:tc>
        <w:tc>
          <w:tcPr>
            <w:tcW w:w="0" w:type="auto"/>
            <w:tcBorders>
              <w:top w:val="nil"/>
              <w:left w:val="single" w:sz="4" w:space="0" w:color="auto"/>
              <w:bottom w:val="single" w:sz="4" w:space="0" w:color="auto"/>
              <w:right w:val="nil"/>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2023*</w:t>
            </w:r>
          </w:p>
        </w:tc>
        <w:tc>
          <w:tcPr>
            <w:tcW w:w="0" w:type="auto"/>
            <w:tcBorders>
              <w:top w:val="nil"/>
              <w:left w:val="nil"/>
              <w:bottom w:val="single" w:sz="4" w:space="0" w:color="auto"/>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2024*</w:t>
            </w:r>
          </w:p>
        </w:tc>
      </w:tr>
      <w:tr w:rsidR="000712BC" w:rsidRPr="005C4533" w:rsidTr="000712BC">
        <w:trPr>
          <w:trHeight w:val="342"/>
        </w:trPr>
        <w:tc>
          <w:tcPr>
            <w:tcW w:w="3541" w:type="dxa"/>
            <w:tcBorders>
              <w:top w:val="single" w:sz="4" w:space="0" w:color="auto"/>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M</w:t>
            </w:r>
            <w:r w:rsidRPr="005C4533">
              <w:rPr>
                <w:rFonts w:ascii="Times New Roman" w:hAnsi="Times New Roman" w:cs="Times New Roman"/>
                <w:color w:val="000000"/>
                <w:sz w:val="22"/>
                <w:szCs w:val="22"/>
              </w:rPr>
              <w:t xml:space="preserve"> (natural mortality rate)</w:t>
            </w:r>
          </w:p>
        </w:tc>
        <w:tc>
          <w:tcPr>
            <w:tcW w:w="1060" w:type="dxa"/>
            <w:tcBorders>
              <w:top w:val="single" w:sz="4" w:space="0" w:color="auto"/>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0.2</w:t>
            </w:r>
          </w:p>
        </w:tc>
        <w:tc>
          <w:tcPr>
            <w:tcW w:w="0" w:type="auto"/>
            <w:tcBorders>
              <w:top w:val="single" w:sz="4" w:space="0" w:color="auto"/>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0.2</w:t>
            </w:r>
          </w:p>
        </w:tc>
        <w:tc>
          <w:tcPr>
            <w:tcW w:w="0" w:type="auto"/>
            <w:tcBorders>
              <w:top w:val="single" w:sz="4" w:space="0" w:color="auto"/>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0.2</w:t>
            </w:r>
          </w:p>
        </w:tc>
        <w:tc>
          <w:tcPr>
            <w:tcW w:w="0" w:type="auto"/>
            <w:tcBorders>
              <w:top w:val="single" w:sz="4" w:space="0" w:color="auto"/>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0.2</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Tier</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3a</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3a</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3a</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3a</w:t>
            </w:r>
          </w:p>
        </w:tc>
      </w:tr>
      <w:tr w:rsidR="000712BC" w:rsidRPr="005C4533" w:rsidTr="000712BC">
        <w:trPr>
          <w:trHeight w:val="342"/>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Projected total (3+) biomass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608,631</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612,001</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606,522</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606,080</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Projected Female spawning biomass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155,379</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160,748</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158,962</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164,594</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 xml:space="preserve">     B</w:t>
            </w:r>
            <w:r w:rsidRPr="005C4533">
              <w:rPr>
                <w:rFonts w:ascii="Times New Roman" w:hAnsi="Times New Roman" w:cs="Times New Roman"/>
                <w:i/>
                <w:iCs/>
                <w:color w:val="000000"/>
                <w:sz w:val="22"/>
                <w:szCs w:val="22"/>
                <w:vertAlign w:val="subscript"/>
              </w:rPr>
              <w:t>100%</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203,658</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203,658</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203,658</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203,658</w:t>
            </w:r>
          </w:p>
        </w:tc>
      </w:tr>
      <w:tr w:rsidR="000712BC" w:rsidRPr="005C4533" w:rsidTr="000712BC">
        <w:trPr>
          <w:trHeight w:val="342"/>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 xml:space="preserve">     B</w:t>
            </w:r>
            <w:r w:rsidRPr="005C4533">
              <w:rPr>
                <w:rFonts w:ascii="Times New Roman" w:hAnsi="Times New Roman" w:cs="Times New Roman"/>
                <w:i/>
                <w:iCs/>
                <w:color w:val="000000"/>
                <w:sz w:val="22"/>
                <w:szCs w:val="22"/>
                <w:vertAlign w:val="subscript"/>
              </w:rPr>
              <w:t>40%</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81,463</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81,463</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81,463</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81,463</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 xml:space="preserve">     B</w:t>
            </w:r>
            <w:r w:rsidRPr="005C4533">
              <w:rPr>
                <w:rFonts w:ascii="Times New Roman" w:hAnsi="Times New Roman" w:cs="Times New Roman"/>
                <w:i/>
                <w:iCs/>
                <w:color w:val="000000"/>
                <w:sz w:val="22"/>
                <w:szCs w:val="22"/>
                <w:vertAlign w:val="subscript"/>
              </w:rPr>
              <w:t>35%</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71,280</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71,280</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71,280</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71,280</w:t>
            </w:r>
          </w:p>
        </w:tc>
      </w:tr>
      <w:tr w:rsidR="000712BC" w:rsidRPr="005C4533" w:rsidTr="000712BC">
        <w:trPr>
          <w:trHeight w:val="342"/>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F</w:t>
            </w:r>
            <w:r w:rsidRPr="005C4533">
              <w:rPr>
                <w:rFonts w:ascii="Times New Roman" w:hAnsi="Times New Roman" w:cs="Times New Roman"/>
                <w:i/>
                <w:iCs/>
                <w:color w:val="000000"/>
                <w:sz w:val="22"/>
                <w:szCs w:val="22"/>
                <w:vertAlign w:val="subscript"/>
              </w:rPr>
              <w:t>OFL</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0.46</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0.46</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0.46</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0.46</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maxF</w:t>
            </w:r>
            <w:r w:rsidRPr="005C4533">
              <w:rPr>
                <w:rFonts w:ascii="Times New Roman" w:hAnsi="Times New Roman" w:cs="Times New Roman"/>
                <w:i/>
                <w:iCs/>
                <w:color w:val="000000"/>
                <w:sz w:val="22"/>
                <w:szCs w:val="22"/>
                <w:vertAlign w:val="subscript"/>
              </w:rPr>
              <w:t>ABC</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i/>
                <w:iCs/>
                <w:color w:val="000000"/>
                <w:sz w:val="22"/>
                <w:szCs w:val="22"/>
              </w:rPr>
            </w:pPr>
            <w:r w:rsidRPr="005C4533">
              <w:rPr>
                <w:rFonts w:ascii="Times New Roman" w:hAnsi="Times New Roman" w:cs="Times New Roman"/>
                <w:i/>
                <w:iCs/>
                <w:color w:val="000000"/>
                <w:sz w:val="22"/>
                <w:szCs w:val="22"/>
              </w:rPr>
              <w:t>F</w:t>
            </w:r>
            <w:r w:rsidRPr="005C4533">
              <w:rPr>
                <w:rFonts w:ascii="Times New Roman" w:hAnsi="Times New Roman" w:cs="Times New Roman"/>
                <w:i/>
                <w:iCs/>
                <w:color w:val="000000"/>
                <w:sz w:val="22"/>
                <w:szCs w:val="22"/>
                <w:vertAlign w:val="subscript"/>
              </w:rPr>
              <w:t>ABC</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0.37</w:t>
            </w:r>
          </w:p>
        </w:tc>
      </w:tr>
      <w:tr w:rsidR="000712BC" w:rsidRPr="005C4533" w:rsidTr="000712BC">
        <w:trPr>
          <w:trHeight w:val="342"/>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OFL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77,967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80,034</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79,256</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81,167</w:t>
            </w:r>
          </w:p>
        </w:tc>
      </w:tr>
      <w:tr w:rsidR="000712BC" w:rsidRPr="005C4533" w:rsidTr="000712BC">
        <w:trPr>
          <w:trHeight w:val="360"/>
        </w:trPr>
        <w:tc>
          <w:tcPr>
            <w:tcW w:w="3541" w:type="dxa"/>
            <w:tcBorders>
              <w:top w:val="nil"/>
              <w:left w:val="single" w:sz="4" w:space="0" w:color="auto"/>
              <w:bottom w:val="nil"/>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maxABC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64,288</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65,988</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65,344</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66,927</w:t>
            </w:r>
          </w:p>
        </w:tc>
      </w:tr>
      <w:tr w:rsidR="000712BC" w:rsidRPr="005C4533" w:rsidTr="000712BC">
        <w:trPr>
          <w:trHeight w:val="360"/>
        </w:trPr>
        <w:tc>
          <w:tcPr>
            <w:tcW w:w="3541" w:type="dxa"/>
            <w:tcBorders>
              <w:top w:val="nil"/>
              <w:left w:val="single" w:sz="4" w:space="0" w:color="auto"/>
              <w:bottom w:val="single" w:sz="4" w:space="0" w:color="auto"/>
              <w:right w:val="single" w:sz="4" w:space="0" w:color="auto"/>
            </w:tcBorders>
            <w:vAlign w:val="center"/>
            <w:hideMark/>
          </w:tcPr>
          <w:p w:rsidR="000712BC" w:rsidRPr="005C4533" w:rsidRDefault="000712BC">
            <w:pPr>
              <w:keepNext/>
              <w:keepLines/>
              <w:spacing w:after="0"/>
              <w:rPr>
                <w:rFonts w:ascii="Times New Roman" w:hAnsi="Times New Roman" w:cs="Times New Roman"/>
                <w:color w:val="000000"/>
                <w:sz w:val="22"/>
                <w:szCs w:val="22"/>
              </w:rPr>
            </w:pPr>
            <w:r w:rsidRPr="005C4533">
              <w:rPr>
                <w:rFonts w:ascii="Times New Roman" w:hAnsi="Times New Roman" w:cs="Times New Roman"/>
                <w:color w:val="000000"/>
                <w:sz w:val="22"/>
                <w:szCs w:val="22"/>
              </w:rPr>
              <w:t>ABC (t)</w:t>
            </w: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64,288</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65,988</w:t>
            </w:r>
          </w:p>
        </w:tc>
        <w:tc>
          <w:tcPr>
            <w:tcW w:w="0" w:type="auto"/>
            <w:tcBorders>
              <w:top w:val="nil"/>
              <w:left w:val="single" w:sz="4" w:space="0" w:color="auto"/>
              <w:bottom w:val="single" w:sz="4" w:space="0" w:color="auto"/>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65,344</w:t>
            </w:r>
          </w:p>
        </w:tc>
        <w:tc>
          <w:tcPr>
            <w:tcW w:w="0" w:type="auto"/>
            <w:tcBorders>
              <w:top w:val="nil"/>
              <w:left w:val="nil"/>
              <w:bottom w:val="single" w:sz="4" w:space="0" w:color="auto"/>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66,927</w:t>
            </w:r>
          </w:p>
        </w:tc>
      </w:tr>
      <w:tr w:rsidR="000712BC" w:rsidRPr="005C4533" w:rsidTr="000712BC">
        <w:trPr>
          <w:trHeight w:val="342"/>
        </w:trPr>
        <w:tc>
          <w:tcPr>
            <w:tcW w:w="3541" w:type="dxa"/>
            <w:vMerge w:val="restart"/>
            <w:tcBorders>
              <w:top w:val="single" w:sz="4" w:space="0" w:color="auto"/>
              <w:left w:val="single" w:sz="4" w:space="0" w:color="auto"/>
              <w:bottom w:val="single" w:sz="4" w:space="0" w:color="auto"/>
              <w:right w:val="single" w:sz="4" w:space="0" w:color="auto"/>
            </w:tcBorders>
            <w:vAlign w:val="center"/>
            <w:hideMark/>
          </w:tcPr>
          <w:p w:rsidR="000712BC" w:rsidRPr="005C4533" w:rsidRDefault="000712BC">
            <w:pPr>
              <w:pStyle w:val="Compact"/>
              <w:jc w:val="center"/>
              <w:rPr>
                <w:rFonts w:ascii="Times New Roman" w:hAnsi="Times New Roman" w:cs="Times New Roman"/>
                <w:b/>
                <w:sz w:val="22"/>
                <w:szCs w:val="22"/>
              </w:rPr>
            </w:pPr>
            <w:r w:rsidRPr="005C4533">
              <w:rPr>
                <w:rFonts w:ascii="Times New Roman" w:hAnsi="Times New Roman" w:cs="Times New Roman"/>
                <w:b/>
                <w:sz w:val="22"/>
                <w:szCs w:val="22"/>
              </w:rPr>
              <w:t>Status</w:t>
            </w:r>
          </w:p>
        </w:tc>
        <w:tc>
          <w:tcPr>
            <w:tcW w:w="2621" w:type="dxa"/>
            <w:gridSpan w:val="2"/>
            <w:tcBorders>
              <w:top w:val="single" w:sz="4" w:space="0" w:color="auto"/>
              <w:left w:val="single" w:sz="4" w:space="0" w:color="auto"/>
              <w:bottom w:val="nil"/>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As determined last year for:</w:t>
            </w:r>
          </w:p>
        </w:tc>
        <w:tc>
          <w:tcPr>
            <w:tcW w:w="0" w:type="auto"/>
            <w:gridSpan w:val="2"/>
            <w:tcBorders>
              <w:top w:val="single" w:sz="4" w:space="0" w:color="auto"/>
              <w:left w:val="single" w:sz="4" w:space="0" w:color="auto"/>
              <w:bottom w:val="nil"/>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As determined this year for:</w:t>
            </w:r>
          </w:p>
        </w:tc>
      </w:tr>
      <w:tr w:rsidR="000712BC" w:rsidRPr="005C4533" w:rsidTr="000712BC">
        <w:trPr>
          <w:trHeight w:val="3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12BC" w:rsidRPr="005C4533" w:rsidRDefault="000712BC">
            <w:pPr>
              <w:spacing w:after="0"/>
              <w:rPr>
                <w:rFonts w:ascii="Times New Roman" w:hAnsi="Times New Roman" w:cs="Times New Roman"/>
                <w:b/>
                <w:sz w:val="22"/>
                <w:szCs w:val="22"/>
              </w:rPr>
            </w:pPr>
          </w:p>
        </w:tc>
        <w:tc>
          <w:tcPr>
            <w:tcW w:w="1060" w:type="dxa"/>
            <w:tcBorders>
              <w:top w:val="nil"/>
              <w:left w:val="single" w:sz="4" w:space="0" w:color="auto"/>
              <w:bottom w:val="single" w:sz="4" w:space="0" w:color="auto"/>
              <w:right w:val="nil"/>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2020</w:t>
            </w:r>
          </w:p>
        </w:tc>
        <w:tc>
          <w:tcPr>
            <w:tcW w:w="0" w:type="auto"/>
            <w:tcBorders>
              <w:top w:val="nil"/>
              <w:left w:val="nil"/>
              <w:bottom w:val="single" w:sz="4" w:space="0" w:color="auto"/>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2021</w:t>
            </w:r>
          </w:p>
        </w:tc>
        <w:tc>
          <w:tcPr>
            <w:tcW w:w="0" w:type="auto"/>
            <w:tcBorders>
              <w:top w:val="nil"/>
              <w:left w:val="single" w:sz="4" w:space="0" w:color="auto"/>
              <w:bottom w:val="single" w:sz="4" w:space="0" w:color="auto"/>
              <w:right w:val="nil"/>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2021</w:t>
            </w:r>
          </w:p>
        </w:tc>
        <w:tc>
          <w:tcPr>
            <w:tcW w:w="0" w:type="auto"/>
            <w:tcBorders>
              <w:top w:val="nil"/>
              <w:left w:val="nil"/>
              <w:bottom w:val="single" w:sz="4" w:space="0" w:color="auto"/>
              <w:right w:val="single" w:sz="4" w:space="0" w:color="auto"/>
            </w:tcBorders>
            <w:vAlign w:val="center"/>
            <w:hideMark/>
          </w:tcPr>
          <w:p w:rsidR="000712BC" w:rsidRPr="005C4533" w:rsidRDefault="000712BC">
            <w:pPr>
              <w:pStyle w:val="Compact"/>
              <w:jc w:val="center"/>
              <w:rPr>
                <w:rFonts w:ascii="Times New Roman" w:hAnsi="Times New Roman" w:cs="Times New Roman"/>
                <w:sz w:val="22"/>
                <w:szCs w:val="22"/>
              </w:rPr>
            </w:pPr>
            <w:r w:rsidRPr="005C4533">
              <w:rPr>
                <w:rFonts w:ascii="Times New Roman" w:hAnsi="Times New Roman" w:cs="Times New Roman"/>
                <w:sz w:val="22"/>
                <w:szCs w:val="22"/>
              </w:rPr>
              <w:t>2022</w:t>
            </w:r>
          </w:p>
        </w:tc>
      </w:tr>
      <w:tr w:rsidR="000712BC" w:rsidRPr="005C4533" w:rsidTr="000712BC">
        <w:trPr>
          <w:trHeight w:val="342"/>
        </w:trPr>
        <w:tc>
          <w:tcPr>
            <w:tcW w:w="3541" w:type="dxa"/>
            <w:tcBorders>
              <w:top w:val="single" w:sz="4" w:space="0" w:color="auto"/>
              <w:left w:val="single" w:sz="4" w:space="0" w:color="auto"/>
              <w:bottom w:val="nil"/>
              <w:right w:val="single" w:sz="4" w:space="0" w:color="auto"/>
            </w:tcBorders>
            <w:hideMark/>
          </w:tcPr>
          <w:p w:rsidR="000712BC" w:rsidRPr="005C4533" w:rsidRDefault="000712BC">
            <w:pPr>
              <w:pStyle w:val="Compact"/>
              <w:rPr>
                <w:rFonts w:ascii="Times New Roman" w:hAnsi="Times New Roman" w:cs="Times New Roman"/>
                <w:sz w:val="22"/>
                <w:szCs w:val="22"/>
              </w:rPr>
            </w:pPr>
            <w:r w:rsidRPr="005C4533">
              <w:rPr>
                <w:rFonts w:ascii="Times New Roman" w:hAnsi="Times New Roman" w:cs="Times New Roman"/>
                <w:sz w:val="22"/>
                <w:szCs w:val="22"/>
              </w:rPr>
              <w:t>Overfishing</w:t>
            </w:r>
          </w:p>
        </w:tc>
        <w:tc>
          <w:tcPr>
            <w:tcW w:w="1060" w:type="dxa"/>
            <w:tcBorders>
              <w:top w:val="single" w:sz="4" w:space="0" w:color="auto"/>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c>
          <w:tcPr>
            <w:tcW w:w="0" w:type="auto"/>
            <w:tcBorders>
              <w:top w:val="single" w:sz="4" w:space="0" w:color="auto"/>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c>
          <w:tcPr>
            <w:tcW w:w="0" w:type="auto"/>
            <w:tcBorders>
              <w:top w:val="single" w:sz="4" w:space="0" w:color="auto"/>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c>
          <w:tcPr>
            <w:tcW w:w="0" w:type="auto"/>
            <w:tcBorders>
              <w:top w:val="single" w:sz="4" w:space="0" w:color="auto"/>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r>
      <w:tr w:rsidR="000712BC" w:rsidRPr="005C4533" w:rsidTr="000712BC">
        <w:trPr>
          <w:trHeight w:val="360"/>
        </w:trPr>
        <w:tc>
          <w:tcPr>
            <w:tcW w:w="3541" w:type="dxa"/>
            <w:tcBorders>
              <w:top w:val="nil"/>
              <w:left w:val="single" w:sz="4" w:space="0" w:color="auto"/>
              <w:bottom w:val="nil"/>
              <w:right w:val="single" w:sz="4" w:space="0" w:color="auto"/>
            </w:tcBorders>
            <w:hideMark/>
          </w:tcPr>
          <w:p w:rsidR="000712BC" w:rsidRPr="005C4533" w:rsidRDefault="000712BC">
            <w:pPr>
              <w:pStyle w:val="Compact"/>
              <w:rPr>
                <w:rFonts w:ascii="Times New Roman" w:hAnsi="Times New Roman" w:cs="Times New Roman"/>
                <w:sz w:val="22"/>
                <w:szCs w:val="22"/>
              </w:rPr>
            </w:pPr>
            <w:r w:rsidRPr="005C4533">
              <w:rPr>
                <w:rFonts w:ascii="Times New Roman" w:hAnsi="Times New Roman" w:cs="Times New Roman"/>
                <w:sz w:val="22"/>
                <w:szCs w:val="22"/>
              </w:rPr>
              <w:t>Overfished</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c>
          <w:tcPr>
            <w:tcW w:w="0" w:type="auto"/>
            <w:tcBorders>
              <w:top w:val="nil"/>
              <w:left w:val="single" w:sz="4" w:space="0" w:color="auto"/>
              <w:bottom w:val="nil"/>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c>
          <w:tcPr>
            <w:tcW w:w="0" w:type="auto"/>
            <w:tcBorders>
              <w:top w:val="nil"/>
              <w:left w:val="nil"/>
              <w:bottom w:val="nil"/>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r>
      <w:tr w:rsidR="000712BC" w:rsidRPr="005C4533" w:rsidTr="000712BC">
        <w:trPr>
          <w:trHeight w:val="342"/>
        </w:trPr>
        <w:tc>
          <w:tcPr>
            <w:tcW w:w="3541" w:type="dxa"/>
            <w:tcBorders>
              <w:top w:val="nil"/>
              <w:left w:val="single" w:sz="4" w:space="0" w:color="auto"/>
              <w:bottom w:val="single" w:sz="4" w:space="0" w:color="auto"/>
              <w:right w:val="single" w:sz="4" w:space="0" w:color="auto"/>
            </w:tcBorders>
            <w:hideMark/>
          </w:tcPr>
          <w:p w:rsidR="000712BC" w:rsidRPr="005C4533" w:rsidRDefault="000712BC">
            <w:pPr>
              <w:pStyle w:val="Compact"/>
              <w:rPr>
                <w:rFonts w:ascii="Times New Roman" w:hAnsi="Times New Roman" w:cs="Times New Roman"/>
                <w:sz w:val="22"/>
                <w:szCs w:val="22"/>
              </w:rPr>
            </w:pPr>
            <w:r w:rsidRPr="005C4533">
              <w:rPr>
                <w:rFonts w:ascii="Times New Roman" w:hAnsi="Times New Roman" w:cs="Times New Roman"/>
                <w:sz w:val="22"/>
                <w:szCs w:val="22"/>
              </w:rPr>
              <w:t>Approaching Overfished</w:t>
            </w: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c>
          <w:tcPr>
            <w:tcW w:w="0" w:type="auto"/>
            <w:tcBorders>
              <w:top w:val="nil"/>
              <w:left w:val="single" w:sz="4" w:space="0" w:color="auto"/>
              <w:bottom w:val="single" w:sz="4" w:space="0" w:color="auto"/>
              <w:right w:val="nil"/>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NA</w:t>
            </w:r>
          </w:p>
        </w:tc>
        <w:tc>
          <w:tcPr>
            <w:tcW w:w="0" w:type="auto"/>
            <w:tcBorders>
              <w:top w:val="nil"/>
              <w:left w:val="nil"/>
              <w:bottom w:val="single" w:sz="4" w:space="0" w:color="auto"/>
              <w:right w:val="single" w:sz="4" w:space="0" w:color="auto"/>
            </w:tcBorders>
            <w:vAlign w:val="center"/>
            <w:hideMark/>
          </w:tcPr>
          <w:p w:rsidR="000712BC" w:rsidRPr="005C4533" w:rsidRDefault="000712BC">
            <w:pPr>
              <w:pStyle w:val="Compact"/>
              <w:jc w:val="right"/>
              <w:rPr>
                <w:rFonts w:ascii="Times New Roman" w:hAnsi="Times New Roman" w:cs="Times New Roman"/>
                <w:sz w:val="22"/>
                <w:szCs w:val="22"/>
              </w:rPr>
            </w:pPr>
            <w:r w:rsidRPr="005C4533">
              <w:rPr>
                <w:rFonts w:ascii="Times New Roman" w:hAnsi="Times New Roman" w:cs="Times New Roman"/>
                <w:sz w:val="22"/>
                <w:szCs w:val="22"/>
              </w:rPr>
              <w:t>no</w:t>
            </w:r>
          </w:p>
        </w:tc>
      </w:tr>
    </w:tbl>
    <w:p w:rsidR="002D1455" w:rsidRPr="00966996" w:rsidRDefault="00966996">
      <w:pPr>
        <w:rPr>
          <w:rFonts w:ascii="Times New Roman" w:hAnsi="Times New Roman" w:cs="Times New Roman"/>
          <w:sz w:val="20"/>
          <w:szCs w:val="20"/>
        </w:rPr>
      </w:pPr>
      <w:r w:rsidRPr="00966996">
        <w:rPr>
          <w:rFonts w:ascii="Times New Roman" w:hAnsi="Times New Roman" w:cs="Times New Roman"/>
          <w:sz w:val="20"/>
          <w:szCs w:val="20"/>
        </w:rPr>
        <w:t>*Projections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r w:rsidR="007D5708" w:rsidRPr="00966996">
        <w:rPr>
          <w:rFonts w:ascii="Times New Roman" w:hAnsi="Times New Roman" w:cs="Times New Roman"/>
          <w:sz w:val="20"/>
          <w:szCs w:val="20"/>
        </w:rPr>
        <w:br w:type="page"/>
      </w:r>
    </w:p>
    <w:p w:rsidR="002D1455" w:rsidRPr="00966996" w:rsidRDefault="007D5708" w:rsidP="00966996">
      <w:pPr>
        <w:pStyle w:val="Heading1"/>
      </w:pPr>
      <w:bookmarkStart w:id="6" w:name="_Toc118193282"/>
      <w:bookmarkStart w:id="7" w:name="tables"/>
      <w:bookmarkEnd w:id="1"/>
      <w:bookmarkEnd w:id="5"/>
      <w:r w:rsidRPr="00966996">
        <w:lastRenderedPageBreak/>
        <w:t>Tables</w:t>
      </w:r>
      <w:bookmarkEnd w:id="6"/>
    </w:p>
    <w:p w:rsidR="002D1455" w:rsidRPr="00966996" w:rsidRDefault="007D5708">
      <w:pPr>
        <w:pStyle w:val="TableCaption"/>
        <w:rPr>
          <w:rFonts w:ascii="Times New Roman" w:hAnsi="Times New Roman" w:cs="Times New Roman"/>
          <w:i w:val="0"/>
          <w:sz w:val="22"/>
          <w:szCs w:val="22"/>
        </w:rPr>
      </w:pPr>
      <w:bookmarkStart w:id="8" w:name="catch-by-spp."/>
      <w:r w:rsidRPr="00966996">
        <w:rPr>
          <w:rFonts w:ascii="Times New Roman" w:hAnsi="Times New Roman" w:cs="Times New Roman"/>
          <w:i w:val="0"/>
          <w:sz w:val="22"/>
          <w:szCs w:val="22"/>
        </w:rPr>
        <w:t xml:space="preserve">Table 1. Catch (in tons) of Flathead sole and Bering flounder combined (Hippoglossoides elassodon) and Flathead sole </w:t>
      </w:r>
      <w:r w:rsidR="00C44742">
        <w:rPr>
          <w:rFonts w:ascii="Times New Roman" w:hAnsi="Times New Roman" w:cs="Times New Roman"/>
          <w:i w:val="0"/>
          <w:sz w:val="22"/>
          <w:szCs w:val="22"/>
        </w:rPr>
        <w:t>only, and Bering flounder only a</w:t>
      </w:r>
      <w:r w:rsidRPr="00966996">
        <w:rPr>
          <w:rFonts w:ascii="Times New Roman" w:hAnsi="Times New Roman" w:cs="Times New Roman"/>
          <w:i w:val="0"/>
          <w:sz w:val="22"/>
          <w:szCs w:val="22"/>
        </w:rPr>
        <w:t>s of Oct 19, 2022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The 2022 catches are current as of Oct 19, 2022 and the value shown below does not include projections through the end of the year.</w:t>
      </w:r>
    </w:p>
    <w:tbl>
      <w:tblPr>
        <w:tblStyle w:val="Table"/>
        <w:tblW w:w="0" w:type="auto"/>
        <w:tblLook w:val="0020" w:firstRow="1" w:lastRow="0" w:firstColumn="0" w:lastColumn="0" w:noHBand="0" w:noVBand="0"/>
      </w:tblPr>
      <w:tblGrid>
        <w:gridCol w:w="616"/>
        <w:gridCol w:w="2400"/>
        <w:gridCol w:w="1277"/>
        <w:gridCol w:w="1488"/>
      </w:tblGrid>
      <w:tr w:rsidR="00966996" w:rsidRPr="004A16A0" w:rsidTr="002D1455">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Year</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Total Hippoglossoides spp.</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Flathead sole</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Bering flounder</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14,715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14,710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17,346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17,341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20,683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20,678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24,387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24,381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7</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18,573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18,553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20,441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20,408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17,811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17,795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15,575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15,550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13,785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13,767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17,398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17,374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16,108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16,077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31</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17,981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17,975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18,958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18,952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24,540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24,526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19,558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19,530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28</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20,127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20,101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13,557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13,536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11,365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11,359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17,353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17,272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80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16,511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16,478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11,306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11,273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10,313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10,301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12</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9,111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9,107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11,007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11,001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15,880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15,879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9,392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9,389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10,259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10,255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14,075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14,072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bl>
    <w:p w:rsidR="00966996" w:rsidRPr="00966996" w:rsidRDefault="00966996">
      <w:pPr>
        <w:pStyle w:val="TableCaption"/>
        <w:rPr>
          <w:rFonts w:ascii="Times New Roman" w:hAnsi="Times New Roman" w:cs="Times New Roman"/>
          <w:sz w:val="22"/>
          <w:szCs w:val="22"/>
        </w:rPr>
      </w:pPr>
      <w:bookmarkStart w:id="9" w:name="survey-biomass-and-cv-ebsai"/>
      <w:bookmarkEnd w:id="8"/>
    </w:p>
    <w:p w:rsidR="00966996" w:rsidRPr="00966996" w:rsidRDefault="00966996">
      <w:pPr>
        <w:pStyle w:val="TableCaption"/>
        <w:rPr>
          <w:rFonts w:ascii="Times New Roman" w:hAnsi="Times New Roman" w:cs="Times New Roman"/>
          <w:sz w:val="22"/>
          <w:szCs w:val="22"/>
        </w:rPr>
        <w:sectPr w:rsidR="00966996" w:rsidRPr="00966996">
          <w:pgSz w:w="12240" w:h="15840"/>
          <w:pgMar w:top="1440" w:right="1440" w:bottom="1440" w:left="1440" w:header="720" w:footer="720" w:gutter="0"/>
          <w:cols w:space="720"/>
        </w:sectPr>
      </w:pPr>
    </w:p>
    <w:p w:rsidR="002D1455" w:rsidRPr="00966996" w:rsidRDefault="007D5708">
      <w:pPr>
        <w:pStyle w:val="TableCaption"/>
        <w:rPr>
          <w:rFonts w:ascii="Times New Roman" w:hAnsi="Times New Roman" w:cs="Times New Roman"/>
          <w:i w:val="0"/>
          <w:sz w:val="22"/>
          <w:szCs w:val="22"/>
        </w:rPr>
      </w:pPr>
      <w:r w:rsidRPr="00966996">
        <w:rPr>
          <w:rFonts w:ascii="Times New Roman" w:hAnsi="Times New Roman" w:cs="Times New Roman"/>
          <w:i w:val="0"/>
          <w:sz w:val="22"/>
          <w:szCs w:val="22"/>
        </w:rPr>
        <w:lastRenderedPageBreak/>
        <w:t xml:space="preserve">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w:t>
      </w:r>
    </w:p>
    <w:tbl>
      <w:tblPr>
        <w:tblStyle w:val="Table"/>
        <w:tblW w:w="0" w:type="auto"/>
        <w:tblLook w:val="0020" w:firstRow="1" w:lastRow="0" w:firstColumn="0" w:lastColumn="0" w:noHBand="0" w:noVBand="0"/>
      </w:tblPr>
      <w:tblGrid>
        <w:gridCol w:w="616"/>
        <w:gridCol w:w="866"/>
        <w:gridCol w:w="779"/>
        <w:gridCol w:w="913"/>
        <w:gridCol w:w="573"/>
        <w:gridCol w:w="923"/>
        <w:gridCol w:w="713"/>
        <w:gridCol w:w="953"/>
        <w:gridCol w:w="945"/>
        <w:gridCol w:w="1044"/>
        <w:gridCol w:w="1035"/>
      </w:tblGrid>
      <w:tr w:rsidR="00966996" w:rsidRPr="00966996" w:rsidTr="00966996">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Year</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Total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(Total)</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Biomass (AI)</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CV (AI)</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all)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(EBS, all)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flathead)</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(EBS, flathead)</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Bering Flounder)</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CV (EBS, Bering Flounder)</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194,495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191,343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191,343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w:t>
            </w:r>
          </w:p>
        </w:tc>
        <w:tc>
          <w:tcPr>
            <w:tcW w:w="0" w:type="auto"/>
          </w:tcPr>
          <w:p w:rsidR="002D1455" w:rsidRPr="00966996" w:rsidRDefault="002D1455">
            <w:pPr>
              <w:pStyle w:val="Compact"/>
              <w:rPr>
                <w:rFonts w:ascii="Times New Roman" w:hAnsi="Times New Roman" w:cs="Times New Roman"/>
                <w:sz w:val="20"/>
                <w:szCs w:val="20"/>
              </w:rPr>
            </w:pP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271,475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1213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270,262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251,978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18,283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289,521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284,782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269,777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15,005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269,266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264,865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251,534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13,332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362,170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5245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356,925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343,011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13,914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399,227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392,657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378,525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14,132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569,809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560,392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537,372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23,020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528,394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519,668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500,932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18,737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601,749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591,798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572,543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19,256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552,288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6939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545,349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517,825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27,524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626,811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616,443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601,311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15,131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617,258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607,049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584,834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22,215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699,446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9935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689,511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663,853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25,658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603,875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593,889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578,457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15,432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626,314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615,954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603,979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11,975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794,426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11554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782,871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768,815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14,056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693,723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682,237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674,412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7,825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407,164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400,462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387,311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13,151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401,106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8906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392,199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384,011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8,188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522,844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514,211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502,853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11,358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562,073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9898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552,175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547,271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4,904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522,935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514,300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508,617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5,684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624,805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13298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611,507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603,449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8,058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622,249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611,956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604,878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7,078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643,731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9664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634,067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620,215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13,852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571,280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561,838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551,415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10,423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553,591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544,445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534,364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10,080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425,216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418,213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411,584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6,629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506,197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11812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494,386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487,798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6,588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593,351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583,540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576,761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6,779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386,892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5566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381,326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374,716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498,784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490,553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484,866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5,687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532,889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13436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519,453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509,842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9,611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399,247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392,677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381,696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10,981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452,785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6759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446,026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433,243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12,783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lastRenderedPageBreak/>
              <w:t>2017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549,293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540,218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530,982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9,236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494,579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6930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487,649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484,144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3,505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0.16</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604,109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594,119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592,039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2,080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670,091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659,000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657,321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1,679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2022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710,804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10897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699,906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697,296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0.27</w:t>
            </w:r>
          </w:p>
        </w:tc>
      </w:tr>
    </w:tbl>
    <w:p w:rsidR="00966996" w:rsidRPr="00966996" w:rsidRDefault="00966996">
      <w:pPr>
        <w:pStyle w:val="TableCaption"/>
        <w:rPr>
          <w:rFonts w:ascii="Times New Roman" w:hAnsi="Times New Roman" w:cs="Times New Roman"/>
          <w:sz w:val="22"/>
          <w:szCs w:val="22"/>
        </w:rPr>
        <w:sectPr w:rsidR="00966996" w:rsidRPr="00966996">
          <w:pgSz w:w="12240" w:h="15840"/>
          <w:pgMar w:top="1440" w:right="1440" w:bottom="1440" w:left="1440" w:header="720" w:footer="720" w:gutter="0"/>
          <w:cols w:space="720"/>
        </w:sectPr>
      </w:pPr>
      <w:bookmarkStart w:id="10" w:name="survey-biomass-and-cv-nbs"/>
      <w:bookmarkEnd w:id="9"/>
    </w:p>
    <w:p w:rsidR="002D1455" w:rsidRPr="004A16A0" w:rsidRDefault="007D5708">
      <w:pPr>
        <w:pStyle w:val="TableCaption"/>
        <w:rPr>
          <w:rFonts w:ascii="Times New Roman" w:hAnsi="Times New Roman" w:cs="Times New Roman"/>
          <w:i w:val="0"/>
          <w:sz w:val="22"/>
          <w:szCs w:val="22"/>
        </w:rPr>
      </w:pPr>
      <w:r w:rsidRPr="004A16A0">
        <w:rPr>
          <w:rFonts w:ascii="Times New Roman" w:hAnsi="Times New Roman" w:cs="Times New Roman"/>
          <w:i w:val="0"/>
          <w:sz w:val="22"/>
          <w:szCs w:val="22"/>
        </w:rPr>
        <w:lastRenderedPageBreak/>
        <w:t>Table 3. Northern Bering Sea survey biomass (t) and coefficient of variation (CV) for Flathead sole, Bering flounder, and the two combined (Hippoglossoides spp.). These data are presented here for reference only.</w:t>
      </w:r>
    </w:p>
    <w:tbl>
      <w:tblPr>
        <w:tblStyle w:val="Table"/>
        <w:tblW w:w="0" w:type="auto"/>
        <w:tblLook w:val="0020" w:firstRow="1" w:lastRow="0" w:firstColumn="0" w:lastColumn="0" w:noHBand="0" w:noVBand="0"/>
      </w:tblPr>
      <w:tblGrid>
        <w:gridCol w:w="656"/>
        <w:gridCol w:w="1229"/>
        <w:gridCol w:w="966"/>
        <w:gridCol w:w="1545"/>
        <w:gridCol w:w="1372"/>
        <w:gridCol w:w="1883"/>
        <w:gridCol w:w="1709"/>
      </w:tblGrid>
      <w:tr w:rsidR="00966996" w:rsidRPr="00966996" w:rsidTr="002D1455">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Year</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(Total)</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CV (Total)</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(NBS, flathead)</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CV (NBS, flathead)</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(NBS, Bering Flounder)</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CV (NBS, Bering Flounder)</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2010</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12,355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0.17</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w:t>
            </w:r>
          </w:p>
        </w:tc>
        <w:tc>
          <w:tcPr>
            <w:tcW w:w="0" w:type="auto"/>
          </w:tcPr>
          <w:p w:rsidR="002D1455" w:rsidRPr="00966996" w:rsidRDefault="002D1455">
            <w:pPr>
              <w:pStyle w:val="Compact"/>
              <w:rPr>
                <w:rFonts w:ascii="Times New Roman" w:hAnsi="Times New Roman" w:cs="Times New Roman"/>
                <w:sz w:val="22"/>
                <w:szCs w:val="22"/>
              </w:rPr>
            </w:pP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12,355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0.17</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2017</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19,882</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79</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0.65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19,804</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18,989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0.18</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463</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0.33</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18,526</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0.19</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8,523</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138</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0.78</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8,384</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0.22</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2022</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6,039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129</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0.6</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5,910</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0.15</w:t>
            </w:r>
          </w:p>
        </w:tc>
      </w:tr>
      <w:bookmarkEnd w:id="10"/>
    </w:tbl>
    <w:p w:rsidR="002D1455" w:rsidRPr="00966996" w:rsidRDefault="007D5708">
      <w:pPr>
        <w:rPr>
          <w:rFonts w:ascii="Times New Roman" w:hAnsi="Times New Roman" w:cs="Times New Roman"/>
          <w:sz w:val="22"/>
          <w:szCs w:val="22"/>
        </w:rPr>
      </w:pPr>
      <w:r w:rsidRPr="00966996">
        <w:rPr>
          <w:rFonts w:ascii="Times New Roman" w:hAnsi="Times New Roman" w:cs="Times New Roman"/>
          <w:sz w:val="22"/>
          <w:szCs w:val="22"/>
        </w:rPr>
        <w:br w:type="page"/>
      </w:r>
    </w:p>
    <w:p w:rsidR="002D1455" w:rsidRPr="00966996" w:rsidRDefault="007D5708" w:rsidP="00966996">
      <w:pPr>
        <w:pStyle w:val="Heading1"/>
      </w:pPr>
      <w:bookmarkStart w:id="11" w:name="_Toc118193283"/>
      <w:bookmarkStart w:id="12" w:name="figures"/>
      <w:bookmarkEnd w:id="7"/>
      <w:r w:rsidRPr="00966996">
        <w:lastRenderedPageBreak/>
        <w:t>Figures</w:t>
      </w:r>
      <w:bookmarkStart w:id="13" w:name="catch-vs.-total-biomass"/>
      <w:bookmarkEnd w:id="11"/>
    </w:p>
    <w:tbl>
      <w:tblPr>
        <w:tblStyle w:val="Table"/>
        <w:tblW w:w="5000" w:type="pct"/>
        <w:tblLook w:val="0000" w:firstRow="0" w:lastRow="0" w:firstColumn="0" w:lastColumn="0" w:noHBand="0" w:noVBand="0"/>
      </w:tblPr>
      <w:tblGrid>
        <w:gridCol w:w="9360"/>
      </w:tblGrid>
      <w:tr w:rsidR="00966996" w:rsidRPr="00966996">
        <w:tc>
          <w:tcPr>
            <w:tcW w:w="0" w:type="auto"/>
          </w:tcPr>
          <w:p w:rsidR="002D1455" w:rsidRPr="00966996" w:rsidRDefault="007D5708">
            <w:pPr>
              <w:pStyle w:val="Figure"/>
              <w:jc w:val="center"/>
              <w:rPr>
                <w:rFonts w:ascii="Times New Roman" w:hAnsi="Times New Roman" w:cs="Times New Roman"/>
                <w:sz w:val="22"/>
                <w:szCs w:val="22"/>
              </w:rPr>
            </w:pPr>
            <w:r w:rsidRPr="00966996">
              <w:rPr>
                <w:rFonts w:ascii="Times New Roman" w:hAnsi="Times New Roman" w:cs="Times New Roman"/>
                <w:noProof/>
                <w:sz w:val="22"/>
                <w:szCs w:val="22"/>
              </w:rPr>
              <w:drawing>
                <wp:inline distT="0" distB="0" distL="0" distR="0">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s/2022-10-19-Fig1_catchvsbio.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4A16A0" w:rsidRPr="00D03897" w:rsidRDefault="007D5708" w:rsidP="00D03897">
            <w:pPr>
              <w:pStyle w:val="ImageCaption"/>
              <w:spacing w:before="200"/>
              <w:rPr>
                <w:rFonts w:ascii="Times New Roman" w:hAnsi="Times New Roman" w:cs="Times New Roman"/>
                <w:i w:val="0"/>
                <w:sz w:val="22"/>
                <w:szCs w:val="22"/>
              </w:rPr>
            </w:pPr>
            <w:r w:rsidRPr="00D03897">
              <w:rPr>
                <w:rFonts w:ascii="Times New Roman" w:hAnsi="Times New Roman" w:cs="Times New Roman"/>
                <w:i w:val="0"/>
                <w:sz w:val="22"/>
                <w:szCs w:val="22"/>
              </w:rPr>
              <w:t>Figure 1. Catch to total biomass ratio using total biomass for age 3+ individuals for Flathead sole in the Bering Sea and Aleutian Islands. Points include observed (closed points) or estimated (open points) catches for years 2020-2024</w:t>
            </w:r>
            <w:r w:rsidR="00D03897">
              <w:rPr>
                <w:rFonts w:ascii="Times New Roman" w:hAnsi="Times New Roman" w:cs="Times New Roman"/>
                <w:i w:val="0"/>
                <w:sz w:val="22"/>
                <w:szCs w:val="22"/>
              </w:rPr>
              <w:t>.</w:t>
            </w:r>
          </w:p>
        </w:tc>
      </w:tr>
    </w:tbl>
    <w:p w:rsidR="004A16A0" w:rsidRDefault="004A16A0">
      <w:pPr>
        <w:pStyle w:val="Heading4"/>
        <w:rPr>
          <w:rFonts w:ascii="Times New Roman" w:hAnsi="Times New Roman" w:cs="Times New Roman"/>
          <w:color w:val="auto"/>
          <w:sz w:val="22"/>
          <w:szCs w:val="22"/>
        </w:rPr>
        <w:sectPr w:rsidR="004A16A0">
          <w:pgSz w:w="12240" w:h="15840"/>
          <w:pgMar w:top="1440" w:right="1440" w:bottom="1440" w:left="1440" w:header="720" w:footer="720" w:gutter="0"/>
          <w:cols w:space="720"/>
        </w:sectPr>
      </w:pPr>
      <w:bookmarkStart w:id="14" w:name="survey-biomass-ebsai"/>
      <w:bookmarkEnd w:id="13"/>
    </w:p>
    <w:p w:rsidR="002D1455" w:rsidRPr="00966996" w:rsidRDefault="002D1455">
      <w:pPr>
        <w:pStyle w:val="Heading4"/>
        <w:rPr>
          <w:rFonts w:ascii="Times New Roman" w:hAnsi="Times New Roman" w:cs="Times New Roman"/>
          <w:color w:val="auto"/>
          <w:sz w:val="22"/>
          <w:szCs w:val="22"/>
        </w:rPr>
      </w:pPr>
    </w:p>
    <w:tbl>
      <w:tblPr>
        <w:tblStyle w:val="Table"/>
        <w:tblW w:w="5000" w:type="pct"/>
        <w:tblLook w:val="0000" w:firstRow="0" w:lastRow="0" w:firstColumn="0" w:lastColumn="0" w:noHBand="0" w:noVBand="0"/>
      </w:tblPr>
      <w:tblGrid>
        <w:gridCol w:w="9360"/>
      </w:tblGrid>
      <w:tr w:rsidR="00966996" w:rsidRPr="00966996">
        <w:tc>
          <w:tcPr>
            <w:tcW w:w="0" w:type="auto"/>
          </w:tcPr>
          <w:p w:rsidR="002D1455" w:rsidRPr="00966996" w:rsidRDefault="007D5708">
            <w:pPr>
              <w:pStyle w:val="Figure"/>
              <w:jc w:val="center"/>
              <w:rPr>
                <w:rFonts w:ascii="Times New Roman" w:hAnsi="Times New Roman" w:cs="Times New Roman"/>
                <w:sz w:val="22"/>
                <w:szCs w:val="22"/>
              </w:rPr>
            </w:pPr>
            <w:r w:rsidRPr="00966996">
              <w:rPr>
                <w:rFonts w:ascii="Times New Roman" w:hAnsi="Times New Roman" w:cs="Times New Roman"/>
                <w:noProof/>
                <w:sz w:val="22"/>
                <w:szCs w:val="22"/>
              </w:rPr>
              <w:drawing>
                <wp:inline distT="0" distB="0" distL="0" distR="0">
                  <wp:extent cx="5334000" cy="320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2022-10-19-index_wCVs.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2D1455" w:rsidRPr="000712BC" w:rsidRDefault="007D5708" w:rsidP="00FB752F">
            <w:pPr>
              <w:pStyle w:val="ImageCaption"/>
              <w:spacing w:before="200"/>
              <w:rPr>
                <w:rFonts w:ascii="Times New Roman" w:hAnsi="Times New Roman" w:cs="Times New Roman"/>
                <w:i w:val="0"/>
                <w:sz w:val="22"/>
                <w:szCs w:val="22"/>
              </w:rPr>
            </w:pPr>
            <w:r w:rsidRPr="000712BC">
              <w:rPr>
                <w:rFonts w:ascii="Times New Roman" w:hAnsi="Times New Roman" w:cs="Times New Roman"/>
                <w:i w:val="0"/>
                <w:sz w:val="22"/>
                <w:szCs w:val="22"/>
              </w:rPr>
              <w:t>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w:t>
            </w:r>
            <w:r w:rsidR="00FB752F">
              <w:rPr>
                <w:rFonts w:ascii="Times New Roman" w:hAnsi="Times New Roman" w:cs="Times New Roman"/>
                <w:i w:val="0"/>
                <w:sz w:val="22"/>
                <w:szCs w:val="22"/>
              </w:rPr>
              <w:t>rs when no AI survey occurred (</w:t>
            </w:r>
            <w:bookmarkStart w:id="15" w:name="_GoBack"/>
            <w:bookmarkEnd w:id="15"/>
            <w:r w:rsidRPr="000712BC">
              <w:rPr>
                <w:rFonts w:ascii="Times New Roman" w:hAnsi="Times New Roman" w:cs="Times New Roman"/>
                <w:i w:val="0"/>
                <w:sz w:val="22"/>
                <w:szCs w:val="22"/>
              </w:rPr>
              <w:t>‘x’ marks). Grey shading indicates ± 1 standard error. Blue points and ‘x’ marks indicate the survey biomass in 2021 and 2022.</w:t>
            </w:r>
          </w:p>
        </w:tc>
      </w:tr>
    </w:tbl>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p w:rsidR="002D1455" w:rsidRPr="00966996" w:rsidRDefault="007D5708" w:rsidP="00966996">
      <w:pPr>
        <w:pStyle w:val="Heading1"/>
      </w:pPr>
      <w:bookmarkStart w:id="16" w:name="_Toc118193284"/>
      <w:bookmarkStart w:id="17" w:name="references"/>
      <w:bookmarkEnd w:id="12"/>
      <w:bookmarkEnd w:id="14"/>
      <w:r w:rsidRPr="00966996">
        <w:t>References</w:t>
      </w:r>
      <w:bookmarkEnd w:id="16"/>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w:t>
      </w:r>
      <w:hyperlink r:id="rId9">
        <w:r w:rsidRPr="002C0F20">
          <w:rPr>
            <w:rStyle w:val="Hyperlink"/>
            <w:rFonts w:ascii="Times New Roman" w:hAnsi="Times New Roman" w:cs="Times New Roman"/>
            <w:sz w:val="22"/>
            <w:szCs w:val="22"/>
          </w:rPr>
          <w:t>here</w:t>
        </w:r>
      </w:hyperlink>
      <w:r w:rsidRPr="00966996">
        <w:rPr>
          <w:rFonts w:ascii="Times New Roman" w:hAnsi="Times New Roman" w:cs="Times New Roman"/>
          <w:sz w:val="22"/>
          <w:szCs w:val="22"/>
        </w:rPr>
        <w:t>.</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w:t>
      </w:r>
      <w:hyperlink r:id="rId10">
        <w:r w:rsidRPr="002C0F20">
          <w:rPr>
            <w:rStyle w:val="Hyperlink"/>
            <w:rFonts w:ascii="Times New Roman" w:hAnsi="Times New Roman" w:cs="Times New Roman"/>
            <w:sz w:val="22"/>
            <w:szCs w:val="22"/>
          </w:rPr>
          <w:t>here</w:t>
        </w:r>
      </w:hyperlink>
      <w:r w:rsidRPr="00966996">
        <w:rPr>
          <w:rFonts w:ascii="Times New Roman" w:hAnsi="Times New Roman" w:cs="Times New Roman"/>
          <w:sz w:val="22"/>
          <w:szCs w:val="22"/>
        </w:rPr>
        <w:t>.</w:t>
      </w:r>
      <w:bookmarkEnd w:id="17"/>
    </w:p>
    <w:sectPr w:rsidR="002D1455" w:rsidRPr="009669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6CF" w:rsidRDefault="00A036CF">
      <w:pPr>
        <w:spacing w:after="0"/>
      </w:pPr>
      <w:r>
        <w:separator/>
      </w:r>
    </w:p>
  </w:endnote>
  <w:endnote w:type="continuationSeparator" w:id="0">
    <w:p w:rsidR="00A036CF" w:rsidRDefault="00A036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6CF" w:rsidRDefault="00A036CF">
      <w:r>
        <w:separator/>
      </w:r>
    </w:p>
  </w:footnote>
  <w:footnote w:type="continuationSeparator" w:id="0">
    <w:p w:rsidR="00A036CF" w:rsidRDefault="00A03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784D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55"/>
    <w:rsid w:val="000712BC"/>
    <w:rsid w:val="000E1B03"/>
    <w:rsid w:val="002C0F20"/>
    <w:rsid w:val="002D1455"/>
    <w:rsid w:val="004A16A0"/>
    <w:rsid w:val="0053648B"/>
    <w:rsid w:val="005C4533"/>
    <w:rsid w:val="007D5708"/>
    <w:rsid w:val="00966996"/>
    <w:rsid w:val="00A036CF"/>
    <w:rsid w:val="00A24641"/>
    <w:rsid w:val="00C44742"/>
    <w:rsid w:val="00CB29E0"/>
    <w:rsid w:val="00D03897"/>
    <w:rsid w:val="00FB75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8788"/>
  <w15:docId w15:val="{EFE30CB5-993C-4010-BF0D-CF696F26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66996"/>
    <w:pPr>
      <w:keepNext/>
      <w:keepLines/>
      <w:spacing w:before="480" w:after="0"/>
      <w:outlineLvl w:val="0"/>
    </w:pPr>
    <w:rPr>
      <w:rFonts w:ascii="Arial" w:eastAsiaTheme="majorEastAsia" w:hAnsi="Arial" w:cs="Arial"/>
      <w:b/>
      <w:bCs/>
      <w:szCs w:val="22"/>
    </w:rPr>
  </w:style>
  <w:style w:type="paragraph" w:styleId="Heading2">
    <w:name w:val="heading 2"/>
    <w:basedOn w:val="Normal"/>
    <w:next w:val="BodyText"/>
    <w:uiPriority w:val="9"/>
    <w:unhideWhenUsed/>
    <w:qFormat/>
    <w:rsid w:val="00966996"/>
    <w:pPr>
      <w:keepNext/>
      <w:keepLines/>
      <w:spacing w:before="200" w:after="0"/>
      <w:outlineLvl w:val="1"/>
    </w:pPr>
    <w:rPr>
      <w:rFonts w:ascii="Arial" w:eastAsiaTheme="majorEastAsia" w:hAnsi="Arial" w:cs="Arial"/>
      <w:b/>
      <w:bCs/>
      <w:sz w:val="22"/>
      <w:szCs w:val="2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66996"/>
    <w:pPr>
      <w:keepNext/>
      <w:keepLines/>
      <w:spacing w:before="480" w:after="240"/>
      <w:jc w:val="center"/>
    </w:pPr>
    <w:rPr>
      <w:rFonts w:ascii="Times New Roman" w:eastAsiaTheme="majorEastAsia" w:hAnsi="Times New Roman" w:cs="Times New Roman"/>
      <w:b/>
      <w:bCs/>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966996"/>
    <w:pPr>
      <w:spacing w:after="100"/>
    </w:pPr>
  </w:style>
  <w:style w:type="paragraph" w:styleId="TOC2">
    <w:name w:val="toc 2"/>
    <w:basedOn w:val="Normal"/>
    <w:next w:val="Normal"/>
    <w:autoRedefine/>
    <w:uiPriority w:val="39"/>
    <w:unhideWhenUsed/>
    <w:rsid w:val="009669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18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afsc.fisheries.noaa.gov/refm/docs/2020/BSAIflathead.pdf" TargetMode="External"/><Relationship Id="rId4" Type="http://schemas.openxmlformats.org/officeDocument/2006/relationships/webSettings" Target="webSettings.xml"/><Relationship Id="rId9" Type="http://schemas.openxmlformats.org/officeDocument/2006/relationships/hyperlink" Target="https://apps-afsc.fisheries.noaa.gov/refm/docs/2021/BSAIflath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1834</Words>
  <Characters>10457</Characters>
  <Application>Microsoft Office Word</Application>
  <DocSecurity>0</DocSecurity>
  <Lines>87</Lines>
  <Paragraphs>24</Paragraphs>
  <ScaleCrop>false</ScaleCrop>
  <Company>NOAA AFSC</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Maia Kapur</cp:lastModifiedBy>
  <cp:revision>13</cp:revision>
  <dcterms:created xsi:type="dcterms:W3CDTF">2022-11-01T18:12:00Z</dcterms:created>
  <dcterms:modified xsi:type="dcterms:W3CDTF">2022-11-01T18:31:00Z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