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E49D0" w14:textId="585D4142" w:rsidR="005069E1" w:rsidRPr="007E3664" w:rsidRDefault="00816C4D">
      <w:pPr>
        <w:pStyle w:val="Title"/>
        <w:rPr>
          <w:rFonts w:ascii="Times New Roman" w:hAnsi="Times New Roman" w:cs="Times New Roman"/>
        </w:rPr>
      </w:pPr>
      <w:r w:rsidRPr="009A658F">
        <w:rPr>
          <w:rFonts w:ascii="Times New Roman" w:hAnsi="Times New Roman" w:cs="Times New Roman"/>
          <w:rPrChange w:id="0" w:author="Cindy Tribuzio" w:date="2023-10-30T09:07:00Z">
            <w:rPr/>
          </w:rPrChange>
        </w:rPr>
        <w:t xml:space="preserve">10. </w:t>
      </w:r>
      <w:r w:rsidRPr="007E3664">
        <w:rPr>
          <w:rFonts w:ascii="Times New Roman" w:hAnsi="Times New Roman" w:cs="Times New Roman"/>
        </w:rPr>
        <w:t xml:space="preserve">Assessment of the Flathead Sole-Bering Flounder Stock </w:t>
      </w:r>
      <w:r w:rsidR="009A658F" w:rsidRPr="007E3664">
        <w:rPr>
          <w:rFonts w:ascii="Times New Roman" w:hAnsi="Times New Roman" w:cs="Times New Roman"/>
        </w:rPr>
        <w:t xml:space="preserve">Complex </w:t>
      </w:r>
      <w:r w:rsidRPr="007E3664">
        <w:rPr>
          <w:rFonts w:ascii="Times New Roman" w:hAnsi="Times New Roman" w:cs="Times New Roman"/>
        </w:rPr>
        <w:t>in the Bering Sea and Aleutian Islands</w:t>
      </w:r>
    </w:p>
    <w:p w14:paraId="3F92871B" w14:textId="77777777" w:rsidR="005069E1" w:rsidRDefault="00816C4D">
      <w:pPr>
        <w:pStyle w:val="Author"/>
      </w:pPr>
      <w:r>
        <w:t>Maia S. Kapur</w:t>
      </w:r>
    </w:p>
    <w:p w14:paraId="7355E8C7" w14:textId="77777777" w:rsidR="005069E1" w:rsidRDefault="00816C4D">
      <w:pPr>
        <w:pStyle w:val="Date"/>
      </w:pPr>
      <w:r>
        <w:t>November 2023</w:t>
      </w:r>
    </w:p>
    <w:p w14:paraId="41D00F8E" w14:textId="77777777" w:rsidR="009A658F" w:rsidRDefault="009A658F" w:rsidP="009A658F">
      <w:pPr>
        <w:pStyle w:val="NormalWeb"/>
        <w:spacing w:before="120" w:beforeAutospacing="0" w:after="0" w:afterAutospacing="0"/>
      </w:pPr>
      <w:r>
        <w:rPr>
          <w:color w:val="000000"/>
          <w:sz w:val="22"/>
          <w:szCs w:val="22"/>
        </w:rPr>
        <w:t>This report may be cited as:</w:t>
      </w:r>
    </w:p>
    <w:p w14:paraId="65F19EC3" w14:textId="77777777" w:rsidR="009A658F" w:rsidRDefault="009A658F" w:rsidP="009A658F">
      <w:pPr>
        <w:pStyle w:val="NormalWeb"/>
        <w:spacing w:before="0" w:beforeAutospacing="0" w:after="0" w:afterAutospacing="0"/>
        <w:ind w:right="733"/>
      </w:pPr>
      <w:r>
        <w:rPr>
          <w:color w:val="000000"/>
          <w:sz w:val="22"/>
          <w:szCs w:val="22"/>
        </w:rPr>
        <w:t>Authors., Year. Title. North Pacific Fishery Management Council, Anchorage, AK. Available from https://www.npfmc.org/library/safe-reports/</w:t>
      </w:r>
    </w:p>
    <w:p w14:paraId="0B5EA45F" w14:textId="77777777" w:rsidR="005069E1" w:rsidRDefault="00816C4D">
      <w:pPr>
        <w:pStyle w:val="Heading1"/>
      </w:pPr>
      <w:bookmarkStart w:id="1" w:name="executive-summary"/>
      <w:r>
        <w:t>Executive Summary</w:t>
      </w:r>
    </w:p>
    <w:p w14:paraId="48D485B6" w14:textId="7EF172E9" w:rsidR="005069E1" w:rsidRPr="00A96F75" w:rsidRDefault="00816C4D" w:rsidP="00A96F75">
      <w:pPr>
        <w:pStyle w:val="CommentText"/>
        <w:rPr>
          <w:b/>
        </w:rPr>
      </w:pPr>
      <w:r>
        <w:t xml:space="preserve">“Flathead sole” as currently managed by the North Pacific Fishery Management Council (NPFMC) in the Bering Sea and Aleutian Islands (BSAI) </w:t>
      </w:r>
      <w:r w:rsidR="00AA41E0">
        <w:t xml:space="preserve">and </w:t>
      </w:r>
      <w:r>
        <w:t>represents a two-species complex consisting of true Flathead sole (</w:t>
      </w:r>
      <w:r>
        <w:rPr>
          <w:i/>
          <w:iCs/>
        </w:rPr>
        <w:t>Hippoglossoides elassodon</w:t>
      </w:r>
      <w:r>
        <w:t>) and its morphologically-similar congener Bering flounder (</w:t>
      </w:r>
      <w:r>
        <w:rPr>
          <w:i/>
          <w:iCs/>
        </w:rPr>
        <w:t>Hippoglossoides</w:t>
      </w:r>
      <w:r>
        <w:t xml:space="preserve"> spp.). This species is currently assessed on a four-year cycle; the most recent full assessment was conducted in 2020 (Monnahan and Haehn,</w:t>
      </w:r>
      <w:r w:rsidR="00AA41E0">
        <w:t xml:space="preserve"> 2020, available at</w:t>
      </w:r>
      <w:r w:rsidR="007E3664">
        <w:t xml:space="preserve"> </w:t>
      </w:r>
      <w:hyperlink r:id="rId8" w:history="1">
        <w:r w:rsidR="00A96F75" w:rsidRPr="00734DBE">
          <w:rPr>
            <w:rStyle w:val="Hyperlink"/>
          </w:rPr>
          <w:t>https://www.npfmc.org/library/safe-reports/</w:t>
        </w:r>
      </w:hyperlink>
      <w:r w:rsidR="00A96F75">
        <w:t xml:space="preserve"> </w:t>
      </w:r>
      <w:r>
        <w:t>and will be updated in 2024. In years without a full assessment, we present an executive summary to recommend harvest levels for the next two years.</w:t>
      </w:r>
    </w:p>
    <w:p w14:paraId="1C1A7B1D" w14:textId="396DFE0F" w:rsidR="005069E1" w:rsidRDefault="00816C4D">
      <w:pPr>
        <w:pStyle w:val="BodyText"/>
      </w:pPr>
      <w:r>
        <w:t>Flathead sole is assessed using an age-structured model and Tier 3 determination. The projection model is run using parameter values from the accepted 2020 assessment model, together with updated catch information for 2020-2022, estimated catches for 2023 and projected catches 2024-2025 (Figure 1), to predict stock status for Flathead sole in 2024-2025, and to make ABC recommendations and set OFL for those years.</w:t>
      </w:r>
    </w:p>
    <w:p w14:paraId="3EF1B731" w14:textId="77777777" w:rsidR="005069E1" w:rsidRDefault="00816C4D">
      <w:pPr>
        <w:pStyle w:val="Heading2"/>
      </w:pPr>
      <w:bookmarkStart w:id="2" w:name="summary-of-changes-in-assessment-inputs"/>
      <w:commentRangeStart w:id="3"/>
      <w:r>
        <w:t>Summary of Changes in Assessment Inputs</w:t>
      </w:r>
      <w:commentRangeEnd w:id="3"/>
      <w:r w:rsidR="00AA41E0">
        <w:rPr>
          <w:rStyle w:val="CommentReference"/>
          <w:rFonts w:eastAsiaTheme="minorHAnsi" w:cstheme="minorBidi"/>
          <w:b w:val="0"/>
          <w:bCs w:val="0"/>
          <w:color w:val="auto"/>
        </w:rPr>
        <w:commentReference w:id="3"/>
      </w:r>
    </w:p>
    <w:p w14:paraId="0A454052" w14:textId="2DB68B9B" w:rsidR="00AA41E0" w:rsidRDefault="00816C4D">
      <w:pPr>
        <w:pStyle w:val="BodyText"/>
      </w:pPr>
      <w:r>
        <w:t>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27 September and December 31 over the years 2017-2022 to the 2023 catch as of 2023-09-27. The 2024 and 2025 catches (12,246 t) were estimated as the average catch over the previous 5 years (2017-2022).</w:t>
      </w:r>
    </w:p>
    <w:p w14:paraId="1DC14955" w14:textId="0A2EAE79" w:rsidR="005069E1" w:rsidRDefault="00AA41E0">
      <w:pPr>
        <w:pStyle w:val="BodyText"/>
      </w:pPr>
      <w:commentRangeStart w:id="4"/>
      <w:r>
        <w:t>Summary of Results</w:t>
      </w:r>
      <w:commentRangeEnd w:id="4"/>
      <w:r>
        <w:rPr>
          <w:rStyle w:val="CommentReference"/>
        </w:rPr>
        <w:commentReference w:id="4"/>
      </w:r>
    </w:p>
    <w:tbl>
      <w:tblPr>
        <w:tblW w:w="0" w:type="auto"/>
        <w:jc w:val="center"/>
        <w:tblLayout w:type="fixed"/>
        <w:tblLook w:val="0420" w:firstRow="1" w:lastRow="0" w:firstColumn="0" w:lastColumn="0" w:noHBand="0" w:noVBand="1"/>
      </w:tblPr>
      <w:tblGrid>
        <w:gridCol w:w="3600"/>
        <w:gridCol w:w="936"/>
        <w:gridCol w:w="936"/>
        <w:gridCol w:w="936"/>
        <w:gridCol w:w="936"/>
      </w:tblGrid>
      <w:tr w:rsidR="005069E1" w14:paraId="006521A0"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26F68E"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CD73A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DAFE9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5069E1" w14:paraId="1E6690F2"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C7B0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1DA1CC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78DFE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7C18D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r>
              <w:rPr>
                <w:rFonts w:eastAsia="Times New Roman" w:cs="Times New Roman"/>
                <w:color w:val="000000"/>
                <w:szCs w:val="22"/>
                <w:vertAlign w:val="superscript"/>
              </w:rPr>
              <w:t>*</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CD0B96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r>
              <w:rPr>
                <w:rFonts w:eastAsia="Times New Roman" w:cs="Times New Roman"/>
                <w:color w:val="000000"/>
                <w:szCs w:val="22"/>
                <w:vertAlign w:val="superscript"/>
              </w:rPr>
              <w:t>*</w:t>
            </w:r>
          </w:p>
        </w:tc>
      </w:tr>
      <w:tr w:rsidR="005069E1" w14:paraId="2229F5D7"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D3619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54ABB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4D342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5678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F1467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0.2</w:t>
            </w:r>
          </w:p>
        </w:tc>
      </w:tr>
      <w:tr w:rsidR="005069E1" w14:paraId="454EFDD9"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C8F71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Tier</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BB4FB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ED378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91EE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A32F0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r>
      <w:tr w:rsidR="005069E1" w14:paraId="528138BC"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6D486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Projected total (3+)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8021D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606,522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F9FF1D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606,080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D3A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609,</w:t>
            </w:r>
            <w:commentRangeStart w:id="5"/>
            <w:r>
              <w:rPr>
                <w:rFonts w:eastAsia="Times New Roman" w:cs="Times New Roman"/>
                <w:color w:val="000000"/>
                <w:szCs w:val="22"/>
              </w:rPr>
              <w:t>488</w:t>
            </w:r>
            <w:commentRangeEnd w:id="5"/>
            <w:r w:rsidR="00766F4E">
              <w:rPr>
                <w:rStyle w:val="CommentReference"/>
              </w:rPr>
              <w:commentReference w:id="5"/>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9CE81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608,230</w:t>
            </w:r>
          </w:p>
        </w:tc>
      </w:tr>
      <w:tr w:rsidR="005069E1" w14:paraId="56C4745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6A77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lastRenderedPageBreak/>
              <w:t>Projected Female spawning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842A0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158,962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4D2DD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164,594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4DFD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165,629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6BCDD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169,452</w:t>
            </w:r>
          </w:p>
        </w:tc>
      </w:tr>
      <w:tr w:rsidR="005069E1" w14:paraId="2B288B3C"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AF1EA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100%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3763E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00651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30AD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33614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203,658</w:t>
            </w:r>
          </w:p>
        </w:tc>
      </w:tr>
      <w:tr w:rsidR="005069E1" w14:paraId="7542F25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72427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40%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6D4B2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E9E1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EC6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CB9C9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81,463</w:t>
            </w:r>
          </w:p>
        </w:tc>
      </w:tr>
      <w:tr w:rsidR="005069E1" w14:paraId="16449B09"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5706B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35%</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AA372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211EF3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2DEF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01206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71,280</w:t>
            </w:r>
          </w:p>
        </w:tc>
      </w:tr>
      <w:tr w:rsidR="005069E1" w14:paraId="2CBDE58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FC61A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OFL</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3B95D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F0463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1FE5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4784C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0.46</w:t>
            </w:r>
          </w:p>
        </w:tc>
      </w:tr>
      <w:tr w:rsidR="005069E1" w14:paraId="77B92E5F"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1AD24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01685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D0C080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CC04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89EF9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r>
      <w:tr w:rsidR="005069E1" w14:paraId="29A75DF0"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34ED6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84115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99DB5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FB2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FA5B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0.37</w:t>
            </w:r>
          </w:p>
        </w:tc>
      </w:tr>
      <w:tr w:rsidR="005069E1" w14:paraId="0AD46C3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CB8B0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A1EA1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79,256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9DED3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81,167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30D3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81,605</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3D9D9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82,699</w:t>
            </w:r>
          </w:p>
        </w:tc>
      </w:tr>
      <w:tr w:rsidR="005069E1" w14:paraId="0C1CE03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47BB0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DF58A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65,344</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58FFB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66,927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214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67,289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46D9C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68,203</w:t>
            </w:r>
          </w:p>
        </w:tc>
      </w:tr>
      <w:tr w:rsidR="005069E1" w14:paraId="10943BB4"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AD15CE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E56D4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65,344</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9EC79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66,927</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5CA5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67,289</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34EDD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68,203</w:t>
            </w:r>
          </w:p>
        </w:tc>
      </w:tr>
      <w:tr w:rsidR="005069E1" w14:paraId="09858312"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C31487"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F731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45CA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5069E1" w14:paraId="3E1AE360"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201EE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F322CB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2E991C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8AC63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7E382B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r>
      <w:tr w:rsidR="005069E1" w14:paraId="3CFB503A"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91B07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2CAAB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9DF94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3D9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F83AF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r w:rsidR="005069E1" w14:paraId="086834A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419EE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Overfished</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79077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201F0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E4E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241C8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5069E1" w14:paraId="2EB7B4D7"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B7AB1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Approaching Overfished</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2AE6A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5DF339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BE88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FA52CE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5069E1" w14:paraId="450898A8" w14:textId="77777777">
        <w:trPr>
          <w:jc w:val="center"/>
        </w:trPr>
        <w:tc>
          <w:tcPr>
            <w:tcW w:w="7344" w:type="dxa"/>
            <w:gridSpan w:val="5"/>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A174B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Projections are based on an estimated catch of 8,811 t for 2023 and estimates of 12,246 t and 12,246 t used in place of maximum permissible ABC for 2024 and 2025.</w:t>
            </w:r>
          </w:p>
        </w:tc>
      </w:tr>
    </w:tbl>
    <w:p w14:paraId="75D533A1" w14:textId="77777777" w:rsidR="005069E1" w:rsidRDefault="00816C4D">
      <w:r>
        <w:br w:type="page"/>
      </w:r>
    </w:p>
    <w:p w14:paraId="0F2A9616" w14:textId="77777777" w:rsidR="005069E1" w:rsidRDefault="00816C4D">
      <w:pPr>
        <w:pStyle w:val="Heading1"/>
      </w:pPr>
      <w:bookmarkStart w:id="6" w:name="tables"/>
      <w:bookmarkEnd w:id="1"/>
      <w:bookmarkEnd w:id="2"/>
      <w:r>
        <w:lastRenderedPageBreak/>
        <w:t>Tables</w:t>
      </w:r>
    </w:p>
    <w:p w14:paraId="6FCC815D" w14:textId="77777777" w:rsidR="005069E1" w:rsidRDefault="00816C4D">
      <w:pPr>
        <w:pStyle w:val="TableCaption"/>
      </w:pPr>
      <w:bookmarkStart w:id="7" w:name="tab:tab1"/>
      <w:bookmarkEnd w:id="7"/>
      <w:commentRangeStart w:id="8"/>
      <w:r>
        <w:t>Table 10-1. Catch (in tons) of Flathead sole and Bering flounder combined (</w:t>
      </w:r>
      <w:r w:rsidRPr="00D55BED">
        <w:rPr>
          <w:i/>
        </w:rPr>
        <w:t>Hippoglossoides elassodon</w:t>
      </w:r>
      <w:r>
        <w:t xml:space="preserve">) and Flathead sole only, and Bering flounder only. Observer data of species-specific extrapolated weight in each haul was summed over hauls within each year and used to calculate the proportion of the total </w:t>
      </w:r>
      <w:r w:rsidRPr="00D55BED">
        <w:rPr>
          <w:i/>
        </w:rPr>
        <w:t xml:space="preserve">Hippoglossoides </w:t>
      </w:r>
      <w:r w:rsidRPr="00D55BED">
        <w:t>spp</w:t>
      </w:r>
      <w:r>
        <w:t xml:space="preserve">. catch that was Flathead sole or Bering flounder. Proportions were multiplied by the total </w:t>
      </w:r>
      <w:r w:rsidRPr="00D55BED">
        <w:rPr>
          <w:i/>
        </w:rPr>
        <w:t xml:space="preserve">Hippoglossoides </w:t>
      </w:r>
      <w:r w:rsidRPr="00D55BED">
        <w:t>spp</w:t>
      </w:r>
      <w:r>
        <w:t>. (Flathead sole and Bering flounder combined) catches reported by AKFIN to obtain total catch of Flathead sole separately from that of Bering flounder. Note that the value for 2023 is the observed catch, current through 2023-09-27; the extrapolated catches used for this year in the projection model are higher.</w:t>
      </w:r>
      <w:commentRangeEnd w:id="8"/>
      <w:r w:rsidR="00766F4E">
        <w:rPr>
          <w:rStyle w:val="CommentReference"/>
        </w:rPr>
        <w:commentReference w:id="8"/>
      </w:r>
    </w:p>
    <w:tbl>
      <w:tblPr>
        <w:tblW w:w="0" w:type="auto"/>
        <w:jc w:val="center"/>
        <w:tblLayout w:type="fixed"/>
        <w:tblLook w:val="0420" w:firstRow="1" w:lastRow="0" w:firstColumn="0" w:lastColumn="0" w:noHBand="0" w:noVBand="1"/>
      </w:tblPr>
      <w:tblGrid>
        <w:gridCol w:w="1069"/>
        <w:gridCol w:w="3683"/>
        <w:gridCol w:w="1728"/>
        <w:gridCol w:w="2160"/>
      </w:tblGrid>
      <w:tr w:rsidR="005069E1" w14:paraId="04C43476" w14:textId="77777777" w:rsidTr="00D55BED">
        <w:trPr>
          <w:trHeight w:val="429"/>
          <w:tblHeader/>
          <w:jc w:val="center"/>
        </w:trPr>
        <w:tc>
          <w:tcPr>
            <w:tcW w:w="10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BAF8B" w14:textId="77777777" w:rsidR="005069E1" w:rsidRDefault="00816C4D" w:rsidP="00D55BED">
            <w:pPr>
              <w:pBdr>
                <w:top w:val="none" w:sz="0" w:space="0" w:color="000000"/>
                <w:left w:val="none" w:sz="0" w:space="0" w:color="000000"/>
                <w:bottom w:val="none" w:sz="0" w:space="0" w:color="000000"/>
                <w:right w:val="none" w:sz="0" w:space="0" w:color="000000"/>
              </w:pBdr>
              <w:spacing w:after="0"/>
              <w:ind w:left="100" w:right="100"/>
            </w:pPr>
            <w:r>
              <w:rPr>
                <w:rFonts w:eastAsia="Times New Roman" w:cs="Times New Roman"/>
                <w:color w:val="000000"/>
                <w:szCs w:val="22"/>
              </w:rPr>
              <w:t>Year</w:t>
            </w:r>
          </w:p>
        </w:tc>
        <w:tc>
          <w:tcPr>
            <w:tcW w:w="36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A2A8E" w14:textId="77777777"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r>
              <w:rPr>
                <w:rFonts w:eastAsia="Times New Roman" w:cs="Times New Roman"/>
                <w:color w:val="000000"/>
                <w:szCs w:val="22"/>
              </w:rPr>
              <w:t xml:space="preserve">Total </w:t>
            </w:r>
            <w:r w:rsidRPr="00D55BED">
              <w:rPr>
                <w:rFonts w:eastAsia="Times New Roman" w:cs="Times New Roman"/>
                <w:i/>
                <w:color w:val="000000"/>
                <w:szCs w:val="22"/>
              </w:rPr>
              <w:t>Hippoglossoides</w:t>
            </w:r>
            <w:r>
              <w:rPr>
                <w:rFonts w:eastAsia="Times New Roman" w:cs="Times New Roman"/>
                <w:color w:val="000000"/>
                <w:szCs w:val="22"/>
              </w:rPr>
              <w:t xml:space="preserve"> spp.</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9F793A" w14:textId="77777777"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r>
              <w:rPr>
                <w:rFonts w:eastAsia="Times New Roman" w:cs="Times New Roman"/>
                <w:color w:val="000000"/>
                <w:szCs w:val="22"/>
              </w:rPr>
              <w:t>Flathead Sole</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A98CA" w14:textId="77777777" w:rsidR="005069E1" w:rsidRDefault="00816C4D" w:rsidP="00D55BED">
            <w:pPr>
              <w:pBdr>
                <w:top w:val="none" w:sz="0" w:space="0" w:color="000000"/>
                <w:left w:val="none" w:sz="0" w:space="0" w:color="000000"/>
                <w:bottom w:val="none" w:sz="0" w:space="0" w:color="000000"/>
                <w:right w:val="none" w:sz="0" w:space="0" w:color="000000"/>
              </w:pBdr>
              <w:spacing w:after="0"/>
              <w:ind w:left="100" w:right="100"/>
              <w:jc w:val="right"/>
            </w:pPr>
            <w:commentRangeStart w:id="9"/>
            <w:commentRangeStart w:id="10"/>
            <w:r>
              <w:rPr>
                <w:rFonts w:eastAsia="Times New Roman" w:cs="Times New Roman"/>
                <w:color w:val="000000"/>
                <w:szCs w:val="22"/>
              </w:rPr>
              <w:t>Bering Flounder</w:t>
            </w:r>
            <w:commentRangeEnd w:id="9"/>
            <w:r w:rsidR="00766F4E">
              <w:rPr>
                <w:rStyle w:val="CommentReference"/>
              </w:rPr>
              <w:commentReference w:id="9"/>
            </w:r>
            <w:commentRangeEnd w:id="10"/>
            <w:r w:rsidR="00766F4E">
              <w:rPr>
                <w:rStyle w:val="CommentReference"/>
              </w:rPr>
              <w:commentReference w:id="10"/>
            </w:r>
          </w:p>
        </w:tc>
      </w:tr>
      <w:tr w:rsidR="005069E1" w14:paraId="6DD9B613" w14:textId="77777777" w:rsidTr="00D55BED">
        <w:trPr>
          <w:trHeight w:val="443"/>
          <w:jc w:val="center"/>
        </w:trPr>
        <w:tc>
          <w:tcPr>
            <w:tcW w:w="10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36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1992</w:t>
            </w:r>
          </w:p>
        </w:tc>
        <w:tc>
          <w:tcPr>
            <w:tcW w:w="36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305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119B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F7E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r>
      <w:tr w:rsidR="005069E1" w14:paraId="7D6526C4"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E55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574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14,715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A37B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14,710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8BAD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commentRangeStart w:id="11"/>
            <w:r>
              <w:rPr>
                <w:rFonts w:eastAsia="Times New Roman" w:cs="Times New Roman"/>
                <w:color w:val="000000"/>
                <w:szCs w:val="22"/>
              </w:rPr>
              <w:t>4</w:t>
            </w:r>
            <w:commentRangeEnd w:id="11"/>
            <w:r w:rsidR="00766F4E">
              <w:rPr>
                <w:rStyle w:val="CommentReference"/>
              </w:rPr>
              <w:commentReference w:id="11"/>
            </w:r>
          </w:p>
        </w:tc>
      </w:tr>
      <w:tr w:rsidR="005069E1" w14:paraId="05DDC6B1"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D2AC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24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815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17,341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678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14:paraId="046E4BD2"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389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2B1F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20,683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5AA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20,678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8A7E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14:paraId="359BD356"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774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BD4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24,387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D288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24,381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C34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w:t>
            </w:r>
          </w:p>
        </w:tc>
      </w:tr>
      <w:tr w:rsidR="005069E1" w14:paraId="73E839C5"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761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0F2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39A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18,553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031E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w:t>
            </w:r>
          </w:p>
        </w:tc>
      </w:tr>
      <w:tr w:rsidR="005069E1" w14:paraId="490BB4AB"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D314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759A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20,441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9A7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20,408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7F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14:paraId="27D86E5D"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ED8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81D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17,811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2015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17,795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F21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w:t>
            </w:r>
          </w:p>
        </w:tc>
      </w:tr>
      <w:tr w:rsidR="005069E1" w14:paraId="0BE0D1D2"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EA6C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FD9B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15,575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CDC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15,550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F66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w:t>
            </w:r>
          </w:p>
        </w:tc>
      </w:tr>
      <w:tr w:rsidR="005069E1" w14:paraId="6AEBB7F6"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E173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2003</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8B9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13,785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03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13,767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432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w:t>
            </w:r>
          </w:p>
        </w:tc>
      </w:tr>
      <w:tr w:rsidR="005069E1" w14:paraId="633BC07D"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556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2004</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F03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6620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27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w:t>
            </w:r>
          </w:p>
        </w:tc>
      </w:tr>
      <w:tr w:rsidR="005069E1" w14:paraId="088C4AB9"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59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0E24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16,108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623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16,077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61D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31</w:t>
            </w:r>
          </w:p>
        </w:tc>
      </w:tr>
      <w:tr w:rsidR="005069E1" w14:paraId="7554F4D8"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4CB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A49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C6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17,975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B57D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14:paraId="0CFEF420"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EF5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7B39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CA0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18,952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3E8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14:paraId="676E448A"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27E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F65D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24,540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2C74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24,526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4481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w:t>
            </w:r>
          </w:p>
        </w:tc>
      </w:tr>
      <w:tr w:rsidR="005069E1" w14:paraId="09E006CD"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8461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59FA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19,558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4F9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19,530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3A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w:t>
            </w:r>
          </w:p>
        </w:tc>
      </w:tr>
      <w:tr w:rsidR="005069E1" w14:paraId="795B496F"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19EE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9886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20,127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207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20,101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C2B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w:t>
            </w:r>
          </w:p>
        </w:tc>
      </w:tr>
      <w:tr w:rsidR="005069E1" w14:paraId="7A47B2E3"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D2ED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EB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13,557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AA0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13,536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96F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w:t>
            </w:r>
          </w:p>
        </w:tc>
      </w:tr>
      <w:tr w:rsidR="005069E1" w14:paraId="6B38A020"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B13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637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9E04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11,359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4DB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w:t>
            </w:r>
          </w:p>
        </w:tc>
      </w:tr>
      <w:tr w:rsidR="005069E1" w14:paraId="23A66136"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3D75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2013</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A392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F0DF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17,272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A31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80</w:t>
            </w:r>
          </w:p>
        </w:tc>
      </w:tr>
      <w:tr w:rsidR="005069E1" w14:paraId="3F83863A"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C07A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2014</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E132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16,511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245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16,478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42D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14:paraId="02DA435C"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418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lastRenderedPageBreak/>
              <w:t>2015</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A57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D23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11,273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677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33</w:t>
            </w:r>
          </w:p>
        </w:tc>
      </w:tr>
      <w:tr w:rsidR="005069E1" w14:paraId="7B686C5C"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6CEF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2016</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E38C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10,313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484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10,301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7D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w:t>
            </w:r>
          </w:p>
        </w:tc>
      </w:tr>
      <w:tr w:rsidR="005069E1" w14:paraId="54E3E05C"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059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9CD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9,111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4F77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9,107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5A19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w:t>
            </w:r>
          </w:p>
        </w:tc>
      </w:tr>
      <w:tr w:rsidR="005069E1" w14:paraId="5709A995"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31B7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2018</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693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2E2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11,001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AD56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w:t>
            </w:r>
          </w:p>
        </w:tc>
      </w:tr>
      <w:tr w:rsidR="005069E1" w14:paraId="799AB1F2"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98D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23BA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84D1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15,879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4A4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w:t>
            </w:r>
          </w:p>
        </w:tc>
      </w:tr>
      <w:tr w:rsidR="005069E1" w14:paraId="2A85CC6D"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9876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2020</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4E7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9,392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BD8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9,389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30B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w:t>
            </w:r>
          </w:p>
        </w:tc>
      </w:tr>
      <w:tr w:rsidR="005069E1" w14:paraId="189D1052" w14:textId="77777777" w:rsidTr="00D55BED">
        <w:trPr>
          <w:trHeight w:val="44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334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D430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10,260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0470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10,255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1537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w:t>
            </w:r>
          </w:p>
        </w:tc>
      </w:tr>
      <w:tr w:rsidR="005069E1" w14:paraId="44667948" w14:textId="77777777" w:rsidTr="00D55BED">
        <w:trPr>
          <w:trHeight w:val="453"/>
          <w:jc w:val="center"/>
        </w:trPr>
        <w:tc>
          <w:tcPr>
            <w:tcW w:w="10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E3D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36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BB47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14,690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66C5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14,687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7AAF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w:t>
            </w:r>
          </w:p>
        </w:tc>
      </w:tr>
      <w:tr w:rsidR="005069E1" w14:paraId="10A959FB" w14:textId="77777777" w:rsidTr="00D55BED">
        <w:trPr>
          <w:trHeight w:val="443"/>
          <w:jc w:val="center"/>
        </w:trPr>
        <w:tc>
          <w:tcPr>
            <w:tcW w:w="10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797C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2023</w:t>
            </w:r>
          </w:p>
        </w:tc>
        <w:tc>
          <w:tcPr>
            <w:tcW w:w="36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7426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7,716</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A51D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7,714</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826D5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w:t>
            </w:r>
          </w:p>
        </w:tc>
      </w:tr>
    </w:tbl>
    <w:p w14:paraId="4BEDAEA6" w14:textId="77777777" w:rsidR="005069E1" w:rsidRDefault="00816C4D">
      <w:r>
        <w:br w:type="page"/>
      </w:r>
    </w:p>
    <w:p w14:paraId="7852068B" w14:textId="77777777" w:rsidR="005069E1" w:rsidRDefault="00816C4D">
      <w:pPr>
        <w:pStyle w:val="TableCaption"/>
      </w:pPr>
      <w:bookmarkStart w:id="12" w:name="tab:tab2"/>
      <w:bookmarkEnd w:id="12"/>
      <w:commentRangeStart w:id="13"/>
      <w:r>
        <w:lastRenderedPageBreak/>
        <w:t xml:space="preserve">Table 10-2. Survey biomass in tons and coefficient of variation (CV) of </w:t>
      </w:r>
      <w:r w:rsidRPr="00D55BED">
        <w:rPr>
          <w:i/>
        </w:rPr>
        <w:t>Hippoglossoides spp.</w:t>
      </w:r>
      <w:r>
        <w:t xml:space="preserve"> (combined Flathead sole and Bering flounder) across the entire BSAI; Flathead sole only in the Aleutian Islands, </w:t>
      </w:r>
      <w:r w:rsidRPr="00D55BED">
        <w:rPr>
          <w:i/>
        </w:rPr>
        <w:t>Hippoglossoides spp</w:t>
      </w:r>
      <w:r>
        <w:t>. combined in the Eastern Bering Sea (EBS) shelf survey, Flathead sole only in EBS shelf survey, and Bering flounder only in the EBS shelf survey. Slight discrepancies in totals may occur due to rounding.</w:t>
      </w:r>
      <w:commentRangeEnd w:id="13"/>
      <w:r w:rsidR="00766F4E">
        <w:rPr>
          <w:rStyle w:val="CommentReference"/>
        </w:rPr>
        <w:commentReference w:id="13"/>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5069E1" w14:paraId="5CDA2632"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D2067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4E184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760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D151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(AI)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BE324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(AI)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A8B8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all)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6ADE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all)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AB43D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55D0B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3E47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(EBS, Bering Flounder)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FFAE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(EBS, Bering Flounder)</w:t>
            </w:r>
          </w:p>
        </w:tc>
      </w:tr>
      <w:tr w:rsidR="005069E1" w14:paraId="1A83D9BC"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82C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69A8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194,495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F0E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A3AA"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09C5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229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191,343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5C1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B8A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191,343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067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E917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C5C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69E1" w14:paraId="1C8D2E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C4B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26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271,475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C50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2EA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ABFF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2636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270,262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B707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FC4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251,978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8B7E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4A9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705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14:paraId="2FBE34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42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88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289,521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510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913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1D95"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9EB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284,782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C3A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E490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269,777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40CC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9E39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CAE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0910E57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DCA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73F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269,266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B21B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A18B8"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0223"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5FAD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264,865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5DDC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1D7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251,534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D1F3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AD3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ED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r>
      <w:tr w:rsidR="005069E1" w14:paraId="1290B7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B0B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5C0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362,170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CBE8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30A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760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57C1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356,925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F82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B53B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343,011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7D2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DC55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13,914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FC3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14:paraId="215A43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1E8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3DA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399,227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DD4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3534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5B9C"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A30C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392,657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62F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7BC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378,525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8A05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47C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620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14:paraId="6C7225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390E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916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569,809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2CE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BB77"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8F6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838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560,392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E07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FA4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537,372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94F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B3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23,020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549E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14:paraId="1634831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4700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A3A5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528,394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1E2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E7F5"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A6C69"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DB9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519,668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0B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DD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500,932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E3E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CF4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0107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14:paraId="35AC13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E04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D1F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601,749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1BC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A0898"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A4EF"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C260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591,798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B1B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2C5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572,543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323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5151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6D45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14:paraId="645D3A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5F6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EA4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552,288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3C40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37F5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99ED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CE0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545,349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01B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A84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517,825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9C4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3C5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27,524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E36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14:paraId="4833C3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231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A0B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626,811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96F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16F4E"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E5C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76A2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616,443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FF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BCC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601,311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DBAD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6D1E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F837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74E4B8F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7A5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0368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617,258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8C5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DDC5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A1E64"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ABA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607,049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32BB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209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584,834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0539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2F98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22,215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9D8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67CCF1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96D1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A16F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699,446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E4B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180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A979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530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689,511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F9DC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4611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663,853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7C2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C53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25,658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D1C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70766B8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760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C2B4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A37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035CC"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C88AF"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768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593,889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8B9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BD23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578,457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177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074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15,432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113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r w:rsidR="005069E1" w14:paraId="11B900E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1B1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794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626,314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7C6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57CF"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5241"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47F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615,954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F1CC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0124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FDB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834A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11,975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6B5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r>
      <w:tr w:rsidR="005069E1" w14:paraId="25DDBFB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3FB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255B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794,426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959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D6D8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1D0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568F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782,871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592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CDB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768,815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6D26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37D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14,056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7881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1B6D15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FA62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59FC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0447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ECD6"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8749"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2E88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682,237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DAF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E21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674,412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7A6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C12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C5D1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1F38D9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0D5A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A27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407,164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5C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BD011"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9F4AA"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C0B7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400,462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037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860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387,311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29F5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6F27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0ABB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r w:rsidR="005069E1" w14:paraId="5885B4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04C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64B7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401,106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FF4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5F65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8,906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9817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7BB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BC6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BA4D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384,011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FBBC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80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9E01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662E24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F7A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5BD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522,844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49D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008E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188DC"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C5A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514,211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7A7E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E49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502,853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8F9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245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11,358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EF5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607758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1B99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DCC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562,073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5D6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D876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0CF4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255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552,175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7F0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947B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547,271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5A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069D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9A33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5E976C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30EE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135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522,935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307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132DA"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A526"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44F0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514,300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8066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96B0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508,617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B3F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5191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89F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346F54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D300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lastRenderedPageBreak/>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24B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624,805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31B2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C09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B3D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9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611,507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817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9B1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1001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90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7BD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14:paraId="413E04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1568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265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622,249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E02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35ED"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B08C"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B07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611,956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BB9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75F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604,878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545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C43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6F1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0.28</w:t>
            </w:r>
          </w:p>
        </w:tc>
      </w:tr>
      <w:tr w:rsidR="005069E1" w14:paraId="6EF230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D2BD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239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643,731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FFB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18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6EB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B34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634,067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A9A1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4DC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620,215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BAF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A556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13,852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AACC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14:paraId="2AE939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9DD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DDB6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F54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B9B9A"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D266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435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561,838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FE6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5C6E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551,415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C427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EB2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D9B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021210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F10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5C7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553,591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AFD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EC46"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2E78"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80F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544,445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851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115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534,364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D0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DE58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B61C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691BA13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624A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B47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425,216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567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F4C1"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E3FF4"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5FC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418,213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09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E3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411,584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F3B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96E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C3E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14:paraId="4FCD71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CF6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E8D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506,197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E64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B324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11,812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2E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0545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494,386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096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D46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487,798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D29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225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D0A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14:paraId="79E28D3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C08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C1D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593,351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76D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1EB3"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5A364"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F3D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583,541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680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D39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576,761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830E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011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636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14:paraId="5A1B44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136E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4EC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386,892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11B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BE92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5,566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770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53C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381,326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697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5D85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374,716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EDE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996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EEB7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14:paraId="4DE055D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EA0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16BC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498,784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D76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7F47"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94F1"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7CCB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490,553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BF4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CE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484,866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2170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E7D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3EE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r>
      <w:tr w:rsidR="005069E1" w14:paraId="770F15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351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F739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532,889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32ED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E20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13,436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3B39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25D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519,453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39E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6ADA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509,842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BB7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64A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538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14:paraId="50B07D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F9B4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5016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399,247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2D97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051A"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5984"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4D0B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392,677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5D1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10C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7EA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4F7E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8083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14:paraId="485EB1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313C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3AF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452,785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093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3534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EC9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EA2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446,026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5869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990C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433,243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3B2B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74C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40B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0.23</w:t>
            </w:r>
          </w:p>
        </w:tc>
      </w:tr>
      <w:tr w:rsidR="005069E1" w14:paraId="2D4BA3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3EB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A20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549,293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9007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418C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800B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EFB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540,218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9C50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9880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530,982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505A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6DAF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9,236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A326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14:paraId="5EE51C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632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2CC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494,579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899D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EAB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6A8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3D8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487,649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A90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A95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484,144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B61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71E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BBE6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0.16</w:t>
            </w:r>
          </w:p>
        </w:tc>
      </w:tr>
      <w:tr w:rsidR="005069E1" w14:paraId="462A3A3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05C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85A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604,109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044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0E1B"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6F46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0D8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594,119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90D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722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592,039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F06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7BE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6C4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0.32</w:t>
            </w:r>
          </w:p>
        </w:tc>
      </w:tr>
      <w:tr w:rsidR="005069E1" w14:paraId="6ABC5F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7EF9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FB37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670,091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07B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AF27"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44370"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BE91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AFE0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08CE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657,321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D6B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832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1,679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EE6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0.31</w:t>
            </w:r>
          </w:p>
        </w:tc>
      </w:tr>
      <w:tr w:rsidR="005069E1" w14:paraId="6A2D25C3"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B243A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D9737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710,804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09A3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990A1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10,897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60E8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7D4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699,906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7074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EE8B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697,296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2779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33B8A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2,610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3F806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0.27</w:t>
            </w:r>
          </w:p>
        </w:tc>
      </w:tr>
    </w:tbl>
    <w:p w14:paraId="610E94D6" w14:textId="77777777" w:rsidR="005069E1" w:rsidRDefault="00816C4D">
      <w:r>
        <w:br w:type="page"/>
      </w:r>
    </w:p>
    <w:p w14:paraId="0770BE45" w14:textId="77777777" w:rsidR="005069E1" w:rsidRDefault="00816C4D">
      <w:pPr>
        <w:pStyle w:val="TableCaption"/>
      </w:pPr>
      <w:bookmarkStart w:id="14" w:name="tab:tab3"/>
      <w:bookmarkEnd w:id="14"/>
      <w:commentRangeStart w:id="15"/>
      <w:r>
        <w:lastRenderedPageBreak/>
        <w:t>Table 10-3. Northern Bering Sea survey biomass (t) and coefficient of variation (CV) for Flathead sole, Bering flounder, and the two combined (Hippoglossoides spp.). These data are presented here for reference only and are not used in any assessments.</w:t>
      </w:r>
      <w:commentRangeEnd w:id="15"/>
      <w:r w:rsidR="00766F4E">
        <w:rPr>
          <w:rStyle w:val="CommentReference"/>
        </w:rPr>
        <w:commentReference w:id="15"/>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069E1" w14:paraId="6CFBD981"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401F7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037C6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C9794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D7EAA"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(NBS,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1279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(NBS, flathead)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C95C1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Biomass (NBS, Bering Flounder)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DF48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CV (NBS, Bering Flounder)</w:t>
            </w:r>
          </w:p>
        </w:tc>
      </w:tr>
      <w:tr w:rsidR="005069E1" w14:paraId="3791484E"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4159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E34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12,355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F4C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DA25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7252" w14:textId="77777777" w:rsidR="005069E1" w:rsidRDefault="005069E1">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097E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12,355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F97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0.17</w:t>
            </w:r>
          </w:p>
        </w:tc>
      </w:tr>
      <w:tr w:rsidR="005069E1" w14:paraId="474FD6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FB386"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F7B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19,882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91D3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822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051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A8F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19,804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816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r>
      <w:tr w:rsidR="005069E1" w14:paraId="0EC0D3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CF33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2CF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18,989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2C2F"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F2F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038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D9640"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18,526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F109"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0.19</w:t>
            </w:r>
          </w:p>
        </w:tc>
      </w:tr>
      <w:tr w:rsidR="005069E1" w14:paraId="5BCD7F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021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045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A11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FCDE"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958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734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8,384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3E0A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0.22</w:t>
            </w:r>
          </w:p>
        </w:tc>
      </w:tr>
      <w:tr w:rsidR="005069E1" w14:paraId="03EF5A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3A6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668EC"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6,039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4135B"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75A02"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4D14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30E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5,913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68453"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0.15</w:t>
            </w:r>
          </w:p>
        </w:tc>
      </w:tr>
      <w:tr w:rsidR="005069E1" w14:paraId="698B3045"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9D95D"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94753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4,749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09951"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E67AF7"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081498"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F444"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4,704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49C805" w14:textId="77777777" w:rsidR="005069E1" w:rsidRDefault="00816C4D">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0.18</w:t>
            </w:r>
          </w:p>
        </w:tc>
      </w:tr>
    </w:tbl>
    <w:p w14:paraId="1BC7B9B6" w14:textId="77777777" w:rsidR="005069E1" w:rsidRDefault="00816C4D">
      <w:r>
        <w:br w:type="page"/>
      </w:r>
    </w:p>
    <w:p w14:paraId="582C2B25" w14:textId="77777777" w:rsidR="005069E1" w:rsidRDefault="00816C4D">
      <w:pPr>
        <w:pStyle w:val="Heading1"/>
      </w:pPr>
      <w:bookmarkStart w:id="17" w:name="figures"/>
      <w:bookmarkEnd w:id="6"/>
      <w:r>
        <w:lastRenderedPageBreak/>
        <w:t>Figures</w:t>
      </w:r>
    </w:p>
    <w:p w14:paraId="318014D7" w14:textId="77777777" w:rsidR="005069E1" w:rsidRDefault="00816C4D">
      <w:pPr>
        <w:pStyle w:val="CaptionedFigure"/>
      </w:pPr>
      <w:r>
        <w:rPr>
          <w:noProof/>
        </w:rPr>
        <w:drawing>
          <wp:inline distT="0" distB="0" distL="0" distR="0" wp14:anchorId="748679E1" wp14:editId="65FEB0C3">
            <wp:extent cx="5943600" cy="3714750"/>
            <wp:effectExtent l="0" t="0" r="0" b="0"/>
            <wp:docPr id="28" name="Picture"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wp:cNvGraphicFramePr/>
            <a:graphic xmlns:a="http://schemas.openxmlformats.org/drawingml/2006/main">
              <a:graphicData uri="http://schemas.openxmlformats.org/drawingml/2006/picture">
                <pic:pic xmlns:pic="http://schemas.openxmlformats.org/drawingml/2006/picture">
                  <pic:nvPicPr>
                    <pic:cNvPr id="29" name="Picture" descr="../figs/2023-09-27-Fig1_catchvsbio.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19AC5340" w14:textId="77777777" w:rsidR="005069E1" w:rsidRDefault="00816C4D">
      <w:pPr>
        <w:pStyle w:val="ImageCaption"/>
      </w:pPr>
      <w:bookmarkStart w:id="18" w:name="fig:fig1"/>
      <w:bookmarkEnd w:id="18"/>
      <w:commentRangeStart w:id="19"/>
      <w:r>
        <w:t>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w:t>
      </w:r>
      <w:commentRangeEnd w:id="19"/>
      <w:r w:rsidR="00766F4E">
        <w:rPr>
          <w:rStyle w:val="CommentReference"/>
        </w:rPr>
        <w:commentReference w:id="19"/>
      </w:r>
    </w:p>
    <w:p w14:paraId="03027B3F" w14:textId="77777777" w:rsidR="005069E1" w:rsidRDefault="00816C4D">
      <w:pPr>
        <w:pStyle w:val="CaptionedFigure"/>
      </w:pPr>
      <w:r>
        <w:rPr>
          <w:noProof/>
        </w:rPr>
        <w:lastRenderedPageBreak/>
        <w:drawing>
          <wp:inline distT="0" distB="0" distL="0" distR="0" wp14:anchorId="76D004C6" wp14:editId="25541B43">
            <wp:extent cx="5943600" cy="3566160"/>
            <wp:effectExtent l="0" t="0" r="0" b="0"/>
            <wp:docPr id="32" name="Picture"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wp:cNvGraphicFramePr/>
            <a:graphic xmlns:a="http://schemas.openxmlformats.org/drawingml/2006/main">
              <a:graphicData uri="http://schemas.openxmlformats.org/drawingml/2006/picture">
                <pic:pic xmlns:pic="http://schemas.openxmlformats.org/drawingml/2006/picture">
                  <pic:nvPicPr>
                    <pic:cNvPr id="33" name="Picture" descr="../figs/2023-09-27-index_wCVs.png"/>
                    <pic:cNvPicPr>
                      <a:picLocks noChangeAspect="1" noChangeArrowheads="1"/>
                    </pic:cNvPicPr>
                  </pic:nvPicPr>
                  <pic:blipFill>
                    <a:blip r:embed="rId12"/>
                    <a:stretch>
                      <a:fillRect/>
                    </a:stretch>
                  </pic:blipFill>
                  <pic:spPr bwMode="auto">
                    <a:xfrm>
                      <a:off x="0" y="0"/>
                      <a:ext cx="5943600" cy="3566160"/>
                    </a:xfrm>
                    <a:prstGeom prst="rect">
                      <a:avLst/>
                    </a:prstGeom>
                    <a:noFill/>
                    <a:ln w="9525">
                      <a:noFill/>
                      <a:headEnd/>
                      <a:tailEnd/>
                    </a:ln>
                  </pic:spPr>
                </pic:pic>
              </a:graphicData>
            </a:graphic>
          </wp:inline>
        </w:drawing>
      </w:r>
    </w:p>
    <w:p w14:paraId="113ECDD2" w14:textId="77777777" w:rsidR="005069E1" w:rsidRDefault="00816C4D">
      <w:pPr>
        <w:pStyle w:val="ImageCaption"/>
      </w:pPr>
      <w:bookmarkStart w:id="20" w:name="fig:fig2"/>
      <w:bookmarkEnd w:id="20"/>
      <w:r>
        <w:t xml:space="preserve">Figure 10-2. Survey biomass from the EBS shelf and Aleutian Islands surveys for station depths less than or equal to 200 meters. Grey and blue points include true observations. A linear regression was used to estimate a relationship between EBS shelf </w:t>
      </w:r>
      <w:r w:rsidRPr="00D55BED">
        <w:rPr>
          <w:i/>
        </w:rPr>
        <w:t>Hippoglossoides spp</w:t>
      </w:r>
      <w:r>
        <w:t>.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w:t>
      </w:r>
    </w:p>
    <w:p w14:paraId="316AB208" w14:textId="77777777" w:rsidR="005069E1" w:rsidRDefault="00816C4D">
      <w:pPr>
        <w:pStyle w:val="BodyText"/>
      </w:pPr>
      <w:r>
        <w:t>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p w14:paraId="653CA4FC" w14:textId="77777777" w:rsidR="005069E1" w:rsidRDefault="00816C4D">
      <w:pPr>
        <w:pStyle w:val="Heading1"/>
      </w:pPr>
      <w:bookmarkStart w:id="21" w:name="references"/>
      <w:bookmarkEnd w:id="17"/>
      <w:r>
        <w:t>References</w:t>
      </w:r>
    </w:p>
    <w:p w14:paraId="62924DB5" w14:textId="77777777" w:rsidR="005069E1" w:rsidRDefault="00816C4D">
      <w:pPr>
        <w:pStyle w:val="FirstParagraph"/>
      </w:pPr>
      <w:r>
        <w:t xml:space="preserve">Kapur, M.S. 2022.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 </w:t>
      </w:r>
      <w:hyperlink r:id="rId13">
        <w:r>
          <w:rPr>
            <w:rStyle w:val="Hyperlink"/>
          </w:rPr>
          <w:t>https://apps-afsc.fisheries.noaa.gov/Plan_Team/2022/BSAIflathead.pdf</w:t>
        </w:r>
      </w:hyperlink>
      <w:r>
        <w:t>.</w:t>
      </w:r>
    </w:p>
    <w:p w14:paraId="21BC03C1" w14:textId="77777777" w:rsidR="005069E1" w:rsidRDefault="00816C4D">
      <w:pPr>
        <w:pStyle w:val="BodyText"/>
      </w:pPr>
      <w:r>
        <w:t xml:space="preserve">Kapur, M.S. 2021.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 </w:t>
      </w:r>
      <w:hyperlink r:id="rId14">
        <w:r>
          <w:rPr>
            <w:rStyle w:val="Hyperlink"/>
          </w:rPr>
          <w:t>https://apps-afsc.fisheries.noaa.gov/refm/docs/2021/BSAIflathead.pdf</w:t>
        </w:r>
      </w:hyperlink>
      <w:r>
        <w:t>.</w:t>
      </w:r>
    </w:p>
    <w:p w14:paraId="44E8C546" w14:textId="77777777" w:rsidR="005069E1" w:rsidRDefault="00816C4D">
      <w:pPr>
        <w:pStyle w:val="BodyText"/>
      </w:pPr>
      <w:r>
        <w:t xml:space="preserve">Monnahan, C., and Haehn, R. 2020.Assessment of the Flathead sole-Bering flounder stock complex in the Bering Sea and Aleutian Islands. In Stock Assessment and Fishery Evaluation Report for the Groundfish Resources of the Bering Sea/Aleutian Islands Region. North Pacific Fishery Management Council, P.O. </w:t>
      </w:r>
      <w:r>
        <w:lastRenderedPageBreak/>
        <w:t xml:space="preserve">Box 103136, Anchorage, Alaska 99510. Available at </w:t>
      </w:r>
      <w:hyperlink r:id="rId15">
        <w:r>
          <w:rPr>
            <w:rStyle w:val="Hyperlink"/>
          </w:rPr>
          <w:t>https://apps-afsc.fisheries.noaa.gov/refm/docs/2020/BSAIflathead.pdf</w:t>
        </w:r>
      </w:hyperlink>
      <w:bookmarkEnd w:id="21"/>
    </w:p>
    <w:sectPr w:rsidR="005069E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indy Tribuzio" w:date="2023-10-30T09:32:00Z" w:initials="CAT">
    <w:p w14:paraId="0FF229E1" w14:textId="77777777" w:rsidR="007E3664" w:rsidRDefault="007E3664">
      <w:pPr>
        <w:pStyle w:val="CommentText"/>
      </w:pPr>
      <w:r>
        <w:rPr>
          <w:rStyle w:val="CommentReference"/>
        </w:rPr>
        <w:annotationRef/>
      </w:r>
      <w:r>
        <w:t>See guidelines. Change to “Description of Updated Catch”</w:t>
      </w:r>
    </w:p>
  </w:comment>
  <w:comment w:id="4" w:author="Cindy Tribuzio" w:date="2023-10-30T09:34:00Z" w:initials="CAT">
    <w:p w14:paraId="136AAACC" w14:textId="77777777" w:rsidR="007E3664" w:rsidRDefault="007E3664">
      <w:pPr>
        <w:pStyle w:val="CommentText"/>
      </w:pPr>
      <w:r>
        <w:rPr>
          <w:rStyle w:val="CommentReference"/>
        </w:rPr>
        <w:annotationRef/>
      </w:r>
      <w:r>
        <w:t>Suggest double checking heading levels throughout and matching formatting in guidelines document</w:t>
      </w:r>
    </w:p>
  </w:comment>
  <w:comment w:id="5" w:author="Cindy Tribuzio" w:date="2023-10-30T09:37:00Z" w:initials="CAT">
    <w:p w14:paraId="7E2715F8" w14:textId="77777777" w:rsidR="007E3664" w:rsidRDefault="007E3664">
      <w:pPr>
        <w:pStyle w:val="CommentText"/>
      </w:pPr>
      <w:r>
        <w:rPr>
          <w:rStyle w:val="CommentReference"/>
        </w:rPr>
        <w:annotationRef/>
      </w:r>
      <w:r>
        <w:t>Save space, make the row height smaller</w:t>
      </w:r>
    </w:p>
  </w:comment>
  <w:comment w:id="8" w:author="Cindy Tribuzio" w:date="2023-10-30T09:38:00Z" w:initials="CAT">
    <w:p w14:paraId="3C82BE56" w14:textId="77777777" w:rsidR="007E3664" w:rsidRDefault="007E3664">
      <w:pPr>
        <w:pStyle w:val="CommentText"/>
      </w:pPr>
      <w:r>
        <w:rPr>
          <w:rStyle w:val="CommentReference"/>
        </w:rPr>
        <w:annotationRef/>
      </w:r>
      <w:r>
        <w:t>This table isn’t specified in the guidelines, can probably delete it, unless you think it’s necessary. There is no reference to it in the text. Same comment for following tables.</w:t>
      </w:r>
    </w:p>
  </w:comment>
  <w:comment w:id="9" w:author="Cindy Tribuzio" w:date="2023-10-30T09:36:00Z" w:initials="CAT">
    <w:p w14:paraId="7ECCAACD" w14:textId="77777777" w:rsidR="007E3664" w:rsidRDefault="007E3664">
      <w:pPr>
        <w:pStyle w:val="CommentText"/>
      </w:pPr>
      <w:r>
        <w:rPr>
          <w:rStyle w:val="CommentReference"/>
        </w:rPr>
        <w:annotationRef/>
      </w:r>
    </w:p>
  </w:comment>
  <w:comment w:id="10" w:author="Cindy Tribuzio" w:date="2023-10-30T09:36:00Z" w:initials="CAT">
    <w:p w14:paraId="0CC17835" w14:textId="77777777" w:rsidR="007E3664" w:rsidRDefault="007E3664">
      <w:pPr>
        <w:pStyle w:val="CommentText"/>
      </w:pPr>
      <w:r>
        <w:rPr>
          <w:rStyle w:val="CommentReference"/>
        </w:rPr>
        <w:annotationRef/>
      </w:r>
      <w:r>
        <w:t>Reduce row height so whole thing can fit on one page. You can make the font size smaller as well. I usually use size 10 in tables.</w:t>
      </w:r>
    </w:p>
  </w:comment>
  <w:comment w:id="11" w:author="Cindy Tribuzio" w:date="2023-10-30T09:35:00Z" w:initials="CAT">
    <w:p w14:paraId="752D34EF" w14:textId="77777777" w:rsidR="007E3664" w:rsidRDefault="007E3664">
      <w:pPr>
        <w:pStyle w:val="CommentText"/>
      </w:pPr>
      <w:r>
        <w:rPr>
          <w:rStyle w:val="CommentReference"/>
        </w:rPr>
        <w:annotationRef/>
      </w:r>
      <w:r>
        <w:t>Note the rounding error here and a few other locations in the table. Not a big deal here, but suggest for consistency to make sure all numbers add up correctly.</w:t>
      </w:r>
    </w:p>
  </w:comment>
  <w:comment w:id="13" w:author="Cindy Tribuzio" w:date="2023-10-30T09:39:00Z" w:initials="CAT">
    <w:p w14:paraId="6254B10E" w14:textId="77777777" w:rsidR="007E3664" w:rsidRDefault="007E3664">
      <w:pPr>
        <w:pStyle w:val="CommentText"/>
      </w:pPr>
      <w:r>
        <w:rPr>
          <w:rStyle w:val="CommentReference"/>
        </w:rPr>
        <w:annotationRef/>
      </w:r>
      <w:r>
        <w:t>Delete this table. It’s not in guidelines, but also not informative to a harvest projection. Although, I do see that the guidelines specify a survey figure. So, up to you.</w:t>
      </w:r>
    </w:p>
    <w:p w14:paraId="66194638" w14:textId="77777777" w:rsidR="007E3664" w:rsidRDefault="007E3664">
      <w:pPr>
        <w:pStyle w:val="CommentText"/>
      </w:pPr>
    </w:p>
    <w:p w14:paraId="72A7ADE7" w14:textId="77777777" w:rsidR="007E3664" w:rsidRDefault="007E3664">
      <w:pPr>
        <w:pStyle w:val="CommentText"/>
      </w:pPr>
      <w:r>
        <w:t>This table is too wide, it’s outside the margins of the page. Suggest reducing font size. You may be able to do some different heading arrangements to save horizontal space. Also, reduce row height to get it all on one page.</w:t>
      </w:r>
    </w:p>
    <w:p w14:paraId="25C775C6" w14:textId="77777777" w:rsidR="007E3664" w:rsidRDefault="007E3664">
      <w:pPr>
        <w:pStyle w:val="CommentText"/>
      </w:pPr>
    </w:p>
    <w:p w14:paraId="6FFDF455" w14:textId="77777777" w:rsidR="007E3664" w:rsidRDefault="007E3664">
      <w:pPr>
        <w:pStyle w:val="CommentText"/>
      </w:pPr>
      <w:r>
        <w:t>Why isn’t the 2023 shelf survey included?</w:t>
      </w:r>
    </w:p>
  </w:comment>
  <w:comment w:id="15" w:author="Cindy Tribuzio" w:date="2023-10-30T09:40:00Z" w:initials="CAT">
    <w:p w14:paraId="7C93650D" w14:textId="77777777" w:rsidR="007E3664" w:rsidRDefault="007E3664">
      <w:pPr>
        <w:pStyle w:val="CommentText"/>
      </w:pPr>
      <w:bookmarkStart w:id="16" w:name="_GoBack"/>
      <w:bookmarkEnd w:id="16"/>
      <w:r>
        <w:rPr>
          <w:rStyle w:val="CommentReference"/>
        </w:rPr>
        <w:annotationRef/>
      </w:r>
      <w:r>
        <w:t>Same comment as above, nuke this table.</w:t>
      </w:r>
    </w:p>
  </w:comment>
  <w:comment w:id="19" w:author="Cindy Tribuzio" w:date="2023-10-30T09:42:00Z" w:initials="CAT">
    <w:p w14:paraId="3D988D72" w14:textId="77777777" w:rsidR="007E3664" w:rsidRDefault="007E3664">
      <w:pPr>
        <w:pStyle w:val="CommentText"/>
      </w:pPr>
      <w:r>
        <w:rPr>
          <w:rStyle w:val="CommentReference"/>
        </w:rPr>
        <w:annotationRef/>
      </w:r>
      <w:r>
        <w:t xml:space="preserve">Guidelines specify: </w:t>
      </w:r>
      <w:r>
        <w:rPr>
          <w:color w:val="000000"/>
          <w:sz w:val="22"/>
          <w:szCs w:val="22"/>
        </w:rPr>
        <w:t>For Tier 3 and above, provide a figure of modeled catch divided by modeled total biomass, where catch and biomass estimates for any updated year should come from the projection model to incorporate newly complete or expanded catches.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229E1" w15:done="0"/>
  <w15:commentEx w15:paraId="136AAACC" w15:done="0"/>
  <w15:commentEx w15:paraId="7E2715F8" w15:done="0"/>
  <w15:commentEx w15:paraId="3C82BE56" w15:done="0"/>
  <w15:commentEx w15:paraId="7ECCAACD" w15:done="0"/>
  <w15:commentEx w15:paraId="0CC17835" w15:paraIdParent="7ECCAACD" w15:done="0"/>
  <w15:commentEx w15:paraId="752D34EF" w15:done="0"/>
  <w15:commentEx w15:paraId="6FFDF455" w15:done="0"/>
  <w15:commentEx w15:paraId="7C93650D" w15:done="0"/>
  <w15:commentEx w15:paraId="3D988D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F2498" w14:textId="77777777" w:rsidR="00EF1AD1" w:rsidRDefault="00EF1AD1">
      <w:pPr>
        <w:spacing w:after="0"/>
      </w:pPr>
      <w:r>
        <w:separator/>
      </w:r>
    </w:p>
  </w:endnote>
  <w:endnote w:type="continuationSeparator" w:id="0">
    <w:p w14:paraId="41CFB93C" w14:textId="77777777" w:rsidR="00EF1AD1" w:rsidRDefault="00EF1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13D71" w14:textId="77777777" w:rsidR="00EF1AD1" w:rsidRDefault="00EF1AD1">
      <w:r>
        <w:separator/>
      </w:r>
    </w:p>
  </w:footnote>
  <w:footnote w:type="continuationSeparator" w:id="0">
    <w:p w14:paraId="30329828" w14:textId="77777777" w:rsidR="00EF1AD1" w:rsidRDefault="00EF1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5703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ndy Tribuzio">
    <w15:presenceInfo w15:providerId="None" w15:userId="Cindy Tribuz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E1"/>
    <w:rsid w:val="00215356"/>
    <w:rsid w:val="004B1D7F"/>
    <w:rsid w:val="005069E1"/>
    <w:rsid w:val="00766F4E"/>
    <w:rsid w:val="007E3664"/>
    <w:rsid w:val="00816C4D"/>
    <w:rsid w:val="009A658F"/>
    <w:rsid w:val="00A60F51"/>
    <w:rsid w:val="00A96F75"/>
    <w:rsid w:val="00AA41E0"/>
    <w:rsid w:val="00D55BED"/>
    <w:rsid w:val="00EA7A20"/>
    <w:rsid w:val="00EF1A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C39C"/>
  <w15:docId w15:val="{5E9153AD-1EED-42DA-A262-CC6FE3A2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paragraph" w:styleId="NormalWeb">
    <w:name w:val="Normal (Web)"/>
    <w:basedOn w:val="Normal"/>
    <w:uiPriority w:val="99"/>
    <w:semiHidden/>
    <w:unhideWhenUsed/>
    <w:rsid w:val="009A658F"/>
    <w:pPr>
      <w:spacing w:before="100" w:beforeAutospacing="1" w:after="100" w:afterAutospacing="1"/>
    </w:pPr>
    <w:rPr>
      <w:rFonts w:eastAsia="Times New Roman" w:cs="Times New Roman"/>
      <w:sz w:val="24"/>
    </w:rPr>
  </w:style>
  <w:style w:type="character" w:styleId="CommentReference">
    <w:name w:val="annotation reference"/>
    <w:basedOn w:val="DefaultParagraphFont"/>
    <w:semiHidden/>
    <w:unhideWhenUsed/>
    <w:rsid w:val="00AA41E0"/>
    <w:rPr>
      <w:sz w:val="16"/>
      <w:szCs w:val="16"/>
    </w:rPr>
  </w:style>
  <w:style w:type="paragraph" w:styleId="CommentText">
    <w:name w:val="annotation text"/>
    <w:basedOn w:val="Normal"/>
    <w:link w:val="CommentTextChar"/>
    <w:unhideWhenUsed/>
    <w:rsid w:val="00AA41E0"/>
    <w:rPr>
      <w:sz w:val="20"/>
      <w:szCs w:val="20"/>
    </w:rPr>
  </w:style>
  <w:style w:type="character" w:customStyle="1" w:styleId="CommentTextChar">
    <w:name w:val="Comment Text Char"/>
    <w:basedOn w:val="DefaultParagraphFont"/>
    <w:link w:val="CommentText"/>
    <w:rsid w:val="00AA41E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41E0"/>
    <w:rPr>
      <w:b/>
      <w:bCs/>
    </w:rPr>
  </w:style>
  <w:style w:type="character" w:customStyle="1" w:styleId="CommentSubjectChar">
    <w:name w:val="Comment Subject Char"/>
    <w:basedOn w:val="CommentTextChar"/>
    <w:link w:val="CommentSubject"/>
    <w:semiHidden/>
    <w:rsid w:val="00AA41E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444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fmc.org/library/safe-reports/" TargetMode="External"/><Relationship Id="rId13" Type="http://schemas.openxmlformats.org/officeDocument/2006/relationships/hyperlink" Target="https://apps-afsc.fisheries.noaa.gov/Plan_Team/2022/BSAIflathea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pps-afsc.fisheries.noaa.gov/refm/docs/2020/BSAIflathead.pdf"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pps-afsc.fisheries.noaa.gov/refm/docs/2021/BSAIflath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6B9D3-334F-4F7E-B91A-840F9154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10. Assessment of the Flathead Sole-Bering Flounder Stock in the Bering Sea and Aleutian Islands</vt:lpstr>
    </vt:vector>
  </TitlesOfParts>
  <Company>NOAA AFSC</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Flathead Sole-Bering Flounder Stock in the Bering Sea and Aleutian Islands</dc:title>
  <dc:creator>Maia S. Kapur</dc:creator>
  <cp:keywords/>
  <cp:lastModifiedBy>Maia Kapur</cp:lastModifiedBy>
  <cp:revision>3</cp:revision>
  <dcterms:created xsi:type="dcterms:W3CDTF">2023-10-30T17:48:00Z</dcterms:created>
  <dcterms:modified xsi:type="dcterms:W3CDTF">2023-10-31T20:35:00Z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