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4F5" w:rsidRPr="00487955" w:rsidRDefault="0065381A">
      <w:pPr>
        <w:rPr>
          <w:rFonts w:ascii="Times New Roman" w:hAnsi="Times New Roman" w:cs="Times New Roman"/>
          <w:i/>
        </w:rPr>
      </w:pPr>
      <w:r w:rsidRPr="00487955">
        <w:rPr>
          <w:rFonts w:ascii="Times New Roman" w:hAnsi="Times New Roman" w:cs="Times New Roman"/>
          <w:i/>
        </w:rPr>
        <w:t>Northern Rockfish – Gulf of Alaska – ABL</w:t>
      </w:r>
    </w:p>
    <w:p w:rsidR="0065381A" w:rsidRPr="00487955" w:rsidRDefault="0065381A" w:rsidP="0065381A">
      <w:pPr>
        <w:pStyle w:val="BodyText"/>
        <w:rPr>
          <w:rFonts w:ascii="Times New Roman" w:hAnsi="Times New Roman" w:cs="Times New Roman"/>
        </w:rPr>
      </w:pPr>
      <w:r w:rsidRPr="00487955">
        <w:rPr>
          <w:rFonts w:ascii="Times New Roman" w:hAnsi="Times New Roman" w:cs="Times New Roman"/>
        </w:rPr>
        <w:t xml:space="preserve">In 2020 a full assessment was conducted for Gulf of Alaska northern rockfish. The </w:t>
      </w:r>
      <w:r w:rsidRPr="00487955">
        <w:rPr>
          <w:rFonts w:ascii="Times New Roman" w:hAnsi="Times New Roman" w:cs="Times New Roman"/>
        </w:rPr>
        <w:t>input data were updated to include survey biomass estimates for 2019, survey age compositions for 2019, final catch for 2018 and 2019, preliminary catch for 2020, fishery age compositions for 2018, and fishery size compositions for 2019.</w:t>
      </w:r>
      <w:r w:rsidRPr="00487955">
        <w:rPr>
          <w:rFonts w:ascii="Times New Roman" w:hAnsi="Times New Roman" w:cs="Times New Roman"/>
        </w:rPr>
        <w:t xml:space="preserve"> </w:t>
      </w:r>
      <w:r w:rsidRPr="00487955">
        <w:rPr>
          <w:rFonts w:ascii="Times New Roman" w:hAnsi="Times New Roman" w:cs="Times New Roman"/>
        </w:rPr>
        <w:t xml:space="preserve">The survey biomass estimate </w:t>
      </w:r>
      <w:r w:rsidRPr="00487955">
        <w:rPr>
          <w:rFonts w:ascii="Times New Roman" w:hAnsi="Times New Roman" w:cs="Times New Roman"/>
        </w:rPr>
        <w:t>was</w:t>
      </w:r>
      <w:r w:rsidRPr="00487955">
        <w:rPr>
          <w:rFonts w:ascii="Times New Roman" w:hAnsi="Times New Roman" w:cs="Times New Roman"/>
        </w:rPr>
        <w:t xml:space="preserve"> </w:t>
      </w:r>
      <w:r w:rsidRPr="00487955">
        <w:rPr>
          <w:rFonts w:ascii="Times New Roman" w:hAnsi="Times New Roman" w:cs="Times New Roman"/>
        </w:rPr>
        <w:t>estimated using a</w:t>
      </w:r>
      <w:r w:rsidRPr="00487955">
        <w:rPr>
          <w:rFonts w:ascii="Times New Roman" w:hAnsi="Times New Roman" w:cs="Times New Roman"/>
        </w:rPr>
        <w:t xml:space="preserve"> Vector Autoregressive </w:t>
      </w:r>
      <w:proofErr w:type="spellStart"/>
      <w:r w:rsidRPr="00487955">
        <w:rPr>
          <w:rFonts w:ascii="Times New Roman" w:hAnsi="Times New Roman" w:cs="Times New Roman"/>
        </w:rPr>
        <w:t>Spatio</w:t>
      </w:r>
      <w:proofErr w:type="spellEnd"/>
      <w:r w:rsidRPr="00487955">
        <w:rPr>
          <w:rFonts w:ascii="Times New Roman" w:hAnsi="Times New Roman" w:cs="Times New Roman"/>
        </w:rPr>
        <w:t>-temporal (VAST) model for the GOA. The aging error matrix was updated with data through 2017, the previous matrix had data through 2008.</w:t>
      </w:r>
      <w:r w:rsidR="00A63E30" w:rsidRPr="00487955">
        <w:rPr>
          <w:rFonts w:ascii="Times New Roman" w:hAnsi="Times New Roman" w:cs="Times New Roman"/>
        </w:rPr>
        <w:t xml:space="preserve"> No changes were made to the assessment model.</w:t>
      </w:r>
    </w:p>
    <w:p w:rsidR="00A63E30" w:rsidRPr="00487955" w:rsidRDefault="0065381A" w:rsidP="00A63E30">
      <w:pPr>
        <w:pStyle w:val="BodyText"/>
        <w:spacing w:after="0"/>
        <w:rPr>
          <w:rFonts w:ascii="Times New Roman" w:hAnsi="Times New Roman" w:cs="Times New Roman"/>
        </w:rPr>
      </w:pPr>
      <w:r w:rsidRPr="00487955">
        <w:rPr>
          <w:rFonts w:ascii="Times New Roman" w:hAnsi="Times New Roman" w:cs="Times New Roman"/>
        </w:rPr>
        <w:t xml:space="preserve">Spawning biomass was above the </w:t>
      </w:r>
      <w:r w:rsidRPr="00487955">
        <w:rPr>
          <w:rFonts w:ascii="Times New Roman" w:hAnsi="Times New Roman" w:cs="Times New Roman"/>
          <w:i/>
        </w:rPr>
        <w:t>B</w:t>
      </w:r>
      <w:r w:rsidRPr="00487955">
        <w:rPr>
          <w:rFonts w:ascii="Times New Roman" w:hAnsi="Times New Roman" w:cs="Times New Roman"/>
          <w:i/>
          <w:vertAlign w:val="subscript"/>
        </w:rPr>
        <w:t>40%</w:t>
      </w:r>
      <w:r w:rsidRPr="00487955">
        <w:rPr>
          <w:rFonts w:ascii="Times New Roman" w:hAnsi="Times New Roman" w:cs="Times New Roman"/>
        </w:rPr>
        <w:t xml:space="preserve"> reference point and pro</w:t>
      </w:r>
      <w:r w:rsidR="00A63E30" w:rsidRPr="00487955">
        <w:rPr>
          <w:rFonts w:ascii="Times New Roman" w:hAnsi="Times New Roman" w:cs="Times New Roman"/>
        </w:rPr>
        <w:t xml:space="preserve">jected to be 102,715 t in 2021 decreasing </w:t>
      </w:r>
      <w:r w:rsidRPr="00487955">
        <w:rPr>
          <w:rFonts w:ascii="Times New Roman" w:hAnsi="Times New Roman" w:cs="Times New Roman"/>
        </w:rPr>
        <w:t xml:space="preserve">to 99,597 t in 2022. </w:t>
      </w:r>
      <w:r w:rsidR="00A63E30" w:rsidRPr="00487955">
        <w:rPr>
          <w:rFonts w:ascii="Times New Roman" w:hAnsi="Times New Roman" w:cs="Times New Roman"/>
        </w:rPr>
        <w:t>The SSC has determin</w:t>
      </w:r>
      <w:r w:rsidR="00A63E30" w:rsidRPr="00487955">
        <w:rPr>
          <w:rFonts w:ascii="Times New Roman" w:hAnsi="Times New Roman" w:cs="Times New Roman"/>
        </w:rPr>
        <w:t xml:space="preserve">ed that reliable estimates of </w:t>
      </w:r>
      <w:r w:rsidR="00A63E30" w:rsidRPr="00487955">
        <w:rPr>
          <w:rFonts w:ascii="Times New Roman" w:hAnsi="Times New Roman" w:cs="Times New Roman"/>
          <w:i/>
        </w:rPr>
        <w:t>B</w:t>
      </w:r>
      <w:r w:rsidR="00A63E30" w:rsidRPr="00487955">
        <w:rPr>
          <w:rFonts w:ascii="Times New Roman" w:hAnsi="Times New Roman" w:cs="Times New Roman"/>
          <w:i/>
          <w:vertAlign w:val="subscript"/>
        </w:rPr>
        <w:t>40</w:t>
      </w:r>
      <w:r w:rsidR="00A63E30" w:rsidRPr="00487955">
        <w:rPr>
          <w:rFonts w:ascii="Times New Roman" w:hAnsi="Times New Roman" w:cs="Times New Roman"/>
          <w:vertAlign w:val="subscript"/>
        </w:rPr>
        <w:t>%</w:t>
      </w:r>
      <w:r w:rsidR="00A63E30" w:rsidRPr="00487955">
        <w:rPr>
          <w:rFonts w:ascii="Times New Roman" w:hAnsi="Times New Roman" w:cs="Times New Roman"/>
        </w:rPr>
        <w:t xml:space="preserve">, </w:t>
      </w:r>
      <w:r w:rsidR="00A63E30" w:rsidRPr="00487955">
        <w:rPr>
          <w:rFonts w:ascii="Times New Roman" w:hAnsi="Times New Roman" w:cs="Times New Roman"/>
          <w:i/>
        </w:rPr>
        <w:t>F</w:t>
      </w:r>
      <w:r w:rsidR="00A63E30" w:rsidRPr="00487955">
        <w:rPr>
          <w:rFonts w:ascii="Times New Roman" w:hAnsi="Times New Roman" w:cs="Times New Roman"/>
          <w:i/>
          <w:vertAlign w:val="subscript"/>
        </w:rPr>
        <w:t>40%</w:t>
      </w:r>
      <w:r w:rsidR="00A63E30" w:rsidRPr="00487955">
        <w:rPr>
          <w:rFonts w:ascii="Times New Roman" w:hAnsi="Times New Roman" w:cs="Times New Roman"/>
        </w:rPr>
        <w:t>, and</w:t>
      </w:r>
    </w:p>
    <w:p w:rsidR="0065381A" w:rsidRPr="00487955" w:rsidRDefault="00A63E30" w:rsidP="00A63E30">
      <w:pPr>
        <w:pStyle w:val="BodyText"/>
        <w:spacing w:after="0"/>
        <w:rPr>
          <w:rFonts w:ascii="Times New Roman" w:hAnsi="Times New Roman" w:cs="Times New Roman"/>
        </w:rPr>
      </w:pPr>
      <w:r w:rsidRPr="00487955">
        <w:rPr>
          <w:rFonts w:ascii="Times New Roman" w:hAnsi="Times New Roman" w:cs="Times New Roman"/>
        </w:rPr>
        <w:t>F</w:t>
      </w:r>
      <w:r w:rsidRPr="00487955">
        <w:rPr>
          <w:rFonts w:ascii="Times New Roman" w:hAnsi="Times New Roman" w:cs="Times New Roman"/>
          <w:vertAlign w:val="subscript"/>
        </w:rPr>
        <w:t>35%</w:t>
      </w:r>
      <w:r w:rsidRPr="00487955">
        <w:rPr>
          <w:rFonts w:ascii="Times New Roman" w:hAnsi="Times New Roman" w:cs="Times New Roman"/>
        </w:rPr>
        <w:t xml:space="preserve"> exist for this stock, thereby qualifying </w:t>
      </w:r>
      <w:r w:rsidRPr="00487955">
        <w:rPr>
          <w:rFonts w:ascii="Times New Roman" w:hAnsi="Times New Roman" w:cs="Times New Roman"/>
        </w:rPr>
        <w:t>northern rockfish</w:t>
      </w:r>
      <w:r w:rsidRPr="00487955">
        <w:rPr>
          <w:rFonts w:ascii="Times New Roman" w:hAnsi="Times New Roman" w:cs="Times New Roman"/>
        </w:rPr>
        <w:t xml:space="preserve"> for management under Tier 3.</w:t>
      </w:r>
      <w:r w:rsidRPr="00487955">
        <w:rPr>
          <w:rFonts w:ascii="Times New Roman" w:hAnsi="Times New Roman" w:cs="Times New Roman"/>
        </w:rPr>
        <w:t xml:space="preserve"> With </w:t>
      </w:r>
      <w:r w:rsidRPr="00487955">
        <w:rPr>
          <w:rFonts w:ascii="Times New Roman" w:hAnsi="Times New Roman" w:cs="Times New Roman"/>
          <w:i/>
        </w:rPr>
        <w:t>B</w:t>
      </w:r>
      <w:r w:rsidRPr="00487955">
        <w:rPr>
          <w:rFonts w:ascii="Times New Roman" w:hAnsi="Times New Roman" w:cs="Times New Roman"/>
          <w:i/>
          <w:vertAlign w:val="subscript"/>
        </w:rPr>
        <w:t>40</w:t>
      </w:r>
      <w:r w:rsidRPr="00487955">
        <w:rPr>
          <w:rFonts w:ascii="Times New Roman" w:hAnsi="Times New Roman" w:cs="Times New Roman"/>
          <w:vertAlign w:val="subscript"/>
        </w:rPr>
        <w:t>%</w:t>
      </w:r>
      <w:r w:rsidRPr="00487955">
        <w:rPr>
          <w:rFonts w:ascii="Times New Roman" w:hAnsi="Times New Roman" w:cs="Times New Roman"/>
        </w:rPr>
        <w:t xml:space="preserve">, </w:t>
      </w:r>
      <w:r w:rsidRPr="00487955">
        <w:rPr>
          <w:rFonts w:ascii="Times New Roman" w:hAnsi="Times New Roman" w:cs="Times New Roman"/>
          <w:i/>
        </w:rPr>
        <w:t>F</w:t>
      </w:r>
      <w:r w:rsidRPr="00487955">
        <w:rPr>
          <w:rFonts w:ascii="Times New Roman" w:hAnsi="Times New Roman" w:cs="Times New Roman"/>
          <w:i/>
          <w:vertAlign w:val="subscript"/>
        </w:rPr>
        <w:t>40%</w:t>
      </w:r>
      <w:r w:rsidRPr="00487955">
        <w:rPr>
          <w:rFonts w:ascii="Times New Roman" w:hAnsi="Times New Roman" w:cs="Times New Roman"/>
        </w:rPr>
        <w:t>, and</w:t>
      </w:r>
      <w:r w:rsidRPr="00487955">
        <w:rPr>
          <w:rFonts w:ascii="Times New Roman" w:hAnsi="Times New Roman" w:cs="Times New Roman"/>
        </w:rPr>
        <w:t xml:space="preserve"> </w:t>
      </w:r>
      <w:r w:rsidRPr="00487955">
        <w:rPr>
          <w:rFonts w:ascii="Times New Roman" w:hAnsi="Times New Roman" w:cs="Times New Roman"/>
        </w:rPr>
        <w:t>F</w:t>
      </w:r>
      <w:r w:rsidRPr="00487955">
        <w:rPr>
          <w:rFonts w:ascii="Times New Roman" w:hAnsi="Times New Roman" w:cs="Times New Roman"/>
          <w:vertAlign w:val="subscript"/>
        </w:rPr>
        <w:t>35%</w:t>
      </w:r>
      <w:r w:rsidRPr="00487955">
        <w:rPr>
          <w:rFonts w:ascii="Times New Roman" w:hAnsi="Times New Roman" w:cs="Times New Roman"/>
        </w:rPr>
        <w:t xml:space="preserve"> estimated at 33, 933 t, 0.073, and 0.061, respectively.</w:t>
      </w:r>
      <w:r w:rsidR="00487955" w:rsidRPr="00487955">
        <w:rPr>
          <w:rFonts w:ascii="Times New Roman" w:hAnsi="Times New Roman" w:cs="Times New Roman"/>
        </w:rPr>
        <w:t xml:space="preserve"> Spawning biomass in 2021 is projected to exceed </w:t>
      </w:r>
      <w:r w:rsidR="00487955" w:rsidRPr="00487955">
        <w:rPr>
          <w:rFonts w:ascii="Times New Roman" w:hAnsi="Times New Roman" w:cs="Times New Roman"/>
          <w:i/>
        </w:rPr>
        <w:t>B</w:t>
      </w:r>
      <w:r w:rsidR="00487955" w:rsidRPr="00487955">
        <w:rPr>
          <w:rFonts w:ascii="Times New Roman" w:hAnsi="Times New Roman" w:cs="Times New Roman"/>
          <w:i/>
          <w:vertAlign w:val="subscript"/>
        </w:rPr>
        <w:t>40%</w:t>
      </w:r>
      <w:r w:rsidR="00487955" w:rsidRPr="00487955">
        <w:rPr>
          <w:rFonts w:ascii="Times New Roman" w:hAnsi="Times New Roman" w:cs="Times New Roman"/>
        </w:rPr>
        <w:t xml:space="preserve">, thereby placing northern rockfish in Tier 3a. The 2021 and 2022 catches associated with an </w:t>
      </w:r>
      <w:r w:rsidR="00487955" w:rsidRPr="00487955">
        <w:rPr>
          <w:rFonts w:ascii="Times New Roman" w:hAnsi="Times New Roman" w:cs="Times New Roman"/>
          <w:i/>
        </w:rPr>
        <w:t>F</w:t>
      </w:r>
      <w:r w:rsidR="00487955" w:rsidRPr="00487955">
        <w:rPr>
          <w:rFonts w:ascii="Times New Roman" w:hAnsi="Times New Roman" w:cs="Times New Roman"/>
          <w:i/>
          <w:vertAlign w:val="subscript"/>
        </w:rPr>
        <w:t>40%</w:t>
      </w:r>
      <w:r w:rsidR="00487955" w:rsidRPr="00487955">
        <w:rPr>
          <w:rFonts w:ascii="Times New Roman" w:hAnsi="Times New Roman" w:cs="Times New Roman"/>
        </w:rPr>
        <w:t xml:space="preserve"> are 5,358 t and 5,100 t, re</w:t>
      </w:r>
      <w:bookmarkStart w:id="0" w:name="_GoBack"/>
      <w:bookmarkEnd w:id="0"/>
      <w:r w:rsidR="00487955" w:rsidRPr="00487955">
        <w:rPr>
          <w:rFonts w:ascii="Times New Roman" w:hAnsi="Times New Roman" w:cs="Times New Roman"/>
        </w:rPr>
        <w:t>spectively. These catches were put forward as the authors’ and Plan Team’s recommended ABCs. The 2021 and 2022 OFLs are 3,396 t and 6,088 t.</w:t>
      </w:r>
    </w:p>
    <w:p w:rsidR="00487955" w:rsidRPr="00487955" w:rsidRDefault="00487955" w:rsidP="00A63E30">
      <w:pPr>
        <w:pStyle w:val="BodyText"/>
        <w:spacing w:after="0"/>
        <w:rPr>
          <w:rFonts w:ascii="Times New Roman" w:hAnsi="Times New Roman" w:cs="Times New Roman"/>
        </w:rPr>
      </w:pPr>
    </w:p>
    <w:p w:rsidR="00487955" w:rsidRPr="00487955" w:rsidRDefault="00487955" w:rsidP="00A63E30">
      <w:pPr>
        <w:pStyle w:val="BodyText"/>
        <w:spacing w:after="0"/>
        <w:rPr>
          <w:rFonts w:ascii="Times New Roman" w:hAnsi="Times New Roman" w:cs="Times New Roman"/>
        </w:rPr>
      </w:pPr>
      <w:r w:rsidRPr="00487955">
        <w:rPr>
          <w:rFonts w:ascii="Times New Roman" w:hAnsi="Times New Roman" w:cs="Times New Roman"/>
        </w:rPr>
        <w:t>A random effects model was use to establish regional ABCs based on the proportions of model-based estimates for 2021 with 2,023 t allocated to the Western GOA, 3,334 t to the Central GOA, and 1 t to the Eastern GOA. The Eastern GOA allocation is managed within the “Other Rockfish” complex.  The recommended OFLs for 2021 and 2022 are not regionally apportioned. Northern rockfish is not being subjected to overfishing, is not overfished, and is not approaching an overfished condition.</w:t>
      </w:r>
    </w:p>
    <w:p w:rsidR="00487955" w:rsidRPr="00487955" w:rsidRDefault="00487955" w:rsidP="00A63E30">
      <w:pPr>
        <w:pStyle w:val="BodyText"/>
        <w:spacing w:after="0"/>
        <w:rPr>
          <w:rFonts w:ascii="Times New Roman" w:hAnsi="Times New Roman" w:cs="Times New Roman"/>
        </w:rPr>
      </w:pPr>
    </w:p>
    <w:p w:rsidR="00487955" w:rsidRPr="00487955" w:rsidRDefault="00487955" w:rsidP="00A63E30">
      <w:pPr>
        <w:pStyle w:val="BodyText"/>
        <w:spacing w:after="0"/>
        <w:rPr>
          <w:rFonts w:ascii="Times New Roman" w:hAnsi="Times New Roman" w:cs="Times New Roman"/>
        </w:rPr>
      </w:pPr>
      <w:r w:rsidRPr="00487955">
        <w:rPr>
          <w:rFonts w:ascii="Times New Roman" w:hAnsi="Times New Roman" w:cs="Times New Roman"/>
        </w:rPr>
        <w:t>For more information contact Ben Williams, ABL, ben.william@noaa.gov.</w:t>
      </w:r>
    </w:p>
    <w:p w:rsidR="0065381A" w:rsidRDefault="0065381A" w:rsidP="0065381A">
      <w:pPr>
        <w:pStyle w:val="BodyText"/>
      </w:pPr>
    </w:p>
    <w:sectPr w:rsidR="00653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81A"/>
    <w:rsid w:val="00061563"/>
    <w:rsid w:val="001A003E"/>
    <w:rsid w:val="00487955"/>
    <w:rsid w:val="00497C29"/>
    <w:rsid w:val="0065381A"/>
    <w:rsid w:val="007F0807"/>
    <w:rsid w:val="00A12C14"/>
    <w:rsid w:val="00A63E30"/>
    <w:rsid w:val="00D40E38"/>
    <w:rsid w:val="00F5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B5802"/>
  <w15:chartTrackingRefBased/>
  <w15:docId w15:val="{628757F0-237E-4321-89CB-EC2788356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F54D2E"/>
    <w:pPr>
      <w:keepNext/>
      <w:keepLines/>
      <w:spacing w:before="480" w:after="0" w:line="360" w:lineRule="auto"/>
      <w:outlineLvl w:val="0"/>
    </w:pPr>
    <w:rPr>
      <w:rFonts w:ascii="Times New Roman" w:eastAsiaTheme="majorEastAsia" w:hAnsi="Times New Roman" w:cstheme="majorBidi"/>
      <w:b/>
      <w:bCs/>
      <w:sz w:val="32"/>
      <w:szCs w:val="32"/>
    </w:rPr>
  </w:style>
  <w:style w:type="paragraph" w:styleId="Heading2">
    <w:name w:val="heading 2"/>
    <w:basedOn w:val="Normal"/>
    <w:next w:val="BodyText"/>
    <w:link w:val="Heading2Char"/>
    <w:uiPriority w:val="9"/>
    <w:unhideWhenUsed/>
    <w:qFormat/>
    <w:rsid w:val="00F54D2E"/>
    <w:pPr>
      <w:keepNext/>
      <w:keepLines/>
      <w:spacing w:before="200" w:after="0" w:line="240" w:lineRule="auto"/>
      <w:outlineLvl w:val="1"/>
    </w:pPr>
    <w:rPr>
      <w:rFonts w:ascii="Times New Roman" w:eastAsiaTheme="majorEastAsia" w:hAnsi="Times New Roman" w:cstheme="majorBidi"/>
      <w:b/>
      <w:bCs/>
      <w:color w:val="000000" w:themeColor="text1"/>
      <w:sz w:val="24"/>
      <w:szCs w:val="32"/>
    </w:rPr>
  </w:style>
  <w:style w:type="paragraph" w:styleId="Heading3">
    <w:name w:val="heading 3"/>
    <w:basedOn w:val="Normal"/>
    <w:next w:val="BodyText"/>
    <w:link w:val="Heading3Char"/>
    <w:uiPriority w:val="9"/>
    <w:unhideWhenUsed/>
    <w:qFormat/>
    <w:rsid w:val="00F54D2E"/>
    <w:pPr>
      <w:keepNext/>
      <w:keepLines/>
      <w:spacing w:before="200" w:after="0" w:line="240" w:lineRule="auto"/>
      <w:outlineLvl w:val="2"/>
    </w:pPr>
    <w:rPr>
      <w:rFonts w:ascii="Times New Roman" w:eastAsiaTheme="majorEastAsia" w:hAnsi="Times New Roman" w:cstheme="majorBidi"/>
      <w:bCs/>
      <w:i/>
      <w:sz w:val="24"/>
      <w:szCs w:val="28"/>
    </w:rPr>
  </w:style>
  <w:style w:type="paragraph" w:styleId="Heading4">
    <w:name w:val="heading 4"/>
    <w:basedOn w:val="Normal"/>
    <w:next w:val="BodyText"/>
    <w:link w:val="Heading4Char"/>
    <w:uiPriority w:val="9"/>
    <w:unhideWhenUsed/>
    <w:qFormat/>
    <w:rsid w:val="00F54D2E"/>
    <w:pPr>
      <w:keepNext/>
      <w:keepLines/>
      <w:spacing w:before="200" w:after="0" w:line="240" w:lineRule="auto"/>
      <w:outlineLvl w:val="3"/>
    </w:pPr>
    <w:rPr>
      <w:rFonts w:ascii="Times New Roman" w:eastAsiaTheme="majorEastAsia" w:hAnsi="Times New Roman" w:cstheme="majorBidi"/>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D2E"/>
    <w:rPr>
      <w:rFonts w:ascii="Times New Roman" w:eastAsiaTheme="majorEastAsia" w:hAnsi="Times New Roman" w:cstheme="majorBidi"/>
      <w:b/>
      <w:bCs/>
      <w:sz w:val="32"/>
      <w:szCs w:val="32"/>
    </w:rPr>
  </w:style>
  <w:style w:type="paragraph" w:styleId="BodyText">
    <w:name w:val="Body Text"/>
    <w:basedOn w:val="Normal"/>
    <w:link w:val="BodyTextChar"/>
    <w:unhideWhenUsed/>
    <w:qFormat/>
    <w:rsid w:val="00F54D2E"/>
    <w:pPr>
      <w:spacing w:after="120"/>
    </w:pPr>
  </w:style>
  <w:style w:type="character" w:customStyle="1" w:styleId="BodyTextChar">
    <w:name w:val="Body Text Char"/>
    <w:basedOn w:val="DefaultParagraphFont"/>
    <w:link w:val="BodyText"/>
    <w:rsid w:val="00F54D2E"/>
  </w:style>
  <w:style w:type="character" w:customStyle="1" w:styleId="Heading2Char">
    <w:name w:val="Heading 2 Char"/>
    <w:basedOn w:val="DefaultParagraphFont"/>
    <w:link w:val="Heading2"/>
    <w:uiPriority w:val="9"/>
    <w:rsid w:val="00F54D2E"/>
    <w:rPr>
      <w:rFonts w:ascii="Times New Roman" w:eastAsiaTheme="majorEastAsia" w:hAnsi="Times New Roman" w:cstheme="majorBidi"/>
      <w:b/>
      <w:bCs/>
      <w:color w:val="000000" w:themeColor="text1"/>
      <w:sz w:val="24"/>
      <w:szCs w:val="32"/>
    </w:rPr>
  </w:style>
  <w:style w:type="character" w:customStyle="1" w:styleId="Heading3Char">
    <w:name w:val="Heading 3 Char"/>
    <w:basedOn w:val="DefaultParagraphFont"/>
    <w:link w:val="Heading3"/>
    <w:uiPriority w:val="9"/>
    <w:rsid w:val="00F54D2E"/>
    <w:rPr>
      <w:rFonts w:ascii="Times New Roman" w:eastAsiaTheme="majorEastAsia" w:hAnsi="Times New Roman" w:cstheme="majorBidi"/>
      <w:bCs/>
      <w:i/>
      <w:sz w:val="24"/>
      <w:szCs w:val="28"/>
    </w:rPr>
  </w:style>
  <w:style w:type="character" w:customStyle="1" w:styleId="Heading4Char">
    <w:name w:val="Heading 4 Char"/>
    <w:basedOn w:val="DefaultParagraphFont"/>
    <w:link w:val="Heading4"/>
    <w:uiPriority w:val="9"/>
    <w:rsid w:val="00F54D2E"/>
    <w:rPr>
      <w:rFonts w:ascii="Times New Roman" w:eastAsiaTheme="majorEastAsia" w:hAnsi="Times New Roman" w:cstheme="majorBidi"/>
      <w:bCs/>
      <w:sz w:val="24"/>
      <w:szCs w:val="24"/>
      <w:u w:val="single"/>
    </w:rPr>
  </w:style>
  <w:style w:type="paragraph" w:styleId="Title">
    <w:name w:val="Title"/>
    <w:basedOn w:val="Normal"/>
    <w:next w:val="BodyText"/>
    <w:link w:val="TitleChar"/>
    <w:qFormat/>
    <w:rsid w:val="00F54D2E"/>
    <w:pPr>
      <w:keepNext/>
      <w:keepLines/>
      <w:spacing w:before="480" w:after="240" w:line="240" w:lineRule="auto"/>
      <w:jc w:val="center"/>
    </w:pPr>
    <w:rPr>
      <w:rFonts w:ascii="Times New Roman" w:eastAsiaTheme="majorEastAsia" w:hAnsi="Times New Roman" w:cstheme="majorBidi"/>
      <w:b/>
      <w:bCs/>
      <w:sz w:val="32"/>
      <w:szCs w:val="36"/>
    </w:rPr>
  </w:style>
  <w:style w:type="character" w:customStyle="1" w:styleId="TitleChar">
    <w:name w:val="Title Char"/>
    <w:basedOn w:val="DefaultParagraphFont"/>
    <w:link w:val="Title"/>
    <w:rsid w:val="00F54D2E"/>
    <w:rPr>
      <w:rFonts w:ascii="Times New Roman" w:eastAsiaTheme="majorEastAsia" w:hAnsi="Times New Roman" w:cstheme="majorBidi"/>
      <w:b/>
      <w:bCs/>
      <w:sz w:val="32"/>
      <w:szCs w:val="36"/>
    </w:rPr>
  </w:style>
  <w:style w:type="table" w:styleId="TableGrid">
    <w:name w:val="Table Grid"/>
    <w:basedOn w:val="TableNormal"/>
    <w:rsid w:val="00497C29"/>
    <w:pPr>
      <w:spacing w:after="0" w:line="240" w:lineRule="auto"/>
    </w:pPr>
    <w:rPr>
      <w:rFonts w:ascii="Times New Roman" w:hAnsi="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Ben.Williams</dc:creator>
  <cp:keywords/>
  <dc:description/>
  <cp:lastModifiedBy>Ben.Williams</cp:lastModifiedBy>
  <cp:revision>1</cp:revision>
  <dcterms:created xsi:type="dcterms:W3CDTF">2021-03-09T18:26:00Z</dcterms:created>
  <dcterms:modified xsi:type="dcterms:W3CDTF">2021-03-09T18:58:00Z</dcterms:modified>
</cp:coreProperties>
</file>