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Northern</w:t>
      </w:r>
      <w:r>
        <w:t xml:space="preserve"> </w:t>
      </w:r>
      <w:r>
        <w:t xml:space="preserve">Rockfish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Benjamin C. Williams</w:t>
      </w:r>
      <w:r>
        <w:t xml:space="preserve">,</w:t>
      </w:r>
      <w:r>
        <w:t xml:space="preserve"> </w:t>
      </w:r>
      <w:r>
        <w:t xml:space="preserve">Peter-John F. Hulson</w:t>
      </w:r>
      <w:r>
        <w:t xml:space="preserve">,</w:t>
      </w:r>
      <w:r>
        <w:t xml:space="preserve"> </w:t>
      </w:r>
      <w:r>
        <w:t xml:space="preserve">and</w:t>
      </w:r>
      <w:r>
        <w:t xml:space="preserve"> </w:t>
      </w:r>
      <w:r>
        <w:t xml:space="preserve">Chris R. Lunsford</w:t>
      </w:r>
    </w:p>
    <w:p>
      <w:pPr>
        <w:pStyle w:val="Date"/>
      </w:pPr>
      <w:r>
        <w:t xml:space="preserve">November</w:t>
      </w:r>
      <w:r>
        <w:t xml:space="preserve"> </w:t>
      </w:r>
      <w:r>
        <w:t xml:space="preserve">2022</w:t>
      </w:r>
    </w:p>
    <w:bookmarkStart w:id="26" w:name="executive-summary"/>
    <w:p>
      <w:pPr>
        <w:pStyle w:val="Heading1"/>
      </w:pPr>
      <w:r>
        <w:t xml:space="preserve">Executive Summary</w:t>
      </w:r>
    </w:p>
    <w:bookmarkStart w:id="20" w:name="summary-of-changes-in-assessment-inputs"/>
    <w:p>
      <w:pPr>
        <w:pStyle w:val="Heading2"/>
      </w:pPr>
      <w:r>
        <w:t xml:space="preserve">Summary of Changes in Assessment Inputs</w:t>
      </w:r>
    </w:p>
    <w:p>
      <w:pPr>
        <w:pStyle w:val="FirstParagraph"/>
      </w:pPr>
      <w:r>
        <w:t xml:space="preserve">List of changes (if any) in the input data, including estimated catches assumed for the current year and projected catches for current year + 1 and current year + 2.</w:t>
      </w:r>
    </w:p>
    <w:p>
      <w:pPr>
        <w:pStyle w:val="BodyText"/>
      </w:pPr>
      <w:r>
        <w:t xml:space="preserve">List of changes (if any) in the assessment methodology.</w:t>
      </w:r>
      <w:r>
        <w:t xml:space="preserve"> </w:t>
      </w:r>
      <w:r>
        <w:rPr>
          <w:bCs/>
          <w:b/>
        </w:rPr>
        <w:t xml:space="preserve">This is one of the most important sections of the SAFE report</w:t>
      </w:r>
      <w:r>
        <w:t xml:space="preserve">.</w:t>
      </w:r>
      <w:r>
        <w:t xml:space="preserve"> </w:t>
      </w:r>
      <w:r>
        <w:t xml:space="preserve">Common mistakes in this section include: 1) listing something that</w:t>
      </w:r>
      <w:r>
        <w:t xml:space="preserve"> </w:t>
      </w:r>
      <w:r>
        <w:rPr>
          <w:iCs/>
          <w:i/>
        </w:rPr>
        <w:t xml:space="preserve">has not</w:t>
      </w:r>
      <w:r>
        <w:t xml:space="preserve"> </w:t>
      </w:r>
      <w:r>
        <w:t xml:space="preserve">changed, and 2) not listing something that</w:t>
      </w:r>
      <w:r>
        <w:t xml:space="preserve"> </w:t>
      </w:r>
      <w:r>
        <w:rPr>
          <w:iCs/>
          <w:i/>
        </w:rPr>
        <w:t xml:space="preserve">has</w:t>
      </w:r>
      <w:r>
        <w:t xml:space="preserve"> </w:t>
      </w:r>
      <w:r>
        <w:t xml:space="preserve">changed.</w:t>
      </w:r>
    </w:p>
    <w:bookmarkEnd w:id="20"/>
    <w:bookmarkStart w:id="21" w:name="summary-of-results"/>
    <w:p>
      <w:pPr>
        <w:pStyle w:val="Heading2"/>
      </w:pPr>
      <w:r>
        <w:t xml:space="preserve">Summary of Results</w:t>
      </w:r>
    </w:p>
    <w:p>
      <w:pPr>
        <w:pStyle w:val="FirstParagraph"/>
      </w:pPr>
      <w:r>
        <w:t xml:space="preserve">List of changes (if any) in the input data, including estimated catches assumed for the current year and projected catches for current year + 1 and current year + 2.</w:t>
      </w:r>
      <w:r>
        <w:t xml:space="preserve"> </w:t>
      </w:r>
      <w:r>
        <w:t xml:space="preserve">List of changes (if any) in the assessment methodology. This is one of the most important sections of the SAFE report. Common mistakes in this section include: 1) listing something that has not changed, and 2) not listing something that has changed.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Quantity/Status</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0.059</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102,715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100,371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96,045</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Projected female spawning biomas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40,474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37,408</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84,832</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33,933</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29,691</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0.073</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0.061</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5,874</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4,921</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4,921</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Projections are based on an estimated catch of 2,842 t for 2022 and estimates of 3,489 t and 2,884 t used in place of maximum permissible ABC for 2023 and 2024.</w:t>
            </w:r>
          </w:p>
        </w:tc>
      </w:tr>
    </w:tbl>
    <w:p>
      <w:pPr>
        <w:pStyle w:val="BodyText"/>
      </w:pPr>
      <w:r>
        <w:t xml:space="preserve">Text table of area apportionments (if any) for the recommended one- and two-year ahead ABCs and OFLs, with a brief description of the apportionment methodology.</w:t>
      </w:r>
    </w:p>
    <w:bookmarkEnd w:id="21"/>
    <w:bookmarkStart w:id="22" w:name="area-allocation-of-harvest"/>
    <w:p>
      <w:pPr>
        <w:pStyle w:val="Heading2"/>
      </w:pPr>
      <w:r>
        <w:t xml:space="preserve">Area Allocation of Harvest</w:t>
      </w:r>
    </w:p>
    <w:p>
      <w:pPr>
        <w:pStyle w:val="FirstParagraph"/>
      </w:pPr>
      <w:r>
        <w:t xml:space="preserve">The following table shows the recommended ABC apportionment for 2022 and 2023.</w:t>
      </w:r>
      <w:r>
        <w:t xml:space="preserve"> </w:t>
      </w:r>
      <w:r>
        <w:t xml:space="preserve">The apportionment percentages are the same as in the last full assessment.</w:t>
      </w:r>
      <w:r>
        <w:t xml:space="preserve"> </w:t>
      </w:r>
      <w:r>
        <w:t xml:space="preserve">Please refer to the 2020 full stock assessment report</w:t>
      </w:r>
      <w:r>
        <w:t xml:space="preserve"> </w:t>
      </w:r>
      <w:r>
        <w:t xml:space="preserve">(Fenske</w:t>
      </w:r>
      <w:r>
        <w:t xml:space="preserve"> </w:t>
      </w:r>
      <w:r>
        <w:rPr>
          <w:iCs/>
          <w:i/>
        </w:rPr>
        <w:t xml:space="preserve">et al.</w:t>
      </w:r>
      <w:r>
        <w:t xml:space="preserve"> </w:t>
      </w:r>
      <w:r>
        <w:t xml:space="preserve">2020)</w:t>
      </w:r>
      <w:r>
        <w:t xml:space="preserve"> </w:t>
      </w:r>
      <w:r>
        <w:t xml:space="preserve">for information regarding the apportionment rationale for GOA dusky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blHeader/>
        </w:trPr>
        header2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 Apportionment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w:t>
            </w:r>
          </w:p>
        </w:tc>
      </w:tr>
      <w:tr>
        <w:trPr>
          <w:cantSplit/>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8,146</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 Yakutat/Southeast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142</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w:t>
            </w:r>
          </w:p>
        </w:tc>
      </w:tr>
    </w:tbl>
    <w:p>
      <w:pPr>
        <w:pStyle w:val="BodyText"/>
      </w:pPr>
      <w:r>
        <w:t xml:space="preserve">If so are so kind as to provide tables for the plan team, place them here</w:t>
      </w:r>
    </w:p>
    <w:bookmarkEnd w:id="22"/>
    <w:bookmarkStart w:id="23" w:name="summaries-for-plan-team"/>
    <w:p>
      <w:pPr>
        <w:pStyle w:val="Heading2"/>
      </w:pPr>
      <w:r>
        <w:t xml:space="preserve">Summaries for Plan Team</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exact"/>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54,626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2,198</w:t>
            </w:r>
          </w:p>
        </w:tc>
      </w:tr>
      <w:tr>
        <w:trPr>
          <w:cantSplit/>
          <w:trHeight w:val="360" w:hRule="exact"/>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p>
        </w:tc>
      </w:tr>
      <w:tr>
        <w:trPr>
          <w:cantSplit/>
          <w:trHeight w:val="360" w:hRule="exact"/>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exact"/>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95,682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footer1
        <w:tc>
          <w:tcPr>
            <w:gridSpan w:val="7"/>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 biomass (age 4+) estimates from age-structured model.</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Current as of October 22, 2022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via the AKFIN database (http://www.akfin.org).</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gridSpan w:val="4"/>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gridSpan w:val="2"/>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gridSpan w:val="2"/>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r>
      <w:tr>
        <w:trPr>
          <w:cantSplit/>
          <w:trHeight w:val="360" w:hRule="auto"/>
          <w:tblHeader/>
        </w:trPr>
        header2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259</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4,534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4,373</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412</w:t>
            </w:r>
          </w:p>
        </w:tc>
      </w:tr>
      <w:tr>
        <w:trPr>
          <w:cantSplit/>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w:t>
            </w:r>
          </w:p>
        </w:tc>
      </w:tr>
      <w:tr>
        <w:trPr>
          <w:cantSplit/>
          <w:trHeight w:val="360" w:hRule="auto"/>
        </w:trPr>
        body5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r>
      <w:tr>
        <w:trPr>
          <w:cantSplit/>
          <w:trHeight w:val="360" w:hRule="auto"/>
        </w:trPr>
        footer1
        <w:tc>
          <w:tcPr>
            <w:gridSpan w:val="10"/>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Current as of October 22, 2022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via the AKFIN database (http://www.akfin.org).</w:t>
            </w:r>
          </w:p>
        </w:tc>
      </w:tr>
    </w:tbl>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A risk table has been included in this assessment.</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w:t>
      </w:r>
      <w:r>
        <w:t xml:space="preserve">For this cycle, the SSC also agrees with the author’s justification for the adjustment of the likelihood weight of the survey index to utilize this new time series more appropriately.</w:t>
      </w:r>
      <w:r>
        <w:t xml:space="preserve">”</w:t>
      </w:r>
    </w:p>
    <w:p>
      <w:pPr>
        <w:pStyle w:val="FirstParagraph"/>
      </w:pPr>
      <w:r>
        <w:t xml:space="preserve">The likelihood weighting has remained consistent with the weights found in the last full assessment.</w:t>
      </w:r>
    </w:p>
    <w:bookmarkEnd w:id="25"/>
    <w:bookmarkEnd w:id="26"/>
    <w:bookmarkStart w:id="29" w:name="introduction"/>
    <w:p>
      <w:pPr>
        <w:pStyle w:val="Heading1"/>
      </w:pPr>
      <w:r>
        <w:t xml:space="preserve">Introduction</w:t>
      </w:r>
    </w:p>
    <w:p>
      <w:pPr>
        <w:pStyle w:val="FirstParagraph"/>
      </w:pPr>
      <w:r>
        <w:t xml:space="preserve">Scientific name</w:t>
      </w:r>
      <w:r>
        <w:t xml:space="preserve"> </w:t>
      </w:r>
      <w:r>
        <w:t xml:space="preserve">Description of general biology and distribution</w:t>
      </w:r>
      <w:r>
        <w:t xml:space="preserve"> </w:t>
      </w:r>
      <w:r>
        <w:t xml:space="preserve">Description of key life history characteristics specific to stock assessments (e.g., special features of reproductive biology)</w:t>
      </w:r>
      <w:r>
        <w:t xml:space="preserve"> </w:t>
      </w:r>
      <w:r>
        <w:t xml:space="preserve">Evidence of stock structure, if any</w:t>
      </w:r>
    </w:p>
    <w:bookmarkStart w:id="27" w:name="biology-and-distribution"/>
    <w:p>
      <w:pPr>
        <w:pStyle w:val="Heading2"/>
      </w:pPr>
      <w:r>
        <w:t xml:space="preserve">Biology and Distribution</w:t>
      </w:r>
    </w:p>
    <w:bookmarkEnd w:id="27"/>
    <w:bookmarkStart w:id="28" w:name="stock-structure"/>
    <w:p>
      <w:pPr>
        <w:pStyle w:val="Heading2"/>
      </w:pPr>
      <w:r>
        <w:t xml:space="preserve">Stock Structure</w:t>
      </w:r>
    </w:p>
    <w:bookmarkEnd w:id="28"/>
    <w:bookmarkEnd w:id="29"/>
    <w:bookmarkStart w:id="34" w:name="fishery"/>
    <w:p>
      <w:pPr>
        <w:pStyle w:val="Heading1"/>
      </w:pPr>
      <w:r>
        <w:t xml:space="preserve">Fishery</w:t>
      </w:r>
    </w:p>
    <w:p>
      <w:pPr>
        <w:pStyle w:val="FirstParagraph"/>
      </w:pPr>
      <w:r>
        <w:t xml:space="preserve">Brief description of fishery history</w:t>
      </w:r>
      <w:r>
        <w:br/>
      </w:r>
      <w:r>
        <w:t xml:space="preserve">Description of management measures/unit(s)</w:t>
      </w:r>
      <w:r>
        <w:br/>
      </w:r>
      <w:r>
        <w:t xml:space="preserve">Management history (including key changes which may have influenced assessment procedures; selectivity of commercial fishing gear; or distribution of catch by gear, area, or season.</w:t>
      </w:r>
      <w:r>
        <w:br/>
      </w:r>
      <w:r>
        <w:t xml:space="preserve">Include a table of total catch, total ABC, total OFL, and total TAC, and associated management measures</w:t>
      </w:r>
      <w:r>
        <w:br/>
      </w:r>
      <w:r>
        <w:t xml:space="preserve">Description of the current directed fishery (including gear types, seasons, major fishing locations)</w:t>
      </w:r>
      <w:r>
        <w:br/>
      </w:r>
      <w:r>
        <w:t xml:space="preserve">Description of effort and CPUE</w:t>
      </w:r>
      <w:r>
        <w:br/>
      </w:r>
      <w:r>
        <w:t xml:space="preserve">Information on discards of this stock or stock complex (from directed fishery for this stock or stock complex)</w:t>
      </w:r>
    </w:p>
    <w:bookmarkStart w:id="32" w:name="description-of-the-directed-fishery"/>
    <w:p>
      <w:pPr>
        <w:pStyle w:val="Heading2"/>
      </w:pPr>
      <w:r>
        <w:t xml:space="preserve">Description of the Directed Fishery</w:t>
      </w:r>
    </w:p>
    <w:bookmarkStart w:id="30" w:name="catch-patterns"/>
    <w:p>
      <w:pPr>
        <w:pStyle w:val="Heading3"/>
      </w:pPr>
      <w:r>
        <w:t xml:space="preserve">Catch Patterns</w:t>
      </w:r>
    </w:p>
    <w:bookmarkEnd w:id="30"/>
    <w:bookmarkStart w:id="31" w:name="bycatch-and-discards"/>
    <w:p>
      <w:pPr>
        <w:pStyle w:val="Heading3"/>
      </w:pPr>
      <w:r>
        <w:t xml:space="preserve">Bycatch and Discards</w:t>
      </w:r>
    </w:p>
    <w:bookmarkEnd w:id="31"/>
    <w:bookmarkEnd w:id="32"/>
    <w:bookmarkStart w:id="33" w:name="management-measures"/>
    <w:p>
      <w:pPr>
        <w:pStyle w:val="Heading2"/>
      </w:pPr>
      <w:r>
        <w:t xml:space="preserve">Management Measures</w:t>
      </w:r>
    </w:p>
    <w:bookmarkEnd w:id="33"/>
    <w:bookmarkEnd w:id="34"/>
    <w:bookmarkStart w:id="42" w:name="data"/>
    <w:p>
      <w:pPr>
        <w:pStyle w:val="Heading1"/>
      </w:pPr>
      <w:r>
        <w:t xml:space="preserve">Data</w:t>
      </w:r>
    </w:p>
    <w:p>
      <w:pPr>
        <w:pStyle w:val="FirstParagraph"/>
      </w:pPr>
      <w:r>
        <w:t xml:space="preserve">(If the data for any particular component described here are so voluminous that the corresponding tables would comprise more than 2 pages, the tables may be placed on an ftp site referenced in the chapter.)</w:t>
      </w:r>
      <w:r>
        <w:t xml:space="preserve"> </w:t>
      </w:r>
      <w:r>
        <w:t xml:space="preserve">For Tiers 1-3, insert a text table summarizing the data used in the assessment model (source, type, years included).</w:t>
      </w:r>
      <w:r>
        <w:t xml:space="preserve"> </w:t>
      </w:r>
      <w:r>
        <w:t xml:space="preserve">Data which should be presented as time series (starting no later than 1977, if possible):</w:t>
      </w:r>
      <w:r>
        <w:t xml:space="preserve"> </w:t>
      </w:r>
      <w:r>
        <w:t xml:space="preserve">The following is a typical example:</w:t>
      </w:r>
    </w:p>
    <w:p>
      <w:pPr>
        <w:pStyle w:val="BodyText"/>
      </w:pPr>
      <w:r>
        <w:t xml:space="preserve">The following table summarizes the data used in the stock assessment model for northern rockfish (bold denotes new data for this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57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2"/>
                <w:szCs w:val="22"/>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2"/>
                <w:szCs w:val="22"/>
                <w:color w:val="000000"/>
              </w:rPr>
              <w:t xml:space="preserve">Years</w:t>
            </w:r>
          </w:p>
        </w:tc>
      </w:tr>
      <w:tr>
        <w:trPr>
          <w:cantSplit/>
          <w:trHeight w:val="360" w:hRule="auto"/>
        </w:trPr>
        body1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NMFS Groundfish survey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Survey biomass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1991-1997, 2003, 2007, 2009, 2011, 2013, 2015, 2017, 2019</w:t>
            </w:r>
          </w:p>
        </w:tc>
      </w:tr>
    </w:tbl>
    <w:bookmarkStart w:id="37" w:name="fishery-1"/>
    <w:p>
      <w:pPr>
        <w:pStyle w:val="Heading2"/>
      </w:pPr>
      <w:r>
        <w:t xml:space="preserve">Fishery</w:t>
      </w:r>
    </w:p>
    <w:bookmarkStart w:id="35" w:name="catch"/>
    <w:p>
      <w:pPr>
        <w:pStyle w:val="Heading3"/>
      </w:pPr>
      <w:r>
        <w:t xml:space="preserve">Catch</w:t>
      </w:r>
    </w:p>
    <w:p>
      <w:pPr>
        <w:pStyle w:val="FirstParagraph"/>
      </w:pPr>
      <w:r>
        <w:t xml:space="preserve">Catch as used in the model (by area and gear if that is how it is used in the model).</w:t>
      </w:r>
      <w:r>
        <w:t xml:space="preserve"> </w:t>
      </w:r>
      <w:r>
        <w:t xml:space="preserve">This table may omitted if this table simply duplicates the catch table shown under</w:t>
      </w:r>
      <w:r>
        <w:t xml:space="preserve"> </w:t>
      </w:r>
      <w:r>
        <w:t xml:space="preserve">“</w:t>
      </w:r>
      <w:r>
        <w:t xml:space="preserve">Management units/measures</w:t>
      </w:r>
      <w:r>
        <w:t xml:space="preserve">”</w:t>
      </w:r>
      <w:r>
        <w:t xml:space="preserve">).</w:t>
      </w:r>
      <w:r>
        <w:t xml:space="preserve"> </w:t>
      </w:r>
      <w:r>
        <w:t xml:space="preserve">In an appendix, present removals from sources other than those that are included in the Alaska Region’s official estimate of catch (e.g., removals due to scientific surveys, subsistence fishing, recreational fishing, fisheries managed under other FMPs.)</w:t>
      </w:r>
    </w:p>
    <w:bookmarkEnd w:id="35"/>
    <w:bookmarkStart w:id="36" w:name="age-and-size-composition"/>
    <w:p>
      <w:pPr>
        <w:pStyle w:val="Heading3"/>
      </w:pPr>
      <w:r>
        <w:t xml:space="preserve">Age and Size Composition</w:t>
      </w:r>
    </w:p>
    <w:p>
      <w:pPr>
        <w:pStyle w:val="FirstParagraph"/>
      </w:pPr>
      <w:r>
        <w:t xml:space="preserve">Catch at age or catch at length (including sample sizes), as appropriate</w:t>
      </w:r>
    </w:p>
    <w:bookmarkEnd w:id="36"/>
    <w:bookmarkEnd w:id="37"/>
    <w:bookmarkStart w:id="41" w:name="survey"/>
    <w:p>
      <w:pPr>
        <w:pStyle w:val="Heading2"/>
      </w:pPr>
      <w:r>
        <w:t xml:space="preserve">Survey</w:t>
      </w:r>
    </w:p>
    <w:bookmarkStart w:id="38" w:name="biomass-estimates-from-trawl-surveys"/>
    <w:p>
      <w:pPr>
        <w:pStyle w:val="Heading3"/>
      </w:pPr>
      <w:r>
        <w:t xml:space="preserve">Biomass Estimates from Trawl Surveys</w:t>
      </w:r>
    </w:p>
    <w:p>
      <w:pPr>
        <w:pStyle w:val="FirstParagraph"/>
      </w:pPr>
      <w:r>
        <w:t xml:space="preserve">Survey biomass estimates, including at least one measure of sampling variability such as standard error, CV, or 95% confidence interval (for stocks managed as complexes, be sure to report the sampling variability for the complex-wide survey biomass estimate, not just the individual stocks).</w:t>
      </w:r>
      <w:r>
        <w:t xml:space="preserve"> </w:t>
      </w:r>
      <w:r>
        <w:t xml:space="preserve">Complex-wide variance could be computed simply by summing the variances from the survey estimates.</w:t>
      </w:r>
    </w:p>
    <w:bookmarkEnd w:id="38"/>
    <w:bookmarkStart w:id="39" w:name="age-and-size-composition-1"/>
    <w:p>
      <w:pPr>
        <w:pStyle w:val="Heading3"/>
      </w:pPr>
      <w:r>
        <w:t xml:space="preserve">Age and Size Composition</w:t>
      </w:r>
    </w:p>
    <w:p>
      <w:pPr>
        <w:pStyle w:val="FirstParagraph"/>
      </w:pPr>
      <w:r>
        <w:t xml:space="preserve">Survey numbers at age or numbers at length (including sample sizes), as appropriate</w:t>
      </w:r>
    </w:p>
    <w:bookmarkEnd w:id="39"/>
    <w:bookmarkStart w:id="40" w:name="maturity-data"/>
    <w:p>
      <w:pPr>
        <w:pStyle w:val="Heading3"/>
      </w:pPr>
      <w:r>
        <w:t xml:space="preserve">Maturity Data</w:t>
      </w:r>
    </w:p>
    <w:bookmarkEnd w:id="40"/>
    <w:bookmarkEnd w:id="41"/>
    <w:bookmarkEnd w:id="42"/>
    <w:bookmarkStart w:id="48" w:name="analytical-approach"/>
    <w:p>
      <w:pPr>
        <w:pStyle w:val="Heading1"/>
      </w:pPr>
      <w:r>
        <w:t xml:space="preserve">Analytical approach</w:t>
      </w:r>
    </w:p>
    <w:bookmarkStart w:id="43" w:name="general-model-structure"/>
    <w:p>
      <w:pPr>
        <w:pStyle w:val="Heading2"/>
      </w:pPr>
      <w:r>
        <w:t xml:space="preserve">General Model Structure</w:t>
      </w:r>
    </w:p>
    <w:p>
      <w:pPr>
        <w:pStyle w:val="BlockText"/>
      </w:pPr>
      <w:r>
        <w:t xml:space="preserve">Description of overall modeling approach (e.g., age/size structured versus biomass dynamic, maximum likelihood versus Bayesian)</w:t>
      </w:r>
      <w:r>
        <w:t xml:space="preserve"> </w:t>
      </w:r>
      <w:r>
        <w:t xml:space="preserve">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pPr>
        <w:pStyle w:val="FirstParagraph"/>
      </w:pPr>
      <w:r>
        <w:t xml:space="preserve">This assessment is based on a statistical age-structured model with the catch equation and population dynamics model as described in</w:t>
      </w:r>
      <w:r>
        <w:t xml:space="preserve"> </w:t>
      </w:r>
      <w:r>
        <w:t xml:space="preserve">(</w:t>
      </w:r>
      <w:r>
        <w:rPr>
          <w:bCs/>
          <w:b/>
        </w:rPr>
        <w:t xml:space="preserve">Fournier1982?</w:t>
      </w:r>
      <w:r>
        <w:t xml:space="preserve">)</w:t>
      </w:r>
      <w:r>
        <w:t xml:space="preserve"> </w:t>
      </w:r>
      <w:r>
        <w:t xml:space="preserve">and elsewhere (e.g.,</w:t>
      </w:r>
      <w:r>
        <w:t xml:space="preserve"> </w:t>
      </w:r>
      <w:r>
        <w:t xml:space="preserve">(</w:t>
      </w:r>
      <w:r>
        <w:rPr>
          <w:bCs/>
          <w:b/>
        </w:rPr>
        <w:t xml:space="preserve">Hilborn1992?</w:t>
      </w:r>
      <w:r>
        <w:t xml:space="preserve">)</w:t>
      </w:r>
      <w:r>
        <w:t xml:space="preserve">;</w:t>
      </w:r>
      <w:r>
        <w:t xml:space="preserve"> </w:t>
      </w:r>
      <w:r>
        <w:t xml:space="preserve">(</w:t>
      </w:r>
      <w:r>
        <w:rPr>
          <w:bCs/>
          <w:b/>
        </w:rPr>
        <w:t xml:space="preserve">Schnute1995?</w:t>
      </w:r>
      <w:r>
        <w:t xml:space="preserve">)</w:t>
      </w:r>
      <w:r>
        <w:t xml:space="preserve">,</w:t>
      </w:r>
      <w:r>
        <w:t xml:space="preserve"> </w:t>
      </w:r>
      <w:r>
        <w:t xml:space="preserve">(</w:t>
      </w:r>
      <w:r>
        <w:rPr>
          <w:bCs/>
          <w:b/>
        </w:rPr>
        <w:t xml:space="preserve">McAllister1997?</w:t>
      </w:r>
      <w:r>
        <w:t xml:space="preserve">)</w:t>
      </w:r>
      <w:r>
        <w:t xml:space="preserve">).</w:t>
      </w:r>
      <w:r>
        <w:t xml:space="preserve"> </w:t>
      </w:r>
      <w:r>
        <w:t xml:space="preserve">The catch in numbers at age in year</w:t>
      </w:r>
      <w:r>
        <w:t xml:space="preserve"> </w:t>
      </w:r>
      <m:oMath>
        <m:r>
          <m:t>t</m:t>
        </m:r>
        <m:d>
          <m:dPr>
            <m:begChr m:val="("/>
            <m:endChr m:val=")"/>
            <m:sepChr m:val=""/>
            <m:grow/>
          </m:dPr>
          <m:e>
            <m:sSub>
              <m:e>
                <m:r>
                  <m:t>C</m:t>
                </m:r>
              </m:e>
              <m:sub>
                <m:r>
                  <m:t>t</m:t>
                </m:r>
                <m:r>
                  <m:rPr>
                    <m:sty m:val="p"/>
                  </m:rPr>
                  <m:t>,</m:t>
                </m:r>
                <m:r>
                  <m:t>a</m:t>
                </m:r>
              </m:sub>
            </m:sSub>
          </m:e>
        </m:d>
      </m:oMath>
      <w:r>
        <w:t xml:space="preserve"> </w:t>
      </w:r>
      <w:r>
        <w:t xml:space="preserve">and total catch biomass</w:t>
      </w:r>
      <w:r>
        <w:t xml:space="preserve"> </w:t>
      </w:r>
      <m:oMath>
        <m:d>
          <m:dPr>
            <m:begChr m:val="("/>
            <m:endChr m:val=")"/>
            <m:sepChr m:val=""/>
            <m:grow/>
          </m:dPr>
          <m:e>
            <m:sSub>
              <m:e>
                <m:r>
                  <m:t>Y</m:t>
                </m:r>
              </m:e>
              <m:sub>
                <m:r>
                  <m:t>t</m:t>
                </m:r>
              </m:sub>
            </m:sSub>
          </m:e>
        </m:d>
      </m:oMath>
      <w:r>
        <w:t xml:space="preserve"> </w:t>
      </w:r>
      <w:r>
        <w:t xml:space="preserve">can be described as: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C</m:t>
                    </m:r>
                  </m:e>
                  <m:sub>
                    <m:r>
                      <m:t>t</m:t>
                    </m:r>
                    <m:r>
                      <m:rPr>
                        <m:sty m:val="p"/>
                      </m:rPr>
                      <m:t>,</m:t>
                    </m:r>
                    <m:r>
                      <m:t>a</m:t>
                    </m:r>
                  </m:sub>
                </m:sSub>
              </m:e>
              <m:e>
                <m:r>
                  <m:rPr>
                    <m:sty m:val="p"/>
                  </m:rPr>
                  <m:t>=</m:t>
                </m:r>
                <m:f>
                  <m:fPr>
                    <m:type m:val="bar"/>
                  </m:fPr>
                  <m:num>
                    <m:sSub>
                      <m:e>
                        <m:r>
                          <m:t>F</m:t>
                        </m:r>
                      </m:e>
                      <m:sub>
                        <m:r>
                          <m:t>t</m:t>
                        </m:r>
                        <m:r>
                          <m:rPr>
                            <m:sty m:val="p"/>
                          </m:rPr>
                          <m:t>,</m:t>
                        </m:r>
                        <m:r>
                          <m:t>a</m:t>
                        </m:r>
                      </m:sub>
                    </m:sSub>
                  </m:num>
                  <m:den>
                    <m:sSub>
                      <m:e>
                        <m:r>
                          <m:t>Z</m:t>
                        </m:r>
                      </m:e>
                      <m:sub>
                        <m:r>
                          <m:t>t</m:t>
                        </m:r>
                        <m:r>
                          <m:rPr>
                            <m:sty m:val="p"/>
                          </m:rPr>
                          <m:t>,</m:t>
                        </m:r>
                        <m:r>
                          <m:t>a</m:t>
                        </m:r>
                      </m:sub>
                    </m:sSub>
                  </m:den>
                </m:f>
                <m:d>
                  <m:dPr>
                    <m:begChr m:val="("/>
                    <m:endChr m:val=")"/>
                    <m:sepChr m:val=""/>
                    <m:grow/>
                  </m:dPr>
                  <m:e>
                    <m:r>
                      <m:t>1</m:t>
                    </m:r>
                    <m:r>
                      <m:rPr>
                        <m:sty m:val="p"/>
                      </m:rPr>
                      <m:t>−</m:t>
                    </m:r>
                    <m:sSup>
                      <m:e>
                        <m:r>
                          <m:t>e</m:t>
                        </m:r>
                      </m:e>
                      <m:sup>
                        <m:r>
                          <m:rPr>
                            <m:sty m:val="p"/>
                          </m:rPr>
                          <m:t>−</m:t>
                        </m:r>
                        <m:sSub>
                          <m:e>
                            <m:r>
                              <m:t>Z</m:t>
                            </m:r>
                          </m:e>
                          <m:sub>
                            <m:r>
                              <m:t>t</m:t>
                            </m:r>
                            <m:r>
                              <m:rPr>
                                <m:sty m:val="p"/>
                              </m:rPr>
                              <m:t>,</m:t>
                            </m:r>
                            <m:r>
                              <m:t>a</m:t>
                            </m:r>
                          </m:sub>
                        </m:sSub>
                      </m:sup>
                    </m:sSup>
                  </m:e>
                </m:d>
                <m:sSub>
                  <m:e>
                    <m:r>
                      <m:t>N</m:t>
                    </m:r>
                  </m:e>
                  <m:sub>
                    <m:r>
                      <m:t>t</m:t>
                    </m:r>
                    <m:r>
                      <m:rPr>
                        <m:sty m:val="p"/>
                      </m:rPr>
                      <m:t>,</m:t>
                    </m:r>
                    <m:r>
                      <m:t>a</m:t>
                    </m:r>
                  </m:sub>
                </m:sSub>
                <m:r>
                  <m:rPr>
                    <m:sty m:val="p"/>
                  </m:rPr>
                  <m:t>,</m:t>
                </m:r>
              </m:e>
              <m:e>
                <m:r>
                  <m:t>1</m:t>
                </m:r>
                <m:r>
                  <m:rPr>
                    <m:sty m:val="p"/>
                  </m:rPr>
                  <m:t>≤</m:t>
                </m:r>
                <m:r>
                  <m:t>t</m:t>
                </m:r>
                <m:r>
                  <m:rPr>
                    <m:sty m:val="p"/>
                  </m:rPr>
                  <m:t>≤</m:t>
                </m:r>
                <m:r>
                  <m:t>T</m:t>
                </m:r>
                <m:r>
                  <m:rPr>
                    <m:sty m:val="p"/>
                  </m:rPr>
                  <m:t>,</m:t>
                </m:r>
                <m:r>
                  <m:t>1</m:t>
                </m:r>
                <m:r>
                  <m:rPr>
                    <m:sty m:val="p"/>
                  </m:rPr>
                  <m:t>≤</m:t>
                </m:r>
                <m:r>
                  <m:t>a</m:t>
                </m:r>
                <m:r>
                  <m:rPr>
                    <m:sty m:val="p"/>
                  </m:rPr>
                  <m:t>≤</m:t>
                </m:r>
                <m:r>
                  <m:t>A</m:t>
                </m:r>
              </m:e>
            </m:mr>
            <m:mr>
              <m:e>
                <m:sSub>
                  <m:e>
                    <m:r>
                      <m:t>N</m:t>
                    </m:r>
                  </m:e>
                  <m:sub>
                    <m:r>
                      <m:t>t</m:t>
                    </m:r>
                    <m:r>
                      <m:rPr>
                        <m:sty m:val="p"/>
                      </m:rPr>
                      <m:t>+</m:t>
                    </m:r>
                    <m:r>
                      <m:t>1</m:t>
                    </m:r>
                    <m:r>
                      <m:rPr>
                        <m:sty m:val="p"/>
                      </m:rPr>
                      <m:t>,</m:t>
                    </m:r>
                    <m:r>
                      <m:t>a</m:t>
                    </m:r>
                    <m:r>
                      <m:rPr>
                        <m:sty m:val="p"/>
                      </m:rPr>
                      <m:t>+</m:t>
                    </m:r>
                    <m:r>
                      <m:t>1</m:t>
                    </m:r>
                  </m:sub>
                </m:sSub>
              </m:e>
              <m:e>
                <m:r>
                  <m:rPr>
                    <m:sty m:val="p"/>
                  </m:rPr>
                  <m:t>=</m:t>
                </m:r>
                <m:sSub>
                  <m:e>
                    <m:r>
                      <m:t>N</m:t>
                    </m:r>
                  </m:e>
                  <m:sub>
                    <m:r>
                      <m:t>t</m:t>
                    </m:r>
                    <m:r>
                      <m:rPr>
                        <m:sty m:val="p"/>
                      </m:rPr>
                      <m:t>,</m:t>
                    </m:r>
                    <m:r>
                      <m:t>a</m:t>
                    </m:r>
                    <m:r>
                      <m:rPr>
                        <m:sty m:val="p"/>
                      </m:rPr>
                      <m:t>−</m:t>
                    </m:r>
                    <m:r>
                      <m:t>1</m:t>
                    </m:r>
                  </m:sub>
                </m:sSub>
                <m:sSup>
                  <m:e>
                    <m:r>
                      <m:t>e</m:t>
                    </m:r>
                  </m:e>
                  <m:sup>
                    <m:r>
                      <m:rPr>
                        <m:sty m:val="p"/>
                      </m:rPr>
                      <m:t>−</m:t>
                    </m:r>
                    <m:sSub>
                      <m:e>
                        <m:r>
                          <m:t>Z</m:t>
                        </m:r>
                      </m:e>
                      <m:sub>
                        <m:r>
                          <m:t>t</m:t>
                        </m:r>
                        <m:r>
                          <m:rPr>
                            <m:sty m:val="p"/>
                          </m:rPr>
                          <m:t>,</m:t>
                        </m:r>
                        <m:r>
                          <m:t>a</m:t>
                        </m:r>
                        <m:r>
                          <m:rPr>
                            <m:sty m:val="p"/>
                          </m:rPr>
                          <m:t>−</m:t>
                        </m:r>
                        <m:r>
                          <m:t>1</m:t>
                        </m:r>
                      </m:sub>
                    </m:sSub>
                  </m:sup>
                </m:sSup>
                <m:r>
                  <m:rPr>
                    <m:sty m:val="p"/>
                  </m:rPr>
                  <m:t>,</m:t>
                </m:r>
              </m:e>
              <m:e>
                <m:r>
                  <m:t>1</m:t>
                </m:r>
                <m:r>
                  <m:rPr>
                    <m:sty m:val="p"/>
                  </m:rPr>
                  <m:t>≤</m:t>
                </m:r>
                <m:r>
                  <m:t>t</m:t>
                </m:r>
                <m:r>
                  <m:rPr>
                    <m:sty m:val="p"/>
                  </m:rPr>
                  <m:t>≤</m:t>
                </m:r>
                <m:r>
                  <m:t>T</m:t>
                </m:r>
                <m:r>
                  <m:rPr>
                    <m:sty m:val="p"/>
                  </m:rPr>
                  <m:t>,</m:t>
                </m:r>
                <m:r>
                  <m:t>1</m:t>
                </m:r>
                <m:r>
                  <m:rPr>
                    <m:sty m:val="p"/>
                  </m:rPr>
                  <m:t>≤</m:t>
                </m:r>
                <m:r>
                  <m:t>a</m:t>
                </m:r>
                <m:r>
                  <m:rPr>
                    <m:sty m:val="p"/>
                  </m:rPr>
                  <m:t>&lt;</m:t>
                </m:r>
                <m:r>
                  <m:t>A</m:t>
                </m:r>
              </m:e>
            </m:mr>
            <m:mr>
              <m:e>
                <m:sSub>
                  <m:e>
                    <m:r>
                      <m:t>N</m:t>
                    </m:r>
                  </m:e>
                  <m:sub>
                    <m:r>
                      <m:t>t</m:t>
                    </m:r>
                    <m:r>
                      <m:rPr>
                        <m:sty m:val="p"/>
                      </m:rPr>
                      <m:t>+</m:t>
                    </m:r>
                    <m:r>
                      <m:t>1</m:t>
                    </m:r>
                    <m:r>
                      <m:rPr>
                        <m:sty m:val="p"/>
                      </m:rPr>
                      <m:t>,</m:t>
                    </m:r>
                    <m:r>
                      <m:t>A</m:t>
                    </m:r>
                  </m:sub>
                </m:sSub>
              </m:e>
              <m:e>
                <m:r>
                  <m:rPr>
                    <m:sty m:val="p"/>
                  </m:rPr>
                  <m:t>=</m:t>
                </m:r>
                <m:sSub>
                  <m:e>
                    <m:r>
                      <m:t>N</m:t>
                    </m:r>
                  </m:e>
                  <m:sub>
                    <m:r>
                      <m:t>t</m:t>
                    </m:r>
                    <m:r>
                      <m:rPr>
                        <m:sty m:val="p"/>
                      </m:rPr>
                      <m:t>,</m:t>
                    </m:r>
                    <m:r>
                      <m:t>A</m:t>
                    </m:r>
                    <m:r>
                      <m:rPr>
                        <m:sty m:val="p"/>
                      </m:rPr>
                      <m:t>−</m:t>
                    </m:r>
                    <m:r>
                      <m:t>1</m:t>
                    </m:r>
                  </m:sub>
                </m:sSub>
                <m:sSup>
                  <m:e>
                    <m:r>
                      <m:t>e</m:t>
                    </m:r>
                  </m:e>
                  <m:sup>
                    <m:r>
                      <m:rPr>
                        <m:sty m:val="p"/>
                      </m:rPr>
                      <m:t>−</m:t>
                    </m:r>
                    <m:sSub>
                      <m:e>
                        <m:r>
                          <m:t>Z</m:t>
                        </m:r>
                      </m:e>
                      <m:sub>
                        <m:r>
                          <m:t>t</m:t>
                        </m:r>
                        <m:r>
                          <m:rPr>
                            <m:sty m:val="p"/>
                          </m:rPr>
                          <m:t>,</m:t>
                        </m:r>
                        <m:r>
                          <m:t>A</m:t>
                        </m:r>
                        <m:r>
                          <m:rPr>
                            <m:sty m:val="p"/>
                          </m:rPr>
                          <m:t>−</m:t>
                        </m:r>
                        <m:r>
                          <m:t>1</m:t>
                        </m:r>
                      </m:sub>
                    </m:sSub>
                  </m:sup>
                </m:sSup>
                <m:r>
                  <m:rPr>
                    <m:sty m:val="p"/>
                  </m:rPr>
                  <m:t>+</m:t>
                </m:r>
                <m:sSub>
                  <m:e>
                    <m:r>
                      <m:t>N</m:t>
                    </m:r>
                  </m:e>
                  <m:sub>
                    <m:r>
                      <m:t>t</m:t>
                    </m:r>
                    <m:r>
                      <m:rPr>
                        <m:sty m:val="p"/>
                      </m:rPr>
                      <m:t>,</m:t>
                    </m:r>
                    <m:r>
                      <m:t>A</m:t>
                    </m:r>
                  </m:sub>
                </m:sSub>
                <m:sSup>
                  <m:e>
                    <m:r>
                      <m:t>e</m:t>
                    </m:r>
                  </m:e>
                  <m:sup>
                    <m:r>
                      <m:rPr>
                        <m:sty m:val="p"/>
                      </m:rPr>
                      <m:t>−</m:t>
                    </m:r>
                    <m:sSub>
                      <m:e>
                        <m:r>
                          <m:t>Z</m:t>
                        </m:r>
                      </m:e>
                      <m:sub>
                        <m:r>
                          <m:t>t</m:t>
                        </m:r>
                        <m:r>
                          <m:rPr>
                            <m:sty m:val="p"/>
                          </m:rPr>
                          <m:t>,</m:t>
                        </m:r>
                        <m:r>
                          <m:t>A</m:t>
                        </m:r>
                      </m:sub>
                    </m:sSub>
                  </m:sup>
                </m:sSup>
                <m:r>
                  <m:rPr>
                    <m:sty m:val="p"/>
                  </m:rPr>
                  <m:t>,</m:t>
                </m:r>
              </m:e>
              <m:e>
                <m:r>
                  <m:t>1</m:t>
                </m:r>
                <m:r>
                  <m:rPr>
                    <m:sty m:val="p"/>
                  </m:rPr>
                  <m:t>≤</m:t>
                </m:r>
                <m:r>
                  <m:t>t</m:t>
                </m:r>
                <m:r>
                  <m:rPr>
                    <m:sty m:val="p"/>
                  </m:rPr>
                  <m:t>≤</m:t>
                </m:r>
                <m:r>
                  <m:t>T</m:t>
                </m:r>
              </m:e>
            </m:mr>
            <m:mr>
              <m:e>
                <m:sSub>
                  <m:e>
                    <m:r>
                      <m:t>Z</m:t>
                    </m:r>
                  </m:e>
                  <m:sub>
                    <m:r>
                      <m:t>t</m:t>
                    </m:r>
                    <m:r>
                      <m:rPr>
                        <m:sty m:val="p"/>
                      </m:rPr>
                      <m:t>,</m:t>
                    </m:r>
                    <m:r>
                      <m:t>a</m:t>
                    </m:r>
                  </m:sub>
                </m:sSub>
              </m:e>
              <m:e>
                <m:r>
                  <m:rPr>
                    <m:sty m:val="p"/>
                  </m:rPr>
                  <m:t>=</m:t>
                </m:r>
                <m:sSub>
                  <m:e>
                    <m:r>
                      <m:t>F</m:t>
                    </m:r>
                  </m:e>
                  <m:sub>
                    <m:r>
                      <m:t>t</m:t>
                    </m:r>
                    <m:r>
                      <m:rPr>
                        <m:sty m:val="p"/>
                      </m:rPr>
                      <m:t>,</m:t>
                    </m:r>
                    <m:r>
                      <m:t>a</m:t>
                    </m:r>
                  </m:sub>
                </m:sSub>
                <m:r>
                  <m:rPr>
                    <m:sty m:val="p"/>
                  </m:rPr>
                  <m:t>+</m:t>
                </m:r>
                <m:sSub>
                  <m:e>
                    <m:r>
                      <m:t>M</m:t>
                    </m:r>
                  </m:e>
                  <m:sub>
                    <m:r>
                      <m:t>t</m:t>
                    </m:r>
                    <m:r>
                      <m:rPr>
                        <m:sty m:val="p"/>
                      </m:rPr>
                      <m:t>,</m:t>
                    </m:r>
                    <m:r>
                      <m:t>a</m:t>
                    </m:r>
                  </m:sub>
                </m:sSub>
              </m:e>
              <m:e/>
            </m:mr>
            <m:mr>
              <m:e>
                <m:sSub>
                  <m:e>
                    <m:r>
                      <m:t>C</m:t>
                    </m:r>
                  </m:e>
                  <m:sub>
                    <m:r>
                      <m:t>t</m:t>
                    </m:r>
                    <m:r>
                      <m:rPr>
                        <m:sty m:val="p"/>
                      </m:rPr>
                      <m:t>,</m:t>
                    </m:r>
                    <m:r>
                      <m:rPr>
                        <m:sty m:val="p"/>
                      </m:rPr>
                      <m:t>.</m:t>
                    </m:r>
                  </m:sub>
                </m:sSub>
              </m:e>
              <m:e>
                <m:r>
                  <m:rPr>
                    <m:sty m:val="p"/>
                  </m:rPr>
                  <m:t>=</m:t>
                </m:r>
                <m:nary>
                  <m:naryPr>
                    <m:chr m:val="∑"/>
                    <m:limLoc m:val="undOvr"/>
                    <m:subHide m:val="0"/>
                    <m:supHide m:val="0"/>
                  </m:naryPr>
                  <m:sub>
                    <m:r>
                      <m:t>a</m:t>
                    </m:r>
                    <m:r>
                      <m:rPr>
                        <m:sty m:val="p"/>
                      </m:rPr>
                      <m:t>=</m:t>
                    </m:r>
                    <m:r>
                      <m:t>1</m:t>
                    </m:r>
                  </m:sub>
                  <m:sup>
                    <m:r>
                      <m:t>A</m:t>
                    </m:r>
                  </m:sup>
                  <m:e>
                    <m:sSub>
                      <m:e>
                        <m:r>
                          <m:t>C</m:t>
                        </m:r>
                      </m:e>
                      <m:sub>
                        <m:r>
                          <m:t>t</m:t>
                        </m:r>
                        <m:r>
                          <m:rPr>
                            <m:sty m:val="p"/>
                          </m:rPr>
                          <m:t>,</m:t>
                        </m:r>
                        <m:r>
                          <m:t>a</m:t>
                        </m:r>
                      </m:sub>
                    </m:sSub>
                  </m:e>
                </m:nary>
              </m:e>
              <m:e/>
            </m:mr>
            <m:mr>
              <m:e>
                <m:sSub>
                  <m:e>
                    <m:r>
                      <m:t>p</m:t>
                    </m:r>
                  </m:e>
                  <m:sub>
                    <m:r>
                      <m:t>t</m:t>
                    </m:r>
                    <m:r>
                      <m:rPr>
                        <m:sty m:val="p"/>
                      </m:rPr>
                      <m:t>,</m:t>
                    </m:r>
                    <m:r>
                      <m:t>a</m:t>
                    </m:r>
                  </m:sub>
                </m:sSub>
              </m:e>
              <m:e>
                <m:r>
                  <m:rPr>
                    <m:sty m:val="p"/>
                  </m:rPr>
                  <m:t>=</m:t>
                </m:r>
                <m:f>
                  <m:fPr>
                    <m:type m:val="bar"/>
                  </m:fPr>
                  <m:num>
                    <m:sSub>
                      <m:e>
                        <m:r>
                          <m:t>C</m:t>
                        </m:r>
                      </m:e>
                      <m:sub>
                        <m:r>
                          <m:t>t</m:t>
                        </m:r>
                        <m:r>
                          <m:rPr>
                            <m:sty m:val="p"/>
                          </m:rPr>
                          <m:t>,</m:t>
                        </m:r>
                        <m:r>
                          <m:t>a</m:t>
                        </m:r>
                      </m:sub>
                    </m:sSub>
                  </m:num>
                  <m:den>
                    <m:sSub>
                      <m:e>
                        <m:r>
                          <m:t>C</m:t>
                        </m:r>
                      </m:e>
                      <m:sub>
                        <m:r>
                          <m:t>t</m:t>
                        </m:r>
                        <m:r>
                          <m:rPr>
                            <m:sty m:val="p"/>
                          </m:rPr>
                          <m:t>,</m:t>
                        </m:r>
                        <m:r>
                          <m:rPr>
                            <m:sty m:val="p"/>
                          </m:rPr>
                          <m:t>.</m:t>
                        </m:r>
                      </m:sub>
                    </m:sSub>
                  </m:den>
                </m:f>
              </m:e>
              <m:e/>
            </m:mr>
            <m:mr>
              <m:e>
                <m:sSub>
                  <m:e>
                    <m:r>
                      <m:t>Y</m:t>
                    </m:r>
                  </m:e>
                  <m:sub>
                    <m:r>
                      <m:t>t</m:t>
                    </m:r>
                  </m:sub>
                </m:sSub>
              </m:e>
              <m:e>
                <m:r>
                  <m:rPr>
                    <m:sty m:val="p"/>
                  </m:rPr>
                  <m:t>=</m:t>
                </m:r>
                <m:nary>
                  <m:naryPr>
                    <m:chr m:val="∑"/>
                    <m:limLoc m:val="undOvr"/>
                    <m:subHide m:val="0"/>
                    <m:supHide m:val="0"/>
                  </m:naryPr>
                  <m:sub>
                    <m:r>
                      <m:t>a</m:t>
                    </m:r>
                    <m:r>
                      <m:rPr>
                        <m:sty m:val="p"/>
                      </m:rPr>
                      <m:t>=</m:t>
                    </m:r>
                    <m:r>
                      <m:t>1</m:t>
                    </m:r>
                  </m:sub>
                  <m:sup>
                    <m:r>
                      <m:t>A</m:t>
                    </m:r>
                  </m:sup>
                  <m:e>
                    <m:sSub>
                      <m:e>
                        <m:r>
                          <m:t>w</m:t>
                        </m:r>
                      </m:e>
                      <m:sub>
                        <m:r>
                          <m:t>t</m:t>
                        </m:r>
                        <m:r>
                          <m:rPr>
                            <m:sty m:val="p"/>
                          </m:rPr>
                          <m:t>,</m:t>
                        </m:r>
                        <m:r>
                          <m:t>a</m:t>
                        </m:r>
                      </m:sub>
                    </m:sSub>
                    <m:sSub>
                      <m:e>
                        <m:r>
                          <m:t>C</m:t>
                        </m:r>
                      </m:e>
                      <m:sub>
                        <m:r>
                          <m:t>t</m:t>
                        </m:r>
                        <m:r>
                          <m:rPr>
                            <m:sty m:val="p"/>
                          </m:rPr>
                          <m:t>,</m:t>
                        </m:r>
                        <m:r>
                          <m:t>a</m:t>
                        </m:r>
                      </m:sub>
                    </m:sSub>
                  </m:e>
                </m:nary>
              </m:e>
              <m:e/>
            </m:mr>
          </m:m>
        </m:oMath>
      </m:oMathPara>
    </w:p>
    <w:p>
      <w:pPr>
        <w:pStyle w:val="FirstParagraph"/>
      </w:pPr>
      <w:r>
        <w:t xml:space="preserve">where</w:t>
      </w:r>
    </w:p>
    <w:tbl>
      <w:tblPr>
        <w:tblStyle w:val="Table"/>
        <w:tblW w:type="pct" w:w="5000"/>
        <w:tblLook w:firstRow="0" w:lastRow="0" w:firstColumn="0" w:lastColumn="0" w:noHBand="0" w:noVBand="0" w:val="0000"/>
      </w:tblPr>
      <w:tblGrid>
        <w:gridCol w:w="2562"/>
        <w:gridCol w:w="5357"/>
      </w:tblGrid>
      <w:tr>
        <w:tc>
          <w:tcPr/>
          <w:p>
            <w:pPr>
              <w:pStyle w:val="Compact"/>
              <w:jc w:val="left"/>
            </w:pPr>
            <m:oMath>
              <m:r>
                <m:t>T</m:t>
              </m:r>
            </m:oMath>
          </w:p>
        </w:tc>
        <w:tc>
          <w:tcPr/>
          <w:p>
            <w:pPr>
              <w:pStyle w:val="Compact"/>
              <w:jc w:val="left"/>
            </w:pPr>
            <w:r>
              <w:t xml:space="preserve">is the number of years,</w:t>
            </w:r>
          </w:p>
        </w:tc>
      </w:tr>
      <w:tr>
        <w:tc>
          <w:tcPr/>
          <w:p>
            <w:pPr>
              <w:pStyle w:val="Compact"/>
              <w:jc w:val="left"/>
            </w:pPr>
            <m:oMath>
              <m:r>
                <m:t>A</m:t>
              </m:r>
            </m:oMath>
          </w:p>
        </w:tc>
        <w:tc>
          <w:tcPr/>
          <w:p>
            <w:pPr>
              <w:pStyle w:val="Compact"/>
              <w:jc w:val="left"/>
            </w:pPr>
            <w:r>
              <w:t xml:space="preserve">is the number of age classes in the population,</w:t>
            </w:r>
          </w:p>
        </w:tc>
      </w:tr>
      <w:tr>
        <w:tc>
          <w:tcPr/>
          <w:p>
            <w:pPr>
              <w:pStyle w:val="Compact"/>
              <w:jc w:val="left"/>
            </w:pPr>
            <m:oMath>
              <m:sSub>
                <m:e>
                  <m:r>
                    <m:t>N</m:t>
                  </m:r>
                </m:e>
                <m:sub>
                  <m:r>
                    <m:t>t</m:t>
                  </m:r>
                  <m:r>
                    <m:rPr>
                      <m:sty m:val="p"/>
                    </m:rPr>
                    <m:t>,</m:t>
                  </m:r>
                  <m:r>
                    <m:t>a</m:t>
                  </m:r>
                </m:sub>
              </m:sSub>
            </m:oMath>
          </w:p>
        </w:tc>
        <w:tc>
          <w:tcPr/>
          <w:p>
            <w:pPr>
              <w:pStyle w:val="Compact"/>
              <w:jc w:val="left"/>
            </w:pPr>
            <w:r>
              <w:t xml:space="preserve">is the number of fish age</w:t>
            </w:r>
            <w:r>
              <w:t xml:space="preserve"> </w:t>
            </w:r>
            <m:oMath>
              <m:r>
                <m:t>a</m:t>
              </m:r>
            </m:oMath>
            <w:r>
              <w:t xml:space="preserve"> </w:t>
            </w:r>
            <w:r>
              <w:t xml:space="preserve">in year</w:t>
            </w:r>
            <w:r>
              <w:t xml:space="preserve"> </w:t>
            </w:r>
            <m:oMath>
              <m:r>
                <m:t>t</m:t>
              </m:r>
            </m:oMath>
            <w:r>
              <w:t xml:space="preserve">,</w:t>
            </w:r>
          </w:p>
        </w:tc>
      </w:tr>
      <w:tr>
        <w:tc>
          <w:tcPr/>
          <w:p>
            <w:pPr>
              <w:pStyle w:val="Compact"/>
              <w:jc w:val="left"/>
            </w:pPr>
            <m:oMath>
              <m:sSub>
                <m:e>
                  <m:r>
                    <m:t>C</m:t>
                  </m:r>
                </m:e>
                <m:sub>
                  <m:r>
                    <m:t>t</m:t>
                  </m:r>
                  <m:r>
                    <m:rPr>
                      <m:sty m:val="p"/>
                    </m:rPr>
                    <m:t>,</m:t>
                  </m:r>
                  <m:r>
                    <m:t>a</m:t>
                  </m:r>
                </m:sub>
              </m:sSub>
            </m:oMath>
          </w:p>
        </w:tc>
        <w:tc>
          <w:tcPr/>
          <w:p>
            <w:pPr>
              <w:pStyle w:val="Compact"/>
              <w:jc w:val="left"/>
            </w:pPr>
            <w:r>
              <w:t xml:space="preserve">is the catch of age class</w:t>
            </w:r>
            <w:r>
              <w:t xml:space="preserve"> </w:t>
            </w:r>
            <m:oMath>
              <m:r>
                <m:t>a</m:t>
              </m:r>
            </m:oMath>
            <w:r>
              <w:t xml:space="preserve"> </w:t>
            </w:r>
            <w:r>
              <w:t xml:space="preserve">in year</w:t>
            </w:r>
            <w:r>
              <w:t xml:space="preserve"> </w:t>
            </w:r>
            <m:oMath>
              <m:r>
                <m:t>t</m:t>
              </m:r>
            </m:oMath>
            <w:r>
              <w:t xml:space="preserve">,</w:t>
            </w:r>
          </w:p>
        </w:tc>
      </w:tr>
      <w:tr>
        <w:tc>
          <w:tcPr/>
          <w:p>
            <w:pPr>
              <w:pStyle w:val="Compact"/>
              <w:jc w:val="left"/>
            </w:pPr>
            <m:oMath>
              <m:sSub>
                <m:e>
                  <m:r>
                    <m:t>p</m:t>
                  </m:r>
                </m:e>
                <m:sub>
                  <m:r>
                    <m:t>t</m:t>
                  </m:r>
                  <m:r>
                    <m:rPr>
                      <m:sty m:val="p"/>
                    </m:rPr>
                    <m:t>,</m:t>
                  </m:r>
                  <m:r>
                    <m:t>a</m:t>
                  </m:r>
                </m:sub>
              </m:sSub>
            </m:oMath>
          </w:p>
        </w:tc>
        <w:tc>
          <w:tcPr/>
          <w:p>
            <w:pPr>
              <w:pStyle w:val="Compact"/>
              <w:jc w:val="left"/>
            </w:pPr>
            <w:r>
              <w:t xml:space="preserve">is the proportion of the total catch in year</w:t>
            </w:r>
            <w:r>
              <w:t xml:space="preserve"> </w:t>
            </w:r>
            <m:oMath>
              <m:r>
                <m:t>t</m:t>
              </m:r>
            </m:oMath>
            <w:r>
              <w:t xml:space="preserve">, that is in age class</w:t>
            </w:r>
            <w:r>
              <w:t xml:space="preserve"> </w:t>
            </w:r>
            <m:oMath>
              <m:r>
                <m:t>a</m:t>
              </m:r>
            </m:oMath>
            <w:r>
              <w:t xml:space="preserve">,</w:t>
            </w:r>
          </w:p>
        </w:tc>
      </w:tr>
      <w:tr>
        <w:tc>
          <w:tcPr/>
          <w:p>
            <w:pPr>
              <w:pStyle w:val="Compact"/>
              <w:jc w:val="left"/>
            </w:pPr>
            <m:oMath>
              <m:sSub>
                <m:e>
                  <m:r>
                    <m:t>C</m:t>
                  </m:r>
                </m:e>
                <m:sub>
                  <m:r>
                    <m:t>t</m:t>
                  </m:r>
                </m:sub>
              </m:sSub>
            </m:oMath>
          </w:p>
        </w:tc>
        <w:tc>
          <w:tcPr/>
          <w:p>
            <w:pPr>
              <w:pStyle w:val="Compact"/>
              <w:jc w:val="left"/>
            </w:pPr>
            <w:r>
              <w:t xml:space="preserve">is the total catch in year</w:t>
            </w:r>
            <w:r>
              <w:t xml:space="preserve"> </w:t>
            </w:r>
            <m:oMath>
              <m:r>
                <m:t>t</m:t>
              </m:r>
            </m:oMath>
            <w:r>
              <w:t xml:space="preserve">,</w:t>
            </w:r>
          </w:p>
        </w:tc>
      </w:tr>
      <w:tr>
        <w:tc>
          <w:tcPr/>
          <w:p>
            <w:pPr>
              <w:pStyle w:val="Compact"/>
              <w:jc w:val="left"/>
            </w:pPr>
            <m:oMath>
              <m:sSub>
                <m:e>
                  <m:r>
                    <m:t>w</m:t>
                  </m:r>
                </m:e>
                <m:sub>
                  <m:r>
                    <m:t>a</m:t>
                  </m:r>
                </m:sub>
              </m:sSub>
            </m:oMath>
          </w:p>
        </w:tc>
        <w:tc>
          <w:tcPr/>
          <w:p>
            <w:pPr>
              <w:pStyle w:val="Compact"/>
              <w:jc w:val="left"/>
            </w:pPr>
            <w:r>
              <w:t xml:space="preserve">is the mean body weight (kg) of fish in age class</w:t>
            </w:r>
            <w:r>
              <w:t xml:space="preserve"> </w:t>
            </w:r>
            <m:oMath>
              <m:r>
                <m:t>a</m:t>
              </m:r>
            </m:oMath>
            <w:r>
              <w:t xml:space="preserve">,</w:t>
            </w:r>
          </w:p>
        </w:tc>
      </w:tr>
      <w:tr>
        <w:tc>
          <w:tcPr/>
          <w:p>
            <w:pPr>
              <w:pStyle w:val="Compact"/>
              <w:jc w:val="left"/>
            </w:pPr>
            <m:oMath>
              <m:sSub>
                <m:e>
                  <m:r>
                    <m:t>Y</m:t>
                  </m:r>
                </m:e>
                <m:sub>
                  <m:r>
                    <m:t>t</m:t>
                  </m:r>
                </m:sub>
              </m:sSub>
            </m:oMath>
          </w:p>
        </w:tc>
        <w:tc>
          <w:tcPr/>
          <w:p>
            <w:pPr>
              <w:pStyle w:val="Compact"/>
              <w:jc w:val="left"/>
            </w:pPr>
            <w:r>
              <w:t xml:space="preserve">is the total yield biomass in year</w:t>
            </w:r>
            <w:r>
              <w:t xml:space="preserve"> </w:t>
            </w:r>
            <m:oMath>
              <m:r>
                <m:t>t</m:t>
              </m:r>
            </m:oMath>
            <w:r>
              <w:t xml:space="preserve">,</w:t>
            </w:r>
          </w:p>
        </w:tc>
      </w:tr>
      <w:tr>
        <w:tc>
          <w:tcPr/>
          <w:p>
            <w:pPr>
              <w:pStyle w:val="Compact"/>
              <w:jc w:val="left"/>
            </w:pPr>
            <m:oMath>
              <m:sSub>
                <m:e>
                  <m:r>
                    <m:t>F</m:t>
                  </m:r>
                </m:e>
                <m:sub>
                  <m:r>
                    <m:t>t</m:t>
                  </m:r>
                  <m:r>
                    <m:rPr>
                      <m:sty m:val="p"/>
                    </m:rPr>
                    <m:t>,</m:t>
                  </m:r>
                  <m:r>
                    <m:t>a</m:t>
                  </m:r>
                </m:sub>
              </m:sSub>
            </m:oMath>
          </w:p>
        </w:tc>
        <w:tc>
          <w:tcPr/>
          <w:p>
            <w:pPr>
              <w:pStyle w:val="Compact"/>
              <w:jc w:val="left"/>
            </w:pPr>
            <w:r>
              <w:t xml:space="preserve">is the instantaneous fishing mortality for age class</w:t>
            </w:r>
            <w:r>
              <w:t xml:space="preserve"> </w:t>
            </w:r>
            <m:oMath>
              <m:r>
                <m:t>a</m:t>
              </m:r>
            </m:oMath>
            <w:r>
              <w:t xml:space="preserve">, in year</w:t>
            </w:r>
            <w:r>
              <w:t xml:space="preserve"> </w:t>
            </w:r>
            <m:oMath>
              <m:r>
                <m:t>t</m:t>
              </m:r>
            </m:oMath>
            <w:r>
              <w:t xml:space="preserve">,</w:t>
            </w:r>
          </w:p>
        </w:tc>
      </w:tr>
      <w:tr>
        <w:tc>
          <w:tcPr/>
          <w:p>
            <w:pPr>
              <w:pStyle w:val="Compact"/>
              <w:jc w:val="left"/>
            </w:pPr>
            <m:oMath>
              <m:sSub>
                <m:e>
                  <m:r>
                    <m:t>M</m:t>
                  </m:r>
                </m:e>
                <m:sub>
                  <m:r>
                    <m:t>t</m:t>
                  </m:r>
                  <m:r>
                    <m:rPr>
                      <m:sty m:val="p"/>
                    </m:rPr>
                    <m:t>,</m:t>
                  </m:r>
                  <m:r>
                    <m:t>a</m:t>
                  </m:r>
                </m:sub>
              </m:sSub>
            </m:oMath>
          </w:p>
        </w:tc>
        <w:tc>
          <w:tcPr/>
          <w:p>
            <w:pPr>
              <w:pStyle w:val="Compact"/>
              <w:jc w:val="left"/>
            </w:pPr>
            <w:r>
              <w:t xml:space="preserve">is the instantaneous natural mortality in year</w:t>
            </w:r>
            <w:r>
              <w:t xml:space="preserve"> </w:t>
            </w:r>
            <m:oMath>
              <m:r>
                <m:t>t</m:t>
              </m:r>
            </m:oMath>
            <w:r>
              <w:t xml:space="preserve"> </w:t>
            </w:r>
            <w:r>
              <w:t xml:space="preserve">for age class</w:t>
            </w:r>
            <w:r>
              <w:t xml:space="preserve"> </w:t>
            </w:r>
            <m:oMath>
              <m:r>
                <m:t>a</m:t>
              </m:r>
            </m:oMath>
            <w:r>
              <w:t xml:space="preserve">, and</w:t>
            </w:r>
          </w:p>
        </w:tc>
      </w:tr>
      <w:tr>
        <w:tc>
          <w:tcPr/>
          <w:p>
            <w:pPr>
              <w:pStyle w:val="Compact"/>
              <w:jc w:val="left"/>
            </w:pPr>
            <m:oMath>
              <m:sSub>
                <m:e>
                  <m:r>
                    <m:t>Z</m:t>
                  </m:r>
                </m:e>
                <m:sub>
                  <m:r>
                    <m:t>t</m:t>
                  </m:r>
                  <m:r>
                    <m:rPr>
                      <m:sty m:val="p"/>
                    </m:rPr>
                    <m:t>,</m:t>
                  </m:r>
                  <m:r>
                    <m:t>a</m:t>
                  </m:r>
                </m:sub>
              </m:sSub>
            </m:oMath>
          </w:p>
        </w:tc>
        <w:tc>
          <w:tcPr/>
          <w:p>
            <w:pPr>
              <w:pStyle w:val="Compact"/>
              <w:jc w:val="left"/>
            </w:pPr>
            <w:r>
              <w:t xml:space="preserve">is the instantaneous total mortality for age class</w:t>
            </w:r>
            <w:r>
              <w:t xml:space="preserve"> </w:t>
            </w:r>
            <m:oMath>
              <m:r>
                <m:t>a</m:t>
              </m:r>
            </m:oMath>
            <w:r>
              <w:t xml:space="preserve">, in year</w:t>
            </w:r>
            <w:r>
              <w:t xml:space="preserve"> </w:t>
            </w:r>
            <m:oMath>
              <m:r>
                <m:t>t</m:t>
              </m:r>
            </m:oMath>
            <w:r>
              <w:t xml:space="preserve">.</w:t>
            </w:r>
          </w:p>
        </w:tc>
      </w:tr>
    </w:tbl>
    <w:bookmarkEnd w:id="43"/>
    <w:bookmarkStart w:id="44" w:name="description-of-alternative-models"/>
    <w:p>
      <w:pPr>
        <w:pStyle w:val="Heading2"/>
      </w:pPr>
      <w:r>
        <w:t xml:space="preserve">Description of Alternative Models</w:t>
      </w:r>
    </w:p>
    <w:p>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w:t>
      </w:r>
      <w:r>
        <w:t xml:space="preserve"> </w:t>
      </w:r>
      <w:r>
        <w:t xml:space="preserve">Per recommendation of the SSC (10/15), please use the following convention for numbering models:</w:t>
      </w:r>
      <w:r>
        <w:t xml:space="preserve"> </w:t>
      </w:r>
      <w:r>
        <w:t xml:space="preserve">When a model constituting a</w:t>
      </w:r>
      <w:r>
        <w:t xml:space="preserve"> </w:t>
      </w:r>
      <w:r>
        <w:t xml:space="preserve">“</w:t>
      </w:r>
      <w:r>
        <w:t xml:space="preserve">major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w:t>
      </w:r>
      <w:r>
        <w:t xml:space="preserve">,</w:t>
      </w:r>
      <w:r>
        <w:t xml:space="preserve">”</w:t>
      </w:r>
      <w:r>
        <w:t xml:space="preserve"> </w:t>
      </w:r>
      <w:r>
        <w:t xml:space="preserve">where</w:t>
      </w:r>
      <w:r>
        <w:t xml:space="preserve"> </w:t>
      </w:r>
      <w:r>
        <w:rPr>
          <w:iCs/>
          <w:i/>
        </w:rPr>
        <w:t xml:space="preserve">yy</w:t>
      </w:r>
      <w:r>
        <w:t xml:space="preserve"> </w:t>
      </w:r>
      <w:r>
        <w:t xml:space="preserve">is the year (designated by the last two digits) that the model was introduced, and</w:t>
      </w:r>
      <w:r>
        <w:t xml:space="preserve"> </w:t>
      </w:r>
      <w:r>
        <w:rPr>
          <w:iCs/>
          <w:i/>
        </w:rPr>
        <w:t xml:space="preserve">j</w:t>
      </w:r>
      <w:r>
        <w:t xml:space="preserve"> </w:t>
      </w:r>
      <w:r>
        <w:t xml:space="preserve">is an integer distinguishing this particular</w:t>
      </w:r>
      <w:r>
        <w:t xml:space="preserve"> </w:t>
      </w:r>
      <w:r>
        <w:t xml:space="preserve">“</w:t>
      </w:r>
      <w:r>
        <w:t xml:space="preserve">major change</w:t>
      </w:r>
      <w:r>
        <w:t xml:space="preserve">”</w:t>
      </w:r>
      <w:r>
        <w:t xml:space="preserve"> </w:t>
      </w:r>
      <w:r>
        <w:t xml:space="preserve">model from other</w:t>
      </w:r>
      <w:r>
        <w:t xml:space="preserve"> </w:t>
      </w:r>
      <w:r>
        <w:t xml:space="preserve">“</w:t>
      </w:r>
      <w:r>
        <w:t xml:space="preserve">major change</w:t>
      </w:r>
      <w:r>
        <w:t xml:space="preserve">”</w:t>
      </w:r>
      <w:r>
        <w:t xml:space="preserve"> </w:t>
      </w:r>
      <w:r>
        <w:t xml:space="preserve">models introduced in the same year.</w:t>
      </w:r>
      <w:r>
        <w:t xml:space="preserve"> </w:t>
      </w:r>
      <w:r>
        <w:t xml:space="preserve">When a model constituting only a</w:t>
      </w:r>
      <w:r>
        <w:t xml:space="preserve"> </w:t>
      </w:r>
      <w:r>
        <w:t xml:space="preserve">“</w:t>
      </w:r>
      <w:r>
        <w:t xml:space="preserve">minor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yy.jx</w:t>
      </w:r>
      <w:r>
        <w:t xml:space="preserve">,</w:t>
      </w:r>
      <w:r>
        <w:t xml:space="preserve">”</w:t>
      </w:r>
      <w:r>
        <w:t xml:space="preserve"> </w:t>
      </w:r>
      <w:r>
        <w:t xml:space="preserve">where</w:t>
      </w:r>
      <w:r>
        <w:t xml:space="preserve"> </w:t>
      </w:r>
      <w:r>
        <w:rPr>
          <w:iCs/>
          <w:i/>
        </w:rPr>
        <w:t xml:space="preserve">x</w:t>
      </w:r>
      <w:r>
        <w:t xml:space="preserve"> </w:t>
      </w:r>
      <w:r>
        <w:t xml:space="preserve">is a letter distinguishing this particular</w:t>
      </w:r>
      <w:r>
        <w:t xml:space="preserve"> </w:t>
      </w:r>
      <w:r>
        <w:t xml:space="preserve">“</w:t>
      </w:r>
      <w:r>
        <w:t xml:space="preserve">minor change</w:t>
      </w:r>
      <w:r>
        <w:t xml:space="preserve">”</w:t>
      </w:r>
      <w:r>
        <w:t xml:space="preserve"> </w:t>
      </w:r>
      <w:r>
        <w:t xml:space="preserve">model from other</w:t>
      </w:r>
      <w:r>
        <w:t xml:space="preserve"> </w:t>
      </w:r>
      <w:r>
        <w:t xml:space="preserve">“</w:t>
      </w:r>
      <w:r>
        <w:t xml:space="preserve">minor change</w:t>
      </w:r>
      <w:r>
        <w:t xml:space="preserve">”</w:t>
      </w:r>
      <w:r>
        <w:t xml:space="preserve"> </w:t>
      </w:r>
      <w:r>
        <w:t xml:space="preserve">models derived from the original version of the same base model.</w:t>
      </w:r>
      <w:r>
        <w:t xml:space="preserve"> </w:t>
      </w:r>
      <w:r>
        <w:t xml:space="preserve">Specifically, please use one of the following four options to distinguish</w:t>
      </w:r>
      <w:r>
        <w:t xml:space="preserve"> </w:t>
      </w:r>
      <w:r>
        <w:t xml:space="preserve">“</w:t>
      </w:r>
      <w:r>
        <w:t xml:space="preserve">major</w:t>
      </w:r>
      <w:r>
        <w:t xml:space="preserve">”</w:t>
      </w:r>
      <w:r>
        <w:t xml:space="preserve"> </w:t>
      </w:r>
      <w:r>
        <w:t xml:space="preserve">from</w:t>
      </w:r>
      <w:r>
        <w:t xml:space="preserve"> </w:t>
      </w:r>
      <w:r>
        <w:t xml:space="preserve">“</w:t>
      </w:r>
      <w:r>
        <w:t xml:space="preserve">minor</w:t>
      </w:r>
      <w:r>
        <w:t xml:space="preserve">”</w:t>
      </w:r>
      <w:r>
        <w:t xml:space="preserve"> </w:t>
      </w:r>
      <w:r>
        <w:t xml:space="preserve">changes:</w:t>
      </w:r>
    </w:p>
    <w:p>
      <w:pPr>
        <w:pStyle w:val="BlockText"/>
      </w:pPr>
      <w:r>
        <w:rPr>
          <w:iCs/>
          <w:i/>
        </w:rPr>
        <w:t xml:space="preserve">Option A</w:t>
      </w:r>
      <w:r>
        <w:br/>
      </w:r>
      <w:r>
        <w:t xml:space="preserve">The original version of the base model is the base model from the earliest year relative to which the current base model constitutes only a minor change.</w:t>
      </w:r>
      <w:r>
        <w:t xml:space="preserve"> </w:t>
      </w:r>
      <w:r>
        <w:t xml:space="preserve">If Model</w:t>
      </w:r>
      <w:r>
        <w:t xml:space="preserve"> </w:t>
      </w:r>
      <w:r>
        <w:rPr>
          <w:iCs/>
          <w:i/>
        </w:rPr>
        <w:t xml:space="preserve">yy.j</w:t>
      </w:r>
      <w:r>
        <w:t xml:space="preserve"> </w:t>
      </w:r>
      <w:r>
        <w:t xml:space="preserve">is the original version of the base model and some other model (provisionally labeled</w:t>
      </w:r>
      <w:r>
        <w:t xml:space="preserve"> </w:t>
      </w:r>
      <w:r>
        <w:t xml:space="preserve">“</w:t>
      </w:r>
      <w:r>
        <w:t xml:space="preserve">Model</w:t>
      </w:r>
      <w:r>
        <w:t xml:space="preserve"> </w:t>
      </w:r>
      <w:r>
        <w:rPr>
          <w:iCs/>
          <w:i/>
        </w:rPr>
        <w:t xml:space="preserve">M</w:t>
      </w:r>
      <w:r>
        <w:t xml:space="preserve">”</w:t>
      </w:r>
      <w:r>
        <w:t xml:space="preserve">) is introduced in year 20zz, define the</w:t>
      </w:r>
      <w:r>
        <w:t xml:space="preserve"> </w:t>
      </w:r>
      <w:r>
        <w:t xml:space="preserve">“</w:t>
      </w:r>
      <w:r>
        <w:t xml:space="preserve">average difference in spawning biomass</w:t>
      </w:r>
      <w:r>
        <w:t xml:space="preserve">”</w:t>
      </w:r>
      <w:r>
        <w:t xml:space="preserve"> </w:t>
      </w:r>
      <w:r>
        <w:t xml:space="preserve">(ADSB) between Model</w:t>
      </w:r>
      <w:r>
        <w:t xml:space="preserve"> </w:t>
      </w:r>
      <w:r>
        <w:rPr>
          <w:iCs/>
          <w:i/>
        </w:rPr>
        <w:t xml:space="preserve">M</w:t>
      </w:r>
      <w:r>
        <w:t xml:space="preserve"> </w:t>
      </w:r>
      <w:r>
        <w:t xml:space="preserve">and Model</w:t>
      </w:r>
      <w:r>
        <w:t xml:space="preserve"> </w:t>
      </w:r>
      <w:r>
        <w:rPr>
          <w:iCs/>
          <w:i/>
        </w:rPr>
        <w:t xml:space="preserve">yy.j</w:t>
      </w:r>
      <w:r>
        <w:t xml:space="preserve"> </w:t>
      </w:r>
      <w:r>
        <w:t xml:space="preserve">as:</w:t>
      </w:r>
    </w:p>
    <w:p>
      <w:pPr>
        <w:pStyle w:val="FirstParagraph"/>
      </w:pPr>
      <m:oMathPara>
        <m:oMathParaPr>
          <m:jc m:val="center"/>
        </m:oMathParaPr>
        <m:oMath>
          <m:r>
            <m:t>A</m:t>
          </m:r>
          <m:r>
            <m:t>D</m:t>
          </m:r>
          <m:r>
            <m:t>S</m:t>
          </m:r>
          <m:r>
            <m:t>B</m:t>
          </m:r>
          <m:r>
            <m:rPr>
              <m:sty m:val="p"/>
            </m:rPr>
            <m:t>=</m:t>
          </m:r>
          <m:rad>
            <m:radPr>
              <m:degHide m:val="1"/>
            </m:radPr>
            <m:deg/>
            <m:e>
              <m:nary>
                <m:naryPr>
                  <m:chr m:val="∑"/>
                  <m:limLoc m:val="undOvr"/>
                  <m:subHide m:val="0"/>
                  <m:supHide m:val="0"/>
                </m:naryPr>
                <m:sub>
                  <m:r>
                    <m:t>y</m:t>
                  </m:r>
                  <m:r>
                    <m:rPr>
                      <m:sty m:val="p"/>
                    </m:rPr>
                    <m:t>=</m:t>
                  </m:r>
                  <m:r>
                    <m:t>1977</m:t>
                  </m:r>
                </m:sub>
                <m:sup>
                  <m:r>
                    <m:t>2000</m:t>
                  </m:r>
                  <m:r>
                    <m:rPr>
                      <m:sty m:val="p"/>
                    </m:rPr>
                    <m:t>+</m:t>
                  </m:r>
                  <m:r>
                    <m:t>y</m:t>
                  </m:r>
                  <m:r>
                    <m:t>y</m:t>
                  </m:r>
                </m:sup>
                <m:e>
                  <m:f>
                    <m:fPr>
                      <m:type m:val="bar"/>
                    </m:fPr>
                    <m:num>
                      <m:sSup>
                        <m:e>
                          <m:d>
                            <m:dPr>
                              <m:begChr m:val="("/>
                              <m:endChr m:val=")"/>
                              <m:sepChr m:val=""/>
                              <m:grow/>
                            </m:dPr>
                            <m:e>
                              <m:r>
                                <m:t>S</m:t>
                              </m:r>
                              <m:sSub>
                                <m:e>
                                  <m:r>
                                    <m:t>B</m:t>
                                  </m:r>
                                </m:e>
                                <m:sub>
                                  <m:r>
                                    <m:t>M</m:t>
                                  </m:r>
                                  <m:r>
                                    <m:t>o</m:t>
                                  </m:r>
                                  <m:r>
                                    <m:t>d</m:t>
                                  </m:r>
                                  <m:r>
                                    <m:t>e</m:t>
                                  </m:r>
                                  <m:r>
                                    <m:t>l</m:t>
                                  </m:r>
                                  <m:r>
                                    <m:t>M</m:t>
                                  </m:r>
                                  <m:r>
                                    <m:rPr>
                                      <m:sty m:val="p"/>
                                    </m:rPr>
                                    <m:t>,</m:t>
                                  </m:r>
                                  <m:r>
                                    <m:t>y</m:t>
                                  </m:r>
                                </m:sub>
                              </m:sSub>
                              <m:r>
                                <m:rPr>
                                  <m:sty m:val="p"/>
                                </m:rPr>
                                <m:t>/</m:t>
                              </m:r>
                              <m:r>
                                <m:t>S</m:t>
                              </m:r>
                              <m:sSub>
                                <m:e>
                                  <m:r>
                                    <m:t>B</m:t>
                                  </m:r>
                                </m:e>
                                <m:sub>
                                  <m:r>
                                    <m:t>M</m:t>
                                  </m:r>
                                  <m:r>
                                    <m:t>o</m:t>
                                  </m:r>
                                  <m:r>
                                    <m:t>d</m:t>
                                  </m:r>
                                  <m:r>
                                    <m:t>e</m:t>
                                  </m:r>
                                  <m:r>
                                    <m:t>l</m:t>
                                  </m:r>
                                  <m:r>
                                    <m:t>y</m:t>
                                  </m:r>
                                  <m:r>
                                    <m:t>y</m:t>
                                  </m:r>
                                  <m:r>
                                    <m:rPr>
                                      <m:sty m:val="p"/>
                                    </m:rPr>
                                    <m:t>.</m:t>
                                  </m:r>
                                  <m:r>
                                    <m:t>j</m:t>
                                  </m:r>
                                  <m:r>
                                    <m:rPr>
                                      <m:sty m:val="p"/>
                                    </m:rPr>
                                    <m:t>.</m:t>
                                  </m:r>
                                  <m:r>
                                    <m:t>y</m:t>
                                  </m:r>
                                </m:sub>
                              </m:sSub>
                              <m:r>
                                <m:rPr>
                                  <m:sty m:val="p"/>
                                </m:rPr>
                                <m:t>−</m:t>
                              </m:r>
                              <m:r>
                                <m:t>1</m:t>
                              </m:r>
                            </m:e>
                          </m:d>
                        </m:e>
                        <m:sup>
                          <m:r>
                            <m:t>2</m:t>
                          </m:r>
                        </m:sup>
                      </m:sSup>
                    </m:num>
                    <m:den>
                      <m:r>
                        <m:t>y</m:t>
                      </m:r>
                      <m:r>
                        <m:t>y</m:t>
                      </m:r>
                      <m:r>
                        <m:rPr>
                          <m:sty m:val="p"/>
                        </m:rPr>
                        <m:t>+</m:t>
                      </m:r>
                      <m:r>
                        <m:t>24</m:t>
                      </m:r>
                    </m:den>
                  </m:f>
                </m:e>
              </m:nary>
            </m:e>
          </m:rad>
          <m:r>
            <m:rPr>
              <m:sty m:val="p"/>
            </m:rPr>
            <m:t>,</m:t>
          </m:r>
        </m:oMath>
      </m:oMathPara>
    </w:p>
    <w:p>
      <w:pPr>
        <w:pStyle w:val="BlockText"/>
      </w:pPr>
      <w:r>
        <w:t xml:space="preserve">where both models are run with data through year 20</w:t>
      </w:r>
      <w:r>
        <w:rPr>
          <w:iCs/>
          <w:i/>
        </w:rPr>
        <w:t xml:space="preserve">yy</w:t>
      </w:r>
      <w:r>
        <w:t xml:space="preserve"> </w:t>
      </w:r>
      <w:r>
        <w:t xml:space="preserve">only (i.e., the year in which the original version of the base model was introduced). If ADSB&lt;0.1, the final name of Model</w:t>
      </w:r>
      <w:r>
        <w:t xml:space="preserve"> </w:t>
      </w:r>
      <w:r>
        <w:rPr>
          <w:iCs/>
          <w:i/>
        </w:rPr>
        <w:t xml:space="preserve">M</w:t>
      </w:r>
      <w:r>
        <w:t xml:space="preserve"> </w:t>
      </w:r>
      <w:r>
        <w:t xml:space="preserve">should be of the form</w:t>
      </w:r>
      <w:r>
        <w:t xml:space="preserve"> </w:t>
      </w:r>
      <w:r>
        <w:rPr>
          <w:iCs/>
          <w:i/>
        </w:rPr>
        <w:t xml:space="preserve">Model yy.jx</w:t>
      </w:r>
      <w:r>
        <w:t xml:space="preserve">, where</w:t>
      </w:r>
      <w:r>
        <w:t xml:space="preserve"> </w:t>
      </w:r>
      <w:r>
        <w:rPr>
          <w:iCs/>
          <w:i/>
        </w:rPr>
        <w:t xml:space="preserve">x</w:t>
      </w:r>
      <w:r>
        <w:t xml:space="preserve"> </w:t>
      </w:r>
      <w:r>
        <w:t xml:space="preserve">is a letter. If ADSB≥0.1, the final name should be of the form</w:t>
      </w:r>
      <w:r>
        <w:t xml:space="preserve"> </w:t>
      </w:r>
      <w:r>
        <w:rPr>
          <w:iCs/>
          <w:i/>
        </w:rPr>
        <w:t xml:space="preserve">Model zz.i</w:t>
      </w:r>
      <w:r>
        <w:t xml:space="preserve">, where</w:t>
      </w:r>
      <w:r>
        <w:t xml:space="preserve"> </w:t>
      </w:r>
      <w:r>
        <w:rPr>
          <w:iCs/>
          <w:i/>
        </w:rPr>
        <w:t xml:space="preserve">i</w:t>
      </w:r>
      <w:r>
        <w:t xml:space="preserve"> </w:t>
      </w:r>
      <w:r>
        <w:t xml:space="preserve">is an integer. For Tiers 4-5, survey biomass may be used in place of spawning biomass in the above.</w:t>
      </w:r>
    </w:p>
    <w:p>
      <w:pPr>
        <w:pStyle w:val="BlockText"/>
      </w:pPr>
      <w:r>
        <w:rPr>
          <w:iCs/>
          <w:i/>
        </w:rPr>
        <w:t xml:space="preserve">Option B</w:t>
      </w:r>
      <w:r>
        <w:br/>
      </w:r>
      <w:r>
        <w:t xml:space="preserve">Same as Option A, except that the model approved by the SSC in 2014 is considered to be the original version of the base model in all cases.</w:t>
      </w:r>
      <w:r>
        <w:t xml:space="preserve"> </w:t>
      </w:r>
      <w:r>
        <w:rPr>
          <w:bCs/>
          <w:b/>
        </w:rPr>
        <w:t xml:space="preserve">The SSC noted that Option B can be used if Option A</w:t>
      </w:r>
      <w:r>
        <w:rPr>
          <w:bCs/>
          <w:b/>
        </w:rPr>
        <w:t xml:space="preserve"> </w:t>
      </w:r>
      <w:r>
        <w:rPr>
          <w:bCs/>
          <w:b/>
        </w:rPr>
        <w:t xml:space="preserve">“</w:t>
      </w:r>
      <w:r>
        <w:rPr>
          <w:bCs/>
          <w:b/>
        </w:rPr>
        <w:t xml:space="preserve">poses a significant time commitment for the analyst.</w:t>
      </w:r>
      <w:r>
        <w:rPr>
          <w:bCs/>
          <w:b/>
        </w:rPr>
        <w:t xml:space="preserve">”</w:t>
      </w:r>
    </w:p>
    <w:p>
      <w:pPr>
        <w:pStyle w:val="BlockText"/>
      </w:pPr>
      <w:r>
        <w:rPr>
          <w:iCs/>
          <w:i/>
        </w:rPr>
        <w:t xml:space="preserve">Option C</w:t>
      </w:r>
      <w:r>
        <w:br/>
      </w:r>
      <w:r>
        <w:t xml:space="preserve">Same as Option A, except that the distinction between</w:t>
      </w:r>
      <w:r>
        <w:t xml:space="preserve"> </w:t>
      </w:r>
      <w:r>
        <w:t xml:space="preserve">“</w:t>
      </w:r>
      <w:r>
        <w:t xml:space="preserve">major</w:t>
      </w:r>
      <w:r>
        <w:t xml:space="preserve">”</w:t>
      </w:r>
      <w:r>
        <w:t xml:space="preserve"> </w:t>
      </w:r>
      <w:r>
        <w:t xml:space="preserve">and</w:t>
      </w:r>
      <w:r>
        <w:t xml:space="preserve"> </w:t>
      </w:r>
      <w:r>
        <w:t xml:space="preserve">“</w:t>
      </w:r>
      <w:r>
        <w:t xml:space="preserve">minor</w:t>
      </w:r>
      <w:r>
        <w:t xml:space="preserve">”</w:t>
      </w:r>
      <w:r>
        <w:t xml:space="preserve"> </w:t>
      </w:r>
      <w:r>
        <w:t xml:space="preserve">model changes is determined subjectively by the author on the basis of qualitative differences in model structure rather than the performance-based criterion described in Option A. The SSC noted that Option C can be used</w:t>
      </w:r>
      <w:r>
        <w:t xml:space="preserve"> </w:t>
      </w:r>
      <w:r>
        <w:t xml:space="preserve">“</w:t>
      </w:r>
      <w:r>
        <w:t xml:space="preserve">where needed.</w:t>
      </w:r>
      <w:r>
        <w:t xml:space="preserve">”</w:t>
      </w:r>
    </w:p>
    <w:p>
      <w:pPr>
        <w:pStyle w:val="BlockText"/>
      </w:pPr>
      <w:r>
        <w:rPr>
          <w:iCs/>
          <w:i/>
        </w:rPr>
        <w:t xml:space="preserve">Option D</w:t>
      </w:r>
      <w:r>
        <w:br/>
      </w:r>
      <w:r>
        <w:t xml:space="preserve">Options B and C combined.</w:t>
      </w:r>
    </w:p>
    <w:bookmarkEnd w:id="44"/>
    <w:bookmarkStart w:id="45" w:name="X12845717fa26034025ba7cf2170a60f7041a1e8"/>
    <w:p>
      <w:pPr>
        <w:pStyle w:val="Heading2"/>
      </w:pPr>
      <w:r>
        <w:t xml:space="preserve">Parameters Estimated Outside the Assessment Model</w:t>
      </w:r>
    </w:p>
    <w:p>
      <w:pPr>
        <w:pStyle w:val="FirstParagraph"/>
      </w:pPr>
      <w:r>
        <w:t xml:space="preserve">(Use the above heading for Tiers 1-3)</w:t>
      </w:r>
    </w:p>
    <w:bookmarkEnd w:id="45"/>
    <w:bookmarkStart w:id="46" w:name="parameter-estimates"/>
    <w:p>
      <w:pPr>
        <w:pStyle w:val="Heading2"/>
      </w:pPr>
      <w:r>
        <w:t xml:space="preserve">Parameter Estimates</w:t>
      </w:r>
    </w:p>
    <w:p>
      <w:pPr>
        <w:pStyle w:val="FirstParagraph"/>
      </w:pPr>
      <w:r>
        <w:t xml:space="preserve">(Use the above heading for Tiers 4-6)</w:t>
      </w:r>
      <w:r>
        <w:br/>
      </w:r>
      <w:r>
        <w:t xml:space="preserve">List of parameters that are estimated independently of others (e.g., the natural mortality rate, parameters governing the maturity schedule, parameters governing growth [length at age, weight at length or age]—if not estimated inside the assessment model)</w:t>
      </w:r>
    </w:p>
    <w:p>
      <w:pPr>
        <w:pStyle w:val="BodyText"/>
      </w:pPr>
      <w:r>
        <w:t xml:space="preserve">Description of how these parameters are estimated (methods do not necessarily have to be statistical; e.g.,</w:t>
      </w:r>
      <w:r>
        <w:t xml:space="preserve"> </w:t>
      </w:r>
      <w:r>
        <w:rPr>
          <w:iCs/>
          <w:i/>
        </w:rPr>
        <w:t xml:space="preserve">M</w:t>
      </w:r>
      <w:r>
        <w:t xml:space="preserve"> </w:t>
      </w:r>
      <w:r>
        <w:t xml:space="preserve">could be estimated by referencing a previously published value)</w:t>
      </w:r>
    </w:p>
    <w:bookmarkEnd w:id="46"/>
    <w:bookmarkStart w:id="47" w:name="X6b8b2176d5b312c41a18cd7ba30da12d85624da"/>
    <w:p>
      <w:pPr>
        <w:pStyle w:val="Heading2"/>
      </w:pPr>
      <w:r>
        <w:t xml:space="preserve">Parameters Estimated Inside the Assessment Model</w:t>
      </w:r>
    </w:p>
    <w:p>
      <w:pPr>
        <w:pStyle w:val="FirstParagraph"/>
      </w:pPr>
      <w:r>
        <w:t xml:space="preserve">(This section should be omitted for Tiers 4-6)</w:t>
      </w:r>
      <w:r>
        <w:br/>
      </w:r>
      <w:r>
        <w:t xml:space="preserve">List of parameters that are estimated conditionally on those described above (e.g., full-selection fishing mortality rates, parameters governing the selectivity schedule, parameters governing growth if estimated inside the assessment model)</w:t>
      </w:r>
      <w:r>
        <w:t xml:space="preserve"> </w:t>
      </w:r>
      <w:r>
        <w:t xml:space="preserve">Description of how these parameters are estimated (e.g., error structures assumed, prior distributions used, list of likelihood components)</w:t>
      </w:r>
    </w:p>
    <w:bookmarkEnd w:id="47"/>
    <w:bookmarkEnd w:id="48"/>
    <w:bookmarkStart w:id="62" w:name="results"/>
    <w:p>
      <w:pPr>
        <w:pStyle w:val="Heading1"/>
      </w:pPr>
      <w:r>
        <w:t xml:space="preserve">Results</w:t>
      </w:r>
    </w:p>
    <w:bookmarkStart w:id="49" w:name="model-evaluation"/>
    <w:p>
      <w:pPr>
        <w:pStyle w:val="Heading2"/>
      </w:pPr>
      <w:r>
        <w:t xml:space="preserve">Model Evaluation</w:t>
      </w:r>
    </w:p>
    <w:p>
      <w:pPr>
        <w:pStyle w:val="FirstParagraph"/>
      </w:pPr>
      <w:r>
        <w:t xml:space="preserve">(This section should be omitted for Tiers 4-6)</w:t>
      </w:r>
      <w:r>
        <w:br/>
      </w:r>
      <w:r>
        <w:t xml:space="preserve">Conduct within-model retrospective analysis by rerunning each model successively, dropping data one year at a time.</w:t>
      </w:r>
      <w:r>
        <w:t xml:space="preserve"> </w:t>
      </w:r>
      <w:r>
        <w:t xml:space="preserve">Specifically:</w:t>
      </w:r>
    </w:p>
    <w:p>
      <w:pPr>
        <w:numPr>
          <w:ilvl w:val="0"/>
          <w:numId w:val="1001"/>
        </w:numPr>
        <w:pStyle w:val="Compact"/>
      </w:pPr>
      <w:r>
        <w:t xml:space="preserve">Include retrospective analysis extending back 10 years, plot spawning biomass estimates and error bars, plot relative differences, and report Mohn’s</w:t>
      </w:r>
      <w:r>
        <w:t xml:space="preserve"> </w:t>
      </w:r>
      <w:r>
        <w:t xml:space="preserve">“</w:t>
      </w:r>
      <w:r>
        <w:t xml:space="preserve">rho</w:t>
      </w:r>
      <w:r>
        <w:t xml:space="preserve">”</w:t>
      </w:r>
      <w:r>
        <w:t xml:space="preserve"> </w:t>
      </w:r>
      <w:r>
        <w:t xml:space="preserve">statistic (see</w:t>
      </w:r>
      <w:r>
        <w:t xml:space="preserve"> </w:t>
      </w:r>
      <w:r>
        <w:rPr>
          <w:bCs/>
          <w:b/>
        </w:rPr>
        <w:t xml:space="preserve">Retrospective Working Group report</w:t>
      </w:r>
      <w:r>
        <w:t xml:space="preserve"> </w:t>
      </w:r>
      <w:r>
        <w:t xml:space="preserve">for formula,</w:t>
      </w:r>
      <w:r>
        <w:t xml:space="preserve"> </w:t>
      </w:r>
      <w:r>
        <w:rPr>
          <w:iCs/>
          <w:i/>
        </w:rPr>
        <w:t xml:space="preserve">not</w:t>
      </w:r>
      <w:r>
        <w:t xml:space="preserve"> </w:t>
      </w:r>
      <w:r>
        <w:t xml:space="preserve">Mohn’s 1999 paper).</w:t>
      </w:r>
    </w:p>
    <w:p>
      <w:pPr>
        <w:numPr>
          <w:ilvl w:val="0"/>
          <w:numId w:val="1001"/>
        </w:numPr>
        <w:pStyle w:val="Compact"/>
      </w:pPr>
      <w:r>
        <w:t xml:space="preserve">Communicate the uncertainty implied by retrospective variability in biomass estimates.</w:t>
      </w:r>
    </w:p>
    <w:p>
      <w:pPr>
        <w:numPr>
          <w:ilvl w:val="0"/>
          <w:numId w:val="1001"/>
        </w:numPr>
        <w:pStyle w:val="Compact"/>
      </w:pPr>
      <w:r>
        <w:t xml:space="preserve">For the time being,</w:t>
      </w:r>
      <w:r>
        <w:t xml:space="preserve"> </w:t>
      </w:r>
      <w:r>
        <w:rPr>
          <w:iCs/>
          <w:i/>
        </w:rPr>
        <w:t xml:space="preserve">do not</w:t>
      </w:r>
      <w:r>
        <w:t xml:space="preserve"> </w:t>
      </w:r>
      <w:r>
        <w:t xml:space="preserve">disqualify a model on the grounds of poor retrospective performance alone.</w:t>
      </w:r>
    </w:p>
    <w:p>
      <w:pPr>
        <w:numPr>
          <w:ilvl w:val="0"/>
          <w:numId w:val="1001"/>
        </w:numPr>
        <w:pStyle w:val="Compact"/>
      </w:pPr>
      <w:r>
        <w:rPr>
          <w:iCs/>
          <w:i/>
        </w:rPr>
        <w:t xml:space="preserve">Do</w:t>
      </w:r>
      <w:r>
        <w:t xml:space="preserve"> </w:t>
      </w:r>
      <w:r>
        <w:t xml:space="preserve">consider retrospective performance as one factor in model selection.</w:t>
      </w:r>
    </w:p>
    <w:p>
      <w:pPr>
        <w:pStyle w:val="FirstParagraph"/>
      </w:pPr>
      <w:r>
        <w:t xml:space="preserve">Description of other criteria used to evaluate the model or to choose between alternative models, including the role (if any) of uncertainty.</w:t>
      </w:r>
      <w:r>
        <w:br/>
      </w:r>
      <w:r>
        <w:t xml:space="preserve">Evaluation of the model, if only one model is presented; or evaluation of alternative models and selection of final model, if more than one model is presented.</w:t>
      </w:r>
      <w:r>
        <w:br/>
      </w:r>
      <w:r>
        <w:t xml:space="preserve">List of final parameter estimates,</w:t>
      </w:r>
      <w:r>
        <w:t xml:space="preserve"> </w:t>
      </w:r>
      <w:r>
        <w:rPr>
          <w:bCs/>
          <w:b/>
        </w:rPr>
        <w:t xml:space="preserve">with confidence bounds</w:t>
      </w:r>
      <w:r>
        <w:t xml:space="preserve"> </w:t>
      </w:r>
      <w:r>
        <w:t xml:space="preserve">or other statistical measures of uncertainty if possible (if the set of parameters includes quantities listed in the</w:t>
      </w:r>
      <w:r>
        <w:t xml:space="preserve"> </w:t>
      </w:r>
      <w:r>
        <w:t xml:space="preserve">“</w:t>
      </w:r>
      <w:r>
        <w:t xml:space="preserve">Time Series Results</w:t>
      </w:r>
      <w:r>
        <w:t xml:space="preserve">”</w:t>
      </w:r>
      <w:r>
        <w:t xml:space="preserve"> </w:t>
      </w:r>
      <w:r>
        <w:t xml:space="preserve">section below, the values of these quantities should be presented in the</w:t>
      </w:r>
      <w:r>
        <w:t xml:space="preserve"> </w:t>
      </w:r>
      <w:r>
        <w:t xml:space="preserve">“</w:t>
      </w:r>
      <w:r>
        <w:t xml:space="preserve">Time Series Results</w:t>
      </w:r>
      <w:r>
        <w:t xml:space="preserve">”</w:t>
      </w:r>
      <w:r>
        <w:t xml:space="preserve"> </w:t>
      </w:r>
      <w:r>
        <w:t xml:space="preserve">section rather than here).</w:t>
      </w:r>
    </w:p>
    <w:p>
      <w:pPr>
        <w:pStyle w:val="BodyText"/>
      </w:pPr>
      <w:r>
        <w:t xml:space="preserve">Schedules, if any, defined by final parameter estimates</w:t>
      </w:r>
    </w:p>
    <w:bookmarkEnd w:id="49"/>
    <w:bookmarkStart w:id="50" w:name="time-series-results"/>
    <w:p>
      <w:pPr>
        <w:pStyle w:val="Heading2"/>
      </w:pPr>
      <w:r>
        <w:t xml:space="preserve">Time Series Results</w:t>
      </w:r>
    </w:p>
    <w:p>
      <w:pPr>
        <w:pStyle w:val="FirstParagraph"/>
      </w:pPr>
      <w:r>
        <w:t xml:space="preserve">(This section should be omitted for Tiers 4-6.</w:t>
      </w:r>
      <w:r>
        <w:t xml:space="preserve"> </w:t>
      </w:r>
      <w:r>
        <w:t xml:space="preserve">For Tiers 1-3, items in this section pertain to the authors’ recommended model.)</w:t>
      </w:r>
    </w:p>
    <w:p>
      <w:pPr>
        <w:pStyle w:val="BodyText"/>
      </w:pPr>
      <w:r>
        <w:t xml:space="preserve">Include a table that has a set of parallel key results) for the previously accepted assessment, compared with new results. At a minimum this table should include spawning biomass and recruitment.</w:t>
      </w:r>
    </w:p>
    <w:p>
      <w:pPr>
        <w:pStyle w:val="BodyText"/>
      </w:pPr>
      <w:r>
        <w:t xml:space="preserve">Definition of biomass measures used (e.g., age range used in the</w:t>
      </w:r>
      <w:r>
        <w:t xml:space="preserve"> </w:t>
      </w:r>
      <w:r>
        <w:t xml:space="preserve">“</w:t>
      </w:r>
      <w:r>
        <w:t xml:space="preserve">age+</w:t>
      </w:r>
      <w:r>
        <w:t xml:space="preserve">”</w:t>
      </w:r>
      <w:r>
        <w:t xml:space="preserve"> </w:t>
      </w:r>
      <w:r>
        <w:t xml:space="preserve">biomass)</w:t>
      </w:r>
    </w:p>
    <w:p>
      <w:pPr>
        <w:pStyle w:val="BodyText"/>
      </w:pPr>
      <w:r>
        <w:t xml:space="preserve">Definition of recruitment measures used (e.g., numbers at age 3)</w:t>
      </w:r>
    </w:p>
    <w:p>
      <w:pPr>
        <w:pStyle w:val="BodyText"/>
      </w:pPr>
      <w:r>
        <w:t xml:space="preserve">Table of estimated biomass time series, including age+ biomass and spawning biomass,</w:t>
      </w:r>
      <w:r>
        <w:t xml:space="preserve"> </w:t>
      </w:r>
      <w:r>
        <w:rPr>
          <w:bCs/>
          <w:b/>
        </w:rPr>
        <w:t xml:space="preserve">with confidence bounds</w:t>
      </w:r>
      <w:r>
        <w:t xml:space="preserve"> </w:t>
      </w:r>
      <w:r>
        <w:t xml:space="preserve">or other statistical measure of uncertainty if possible.</w:t>
      </w:r>
      <w:r>
        <w:t xml:space="preserve"> </w:t>
      </w:r>
      <w:r>
        <w:t xml:space="preserve">The time series included in this table</w:t>
      </w:r>
      <w:r>
        <w:t xml:space="preserve"> </w:t>
      </w:r>
      <w:r>
        <w:rPr>
          <w:bCs/>
          <w:b/>
        </w:rPr>
        <w:t xml:space="preserve">should end with estimates for the projection year</w:t>
      </w:r>
      <w:r>
        <w:t xml:space="preserve">. Include estimates from previous SAFE for retrospective comparison.</w:t>
      </w:r>
    </w:p>
    <w:p>
      <w:pPr>
        <w:pStyle w:val="BodyText"/>
      </w:pPr>
      <w:r>
        <w:t xml:space="preserve">Table of estimated recruitment time series, including average of year classes spawned after 1976,</w:t>
      </w:r>
      <w:r>
        <w:t xml:space="preserve"> </w:t>
      </w:r>
      <w:r>
        <w:rPr>
          <w:bCs/>
          <w:b/>
        </w:rPr>
        <w:t xml:space="preserve">with confidence bounds</w:t>
      </w:r>
      <w:r>
        <w:t xml:space="preserve"> </w:t>
      </w:r>
      <w:r>
        <w:t xml:space="preserve">or other statistical measure of uncertainty if possible. Include estimates from previous SAFE for retrospective comparisons</w:t>
      </w:r>
    </w:p>
    <w:p>
      <w:pPr>
        <w:pStyle w:val="BodyText"/>
      </w:pPr>
      <w:r>
        <w:t xml:space="preserve">Table of estimated numbers at age.</w:t>
      </w:r>
    </w:p>
    <w:p>
      <w:pPr>
        <w:pStyle w:val="BodyText"/>
      </w:pPr>
      <w:r>
        <w:t xml:space="preserve">Graph of estimated biomass time series, with confidence bounds if possible</w:t>
      </w:r>
    </w:p>
    <w:p>
      <w:pPr>
        <w:pStyle w:val="BodyText"/>
      </w:pPr>
      <w:r>
        <w:t xml:space="preserve">Graph of estimated fishing mortality versus estimated spawning stock biomass (phase-plane plot), including applicable OFL and maximum FABC definitions for the stock.</w:t>
      </w:r>
      <w:r>
        <w:t xml:space="preserve"> </w:t>
      </w:r>
      <w:r>
        <w:t xml:space="preserve">Biomass should be scaled relative to</w:t>
      </w:r>
      <w:r>
        <w:t xml:space="preserve"> </w:t>
      </w:r>
      <m:oMath>
        <m:sSub>
          <m:e>
            <m:r>
              <m:t>B</m:t>
            </m:r>
          </m:e>
          <m:sub>
            <m:r>
              <m:t>M</m:t>
            </m:r>
            <m:r>
              <m:t>S</m:t>
            </m:r>
            <m:r>
              <m:t>Y</m:t>
            </m:r>
          </m:sub>
        </m:sSub>
      </m:oMath>
      <w:r>
        <w:t xml:space="preserve"> </w:t>
      </w:r>
      <w:r>
        <w:t xml:space="preserve">for Tier 1 stocks and %B_{35%}$ for Tier 3 stocks.</w:t>
      </w:r>
      <w:r>
        <w:t xml:space="preserve"> </w:t>
      </w:r>
      <w:r>
        <w:t xml:space="preserve">Fishing mortality should be scaled relative to the arithmetic mean of</w:t>
      </w:r>
      <w:r>
        <w:t xml:space="preserve"> </w:t>
      </w:r>
      <m:oMath>
        <m:sSub>
          <m:e>
            <m:r>
              <m:t>F</m:t>
            </m:r>
          </m:e>
          <m:sub>
            <m:r>
              <m:t>M</m:t>
            </m:r>
            <m:r>
              <m:t>S</m:t>
            </m:r>
            <m:r>
              <m:t>Y</m:t>
            </m:r>
          </m:sub>
        </m:sSub>
      </m:oMath>
      <w:r>
        <w:t xml:space="preserve"> </w:t>
      </w:r>
      <w:r>
        <w:t xml:space="preserve">for Tier 1 stocks and</w:t>
      </w:r>
      <w:r>
        <w:t xml:space="preserve"> </w:t>
      </w:r>
      <m:oMath>
        <m:sSub>
          <m:e>
            <m:r>
              <m:t>F</m:t>
            </m:r>
          </m:e>
          <m:sub>
            <m:r>
              <m:t>35</m:t>
            </m:r>
            <m:r>
              <m:rPr>
                <m:sty m:val="p"/>
              </m:rPr>
              <m:t>%</m:t>
            </m:r>
          </m:sub>
        </m:sSub>
      </m:oMath>
      <w:r>
        <w:t xml:space="preserve"> </w:t>
      </w:r>
      <w:r>
        <w:t xml:space="preserve">for Tier 3 stocks.</w:t>
      </w:r>
      <w:r>
        <w:t xml:space="preserve"> </w:t>
      </w:r>
      <w:r>
        <w:t xml:space="preserve">Include 2 years of projected</w:t>
      </w:r>
      <w:r>
        <w:t xml:space="preserve"> </w:t>
      </w:r>
      <w:r>
        <w:rPr>
          <w:iCs/>
          <w:i/>
        </w:rPr>
        <w:t xml:space="preserve">F</w:t>
      </w:r>
      <w:r>
        <w:t xml:space="preserve"> </w:t>
      </w:r>
      <w:r>
        <w:t xml:space="preserve">and</w:t>
      </w:r>
      <w:r>
        <w:t xml:space="preserve"> </w:t>
      </w:r>
      <w:r>
        <w:rPr>
          <w:iCs/>
          <w:i/>
        </w:rPr>
        <w:t xml:space="preserve">B</w:t>
      </w:r>
      <w:r>
        <w:t xml:space="preserve"> </w:t>
      </w:r>
      <w:r>
        <w:t xml:space="preserve">in the phase-plane plot.</w:t>
      </w:r>
    </w:p>
    <w:bookmarkEnd w:id="50"/>
    <w:bookmarkStart w:id="53" w:name="harvest-recommendations"/>
    <w:p>
      <w:pPr>
        <w:pStyle w:val="Heading2"/>
      </w:pPr>
      <w:r>
        <w:t xml:space="preserve">Harvest recommendations</w:t>
      </w:r>
    </w:p>
    <w:p>
      <w:pPr>
        <w:pStyle w:val="FirstParagraph"/>
      </w:pPr>
      <w:r>
        <w:t xml:space="preserve">(Items in this section pertain to the authors’ recommended model or approach.</w:t>
      </w:r>
      <w:r>
        <w:t xml:space="preserve"> </w:t>
      </w:r>
      <w:r>
        <w:t xml:space="preserve">If the structure of the recommended model or approach differs substantively from the model or approach most recently accepted by the SSC after reviewing either last year’s final SAFE report or the current year’s preliminary SAFE report, a set of parallel results for the previously accepted model or approach should be included in an attachment.)</w:t>
      </w:r>
    </w:p>
    <w:bookmarkStart w:id="51" w:name="amendment-56-reference-points"/>
    <w:p>
      <w:pPr>
        <w:pStyle w:val="Heading3"/>
      </w:pPr>
      <w:r>
        <w:t xml:space="preserve">Amendment 56 Reference Points</w:t>
      </w:r>
    </w:p>
    <w:p>
      <w:pPr>
        <w:pStyle w:val="FirstParagraph"/>
      </w:pPr>
      <w:r>
        <w:t xml:space="preserve">Amendment 56 to the GOA Groundfish Fishery Management Plan defines the</w:t>
      </w:r>
      <w:r>
        <w:t xml:space="preserve"> </w:t>
      </w:r>
      <w:r>
        <w:t xml:space="preserve">“</w:t>
      </w:r>
      <w:r>
        <w:t xml:space="preserve">overfishing level</w:t>
      </w:r>
      <w:r>
        <w:t xml:space="preserve">”</w:t>
      </w:r>
      <w:r>
        <w:t xml:space="preserve"> </w:t>
      </w:r>
      <w:r>
        <w:t xml:space="preserve">(OFL), the fishing mortality rate used to set OFL (</w:t>
      </w:r>
      <m:oMath>
        <m:sSub>
          <m:e>
            <m:r>
              <m:t>F</m:t>
            </m:r>
          </m:e>
          <m:sub>
            <m:r>
              <m:t>O</m:t>
            </m:r>
            <m:r>
              <m:t>F</m:t>
            </m:r>
            <m:r>
              <m:t>L</m:t>
            </m:r>
          </m:sub>
        </m:sSub>
      </m:oMath>
      <w:r>
        <w:t xml:space="preserve">), the maximum permissible ABC, and the fishing mortality rate used to set the maximum permissible ABC.</w:t>
      </w:r>
      <w:r>
        <w:t xml:space="preserve"> </w:t>
      </w:r>
      <w:r>
        <w:t xml:space="preserve">The fishing mortality rate used to set ABC (</w:t>
      </w:r>
      <m:oMath>
        <m:sSub>
          <m:e>
            <m:r>
              <m:t>F</m:t>
            </m:r>
          </m:e>
          <m:sub>
            <m:r>
              <m:t>A</m:t>
            </m:r>
            <m:r>
              <m:t>B</m:t>
            </m:r>
            <m:r>
              <m:t>C</m:t>
            </m:r>
          </m:sub>
        </m:sSub>
      </m:oMath>
      <w:r>
        <w:t xml:space="preserve">) may be less than this maximum permissible level, but not greater.</w:t>
      </w:r>
      <w:r>
        <w:t xml:space="preserve"> </w:t>
      </w:r>
      <w:r>
        <w:t xml:space="preserve">Because reliable estimates of reference points related to maximum sustainable yield (MSY) are currently not available but reliable estimates of reference points related to spawning per recruit are available, Northern rockfish in the GOA are managed under Tier 3 of Amendment 56.</w:t>
      </w:r>
      <w:r>
        <w:t xml:space="preserve"> </w:t>
      </w:r>
      <w:r>
        <w:t xml:space="preserve">Tier 3 uses the following reference points:</w:t>
      </w:r>
      <w:r>
        <w:t xml:space="preserve"> </w:t>
      </w:r>
      <m:oMath>
        <m:sSub>
          <m:e>
            <m:r>
              <m:t>B</m:t>
            </m:r>
          </m:e>
          <m:sub>
            <m:r>
              <m:t>40</m:t>
            </m:r>
            <m:r>
              <m:rPr>
                <m:sty m:val="p"/>
              </m:rPr>
              <m:t>%</m:t>
            </m:r>
          </m:sub>
        </m:sSub>
      </m:oMath>
      <w:r>
        <w:t xml:space="preserve">, equal to 40% of the equilibrium spawning biomass that would be obtained in the absence of fishing;</w:t>
      </w:r>
      <w:r>
        <w:t xml:space="preserve"> </w:t>
      </w:r>
      <m:oMath>
        <m:sSub>
          <m:e>
            <m:r>
              <m:t>F</m:t>
            </m:r>
          </m:e>
          <m:sub>
            <m:r>
              <m:t>35</m:t>
            </m:r>
            <m:r>
              <m:rPr>
                <m:sty m:val="p"/>
              </m:rPr>
              <m:t>%</m:t>
            </m:r>
          </m:sub>
        </m:sSub>
      </m:oMath>
      <w:r>
        <w:t xml:space="preserve">,,equal to the fishing mortality rate that reduces the equilibrium level of spawning per recruit to 35% of the level that would be obtained in the absence of fishing; and</w:t>
      </w:r>
      <w:r>
        <w:t xml:space="preserve"> </w:t>
      </w:r>
      <m:oMath>
        <m:sSub>
          <m:e>
            <m:r>
              <m:t>F</m:t>
            </m:r>
          </m:e>
          <m:sub>
            <m:r>
              <m:t>40</m:t>
            </m:r>
            <m:r>
              <m:rPr>
                <m:sty m:val="p"/>
              </m:rPr>
              <m:t>%</m:t>
            </m:r>
          </m:sub>
        </m:sSub>
      </m:oMath>
      <w:r>
        <w:t xml:space="preserve">, equal to the fishing mortality rate that reduces the equilibrium level of spawning per recruit to 40% of the level that would be obtained in the absence of fishing.</w:t>
      </w:r>
      <w:r>
        <w:t xml:space="preserve"> </w:t>
      </w:r>
      <w:r>
        <w:t xml:space="preserve">Estimation of the</w:t>
      </w:r>
      <w:r>
        <w:t xml:space="preserve"> </w:t>
      </w:r>
      <m:oMath>
        <m:sSub>
          <m:e>
            <m:r>
              <m:t>B</m:t>
            </m:r>
          </m:e>
          <m:sub>
            <m:r>
              <m:t>40</m:t>
            </m:r>
            <m:r>
              <m:rPr>
                <m:sty m:val="p"/>
              </m:rPr>
              <m:t>%</m:t>
            </m:r>
          </m:sub>
        </m:sSub>
      </m:oMath>
      <w:r>
        <w:t xml:space="preserve"> </w:t>
      </w:r>
      <w:r>
        <w:t xml:space="preserve">reference point requires an assumption regarding the equilibrium level of recruitment.</w:t>
      </w:r>
      <w:r>
        <w:t xml:space="preserve"> </w:t>
      </w:r>
      <w:r>
        <w:t xml:space="preserve">In this assessment, it is assumed that the equilibrium level of recruitment is equal to the average of age-2 recruitments between 1979 and 2020.</w:t>
      </w:r>
      <w:r>
        <w:t xml:space="preserve"> </w:t>
      </w:r>
      <w:r>
        <w:t xml:space="preserve">Because of uncertainty in very recent recruitment estimates, we lag 2 years behind model estimates in our projection.</w:t>
      </w:r>
      <w:r>
        <w:t xml:space="preserve"> </w:t>
      </w:r>
      <w:r>
        <w:t xml:space="preserve">Other useful biomass reference points which can be calculated using this assumption are</w:t>
      </w:r>
      <w:r>
        <w:t xml:space="preserve"> </w:t>
      </w:r>
      <m:oMath>
        <m:sSub>
          <m:e>
            <m:r>
              <m:t>B</m:t>
            </m:r>
          </m:e>
          <m:sub>
            <m:r>
              <m:t>100</m:t>
            </m:r>
            <m:r>
              <m:rPr>
                <m:sty m:val="p"/>
              </m:rPr>
              <m:t>%</m:t>
            </m:r>
          </m:sub>
        </m:sSub>
      </m:oMath>
      <w:r>
        <w:t xml:space="preserve"> </w:t>
      </w:r>
      <w:r>
        <w:t xml:space="preserve">and</w:t>
      </w:r>
      <w:r>
        <w:t xml:space="preserve"> </w:t>
      </w:r>
      <m:oMath>
        <m:sSub>
          <m:e>
            <m:r>
              <m:t>B</m:t>
            </m:r>
          </m:e>
          <m:sub>
            <m:r>
              <m:t>35</m:t>
            </m:r>
            <m:r>
              <m:rPr>
                <m:sty m:val="p"/>
              </m:rPr>
              <m:t>%</m:t>
            </m:r>
          </m:sub>
        </m:sSub>
      </m:oMath>
      <w:r>
        <w:t xml:space="preserve">, defined analogously to</w:t>
      </w:r>
      <w:r>
        <w:t xml:space="preserve"> </w:t>
      </w:r>
      <m:oMath>
        <m:sSub>
          <m:e>
            <m:r>
              <m:t>B</m:t>
            </m:r>
          </m:e>
          <m:sub>
            <m:r>
              <m:t>40</m:t>
            </m:r>
            <m:r>
              <m:rPr>
                <m:sty m:val="p"/>
              </m:rPr>
              <m:t>%</m:t>
            </m:r>
          </m:sub>
        </m:sSub>
      </m:oMath>
      <w:r>
        <w:t xml:space="preserve">.</w:t>
      </w:r>
      <w:r>
        <w:t xml:space="preserve"> </w:t>
      </w:r>
      <w:r>
        <w:t xml:space="preserve">The 2022 estimates of these reference points are:</w:t>
      </w:r>
    </w:p>
    <w:p>
      <w:pPr>
        <w:pStyle w:val="BodyText"/>
      </w:pPr>
      <w:r>
        <w:rPr>
          <w:bCs/>
          <w:b/>
        </w:rPr>
        <w:t xml:space="preserve">TABLE HERE</w:t>
      </w:r>
    </w:p>
    <w:bookmarkEnd w:id="51"/>
    <w:bookmarkStart w:id="52" w:name="Xfa3c4e07739614d592fb619e55ba789122aa71d"/>
    <w:p>
      <w:pPr>
        <w:pStyle w:val="Heading3"/>
      </w:pPr>
      <w:r>
        <w:t xml:space="preserve">Specification of OFL and Maximum Permissible ABC</w:t>
      </w:r>
    </w:p>
    <w:p>
      <w:pPr>
        <w:pStyle w:val="FirstParagraph"/>
      </w:pPr>
      <w:r>
        <w:t xml:space="preserve">Female spawning biomass for 2022 is estimated at 40,462 t.</w:t>
      </w:r>
      <w:r>
        <w:t xml:space="preserve"> </w:t>
      </w:r>
      <w:r>
        <w:t xml:space="preserve">This is above the</w:t>
      </w:r>
      <w:r>
        <w:t xml:space="preserve"> </w:t>
      </w:r>
      <m:oMath>
        <m:sSub>
          <m:e>
            <m:r>
              <m:t>B</m:t>
            </m:r>
          </m:e>
          <m:sub>
            <m:r>
              <m:t>40</m:t>
            </m:r>
            <m:r>
              <m:rPr>
                <m:sty m:val="p"/>
              </m:rPr>
              <m:t>%</m:t>
            </m:r>
          </m:sub>
        </m:sSub>
      </m:oMath>
      <w:r>
        <w:t xml:space="preserve"> </w:t>
      </w:r>
      <w:r>
        <w:t xml:space="preserve">value of 33,933 t.</w:t>
      </w:r>
      <w:r>
        <w:t xml:space="preserve"> </w:t>
      </w:r>
      <w:r>
        <w:t xml:space="preserve">Under Amendment 56, Tier 3, the maximum permissible fishing mortality for ABC is</w:t>
      </w:r>
      <w:r>
        <w:t xml:space="preserve"> </w:t>
      </w:r>
      <m:oMath>
        <m:sSub>
          <m:e>
            <m:r>
              <m:t>F</m:t>
            </m:r>
          </m:e>
          <m:sub>
            <m:r>
              <m:t>40</m:t>
            </m:r>
            <m:r>
              <m:rPr>
                <m:sty m:val="p"/>
              </m:rPr>
              <m:t>%</m:t>
            </m:r>
          </m:sub>
        </m:sSub>
      </m:oMath>
      <w:r>
        <w:t xml:space="preserve"> </w:t>
      </w:r>
      <w:r>
        <w:t xml:space="preserve">and fishing mortality for OFL is</w:t>
      </w:r>
      <w:r>
        <w:t xml:space="preserve"> </w:t>
      </w:r>
      <m:oMath>
        <m:sSub>
          <m:e>
            <m:r>
              <m:t>F</m:t>
            </m:r>
          </m:e>
          <m:sub>
            <m:r>
              <m:t>35</m:t>
            </m:r>
            <m:r>
              <m:rPr>
                <m:sty m:val="p"/>
              </m:rPr>
              <m:t>%</m:t>
            </m:r>
          </m:sub>
        </m:sSub>
      </m:oMath>
      <w:r>
        <w:t xml:space="preserve">.</w:t>
      </w:r>
      <w:r>
        <w:t xml:space="preserve"> </w:t>
      </w:r>
      <w:r>
        <w:t xml:space="preserve">Applying these fishing mortality rates for 2022, yields the following ABC and OFL:</w:t>
      </w:r>
    </w:p>
    <w:p>
      <w:pPr>
        <w:pStyle w:val="BodyText"/>
      </w:pPr>
      <w:r>
        <w:rPr>
          <w:bCs/>
          <w:b/>
        </w:rPr>
        <w:t xml:space="preserve">TABLE HERE</w:t>
      </w:r>
    </w:p>
    <w:p>
      <w:pPr>
        <w:pStyle w:val="BodyText"/>
      </w:pPr>
      <w:r>
        <w:t xml:space="preserve">A standard set of projections is required for each stock managed under Tiers 1, 2, or 3 of Amendment 56.</w:t>
      </w:r>
      <w:r>
        <w:t xml:space="preserve"> </w:t>
      </w:r>
      <w:r>
        <w:t xml:space="preserve">This set of projections encompasses seven harvest scenarios designed to satisfy the requirements of Amendment 56, the National Environmental Policy Act, and the Magnuson-Stevens Fishery Conservation and Management Act (MSFCMA).</w:t>
      </w:r>
    </w:p>
    <w:p>
      <w:pPr>
        <w:pStyle w:val="BodyText"/>
      </w:pPr>
      <w:r>
        <w:t xml:space="preserve">For each scenario, the projections begin with the vector of 2022 numbers at age as estimated in the assessment.</w:t>
      </w:r>
      <w:r>
        <w:t xml:space="preserve"> </w:t>
      </w:r>
      <w:r>
        <w:t xml:space="preserve">This vector is then projected forward to the beginning of 2023 using the schedules of natural mortality and selectivity described in the assessment and the best available estimate of total (year-end) catch for 2022.</w:t>
      </w:r>
      <w:r>
        <w:t xml:space="preserve"> </w:t>
      </w:r>
      <w:r>
        <w:t xml:space="preserve">In each subsequent year, the fishing mortality rate is prescribed on the basis of the spawning biomass in that year and the respective harvest scenario.</w:t>
      </w:r>
      <w:r>
        <w:t xml:space="preserve"> </w:t>
      </w:r>
      <w:r>
        <w:t xml:space="preserve">In each year, recruitment is drawnfrom an inverse Gaussian distribution whose parameters consist of maximum likelihood estimates determined from recruitments estimated in the assessment.</w:t>
      </w:r>
      <w:r>
        <w:t xml:space="preserve"> </w:t>
      </w:r>
      <w:r>
        <w:t xml:space="preserve">Spawning biomass is computed in each year based on the time of peak spawning and the maturity and weight schedules described in the assessment.</w:t>
      </w:r>
      <w:r>
        <w:t xml:space="preserve"> </w:t>
      </w:r>
      <w:r>
        <w:t xml:space="preserve">Total catch after 2022 is assumed to equal the catch associated with the respective harvest scenario in all years.</w:t>
      </w:r>
      <w:r>
        <w:t xml:space="preserve"> </w:t>
      </w:r>
      <w:r>
        <w:t xml:space="preserve">This projection scheme is run 1,000 times to obtain distributions of possible future stock sizes, fishing mortality rates, and catches.</w:t>
      </w:r>
    </w:p>
    <w:p>
      <w:pPr>
        <w:pStyle w:val="BodyText"/>
      </w:pPr>
      <w:r>
        <w:t xml:space="preserve">Five of the seven standard scenarios will be used in an Environmental Assessment prepared in conjunction with the final SAFE.</w:t>
      </w:r>
      <w:r>
        <w:t xml:space="preserve"> </w:t>
      </w:r>
      <w:r>
        <w:t xml:space="preserve">These five scenarios, which are designed to provide a range of harvest alternatives that are likely to bracket the final TAC for 2019, are as follow (</w:t>
      </w:r>
      <w:r>
        <w:t xml:space="preserve">“</w:t>
      </w:r>
      <m:oMath>
        <m:r>
          <m:t>m</m:t>
        </m:r>
        <m:r>
          <m:t>a</m:t>
        </m:r>
        <m:r>
          <m:t>x</m:t>
        </m:r>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2"/>
        </w:numPr>
      </w:pPr>
      <w:r>
        <w:t xml:space="preserve">Scenario 1: In all future years,</w:t>
      </w:r>
      <w:r>
        <w:t xml:space="preserve"> </w:t>
      </w:r>
      <w:r>
        <w:rPr>
          <w:iCs/>
          <w:i/>
        </w:rPr>
        <w:t xml:space="preserve">F</w:t>
      </w:r>
      <w:r>
        <w:t xml:space="preserve"> </w:t>
      </w:r>
      <w:r>
        <w:t xml:space="preserve">is set equal to</w:t>
      </w:r>
      <w:r>
        <w:t xml:space="preserve"> </w:t>
      </w:r>
      <m:oMath>
        <m:r>
          <m:t>m</m:t>
        </m:r>
        <m:r>
          <m:t>a</m:t>
        </m:r>
        <m:r>
          <m:t>x</m:t>
        </m:r>
        <m:sSub>
          <m:e>
            <m:r>
              <m:t>F</m:t>
            </m:r>
          </m:e>
          <m:sub>
            <m:r>
              <m:t>A</m:t>
            </m:r>
            <m:r>
              <m:t>B</m:t>
            </m:r>
            <m:r>
              <m:t>C</m:t>
            </m:r>
          </m:sub>
        </m:sSub>
      </m:oMath>
      <w:r>
        <w:t xml:space="preserve">. (Rationale: Historically, TAC has been constrained by ABC, so this scenario provides a likely upper limit on future TACs.)</w:t>
      </w:r>
    </w:p>
    <w:p>
      <w:pPr>
        <w:numPr>
          <w:ilvl w:val="0"/>
          <w:numId w:val="1002"/>
        </w:numPr>
      </w:pPr>
      <w:r>
        <w:t xml:space="preserve">Scenario 2: In 2022 and 2023,</w:t>
      </w:r>
      <w:r>
        <w:t xml:space="preserve"> </w:t>
      </w:r>
      <w:r>
        <w:rPr>
          <w:iCs/>
          <w:i/>
        </w:rPr>
        <w:t xml:space="preserve">F</w:t>
      </w:r>
      <w:r>
        <w:t xml:space="preserve"> </w:t>
      </w:r>
      <w:r>
        <w:t xml:space="preserve">is set equal to a constant fraction of</w:t>
      </w:r>
      <w:r>
        <w:t xml:space="preserve"> </w:t>
      </w:r>
      <m:oMath>
        <m:r>
          <m:t>m</m:t>
        </m:r>
        <m:r>
          <m:t>a</m:t>
        </m:r>
        <m:r>
          <m:t>x</m:t>
        </m:r>
        <m:sSub>
          <m:e>
            <m:r>
              <m:t>F</m:t>
            </m:r>
          </m:e>
          <m:sub>
            <m:r>
              <m:t>A</m:t>
            </m:r>
            <m:r>
              <m:t>B</m:t>
            </m:r>
            <m:r>
              <m:t>C</m:t>
            </m:r>
          </m:sub>
        </m:sSub>
      </m:oMath>
      <w:r>
        <w:t xml:space="preserve">, where this fraction is equal to the ratio of the realized catches in 2019-2021 to the ABC recommended in the assessment for each of those years.</w:t>
      </w:r>
      <w:r>
        <w:t xml:space="preserve"> </w:t>
      </w:r>
      <w:r>
        <w:t xml:space="preserve">For the remainder of the future years, maximum permissible ABC is used. (Rationale: In many fisheries the ABC is routinely not fully utilized, so assuming an average ratio catch to ABC will yield more realistic projections.)</w:t>
      </w:r>
    </w:p>
    <w:p>
      <w:pPr>
        <w:numPr>
          <w:ilvl w:val="0"/>
          <w:numId w:val="1002"/>
        </w:numPr>
      </w:pPr>
      <w:r>
        <w:t xml:space="preserve">Scenario 3: In all future years,</w:t>
      </w:r>
      <w:r>
        <w:t xml:space="preserve"> </w:t>
      </w:r>
      <w:r>
        <w:rPr>
          <w:iCs/>
          <w:i/>
        </w:rPr>
        <w:t xml:space="preserve">F</w:t>
      </w:r>
      <w:r>
        <w:t xml:space="preserve"> </w:t>
      </w:r>
      <w:r>
        <w:t xml:space="preserve">is set equal to 50% of</w:t>
      </w:r>
      <w:r>
        <w:t xml:space="preserve"> </w:t>
      </w:r>
      <m:oMath>
        <m:r>
          <m:t>m</m:t>
        </m:r>
        <m:r>
          <m:t>a</m:t>
        </m:r>
        <m:r>
          <m:t>x</m:t>
        </m:r>
        <m:sSub>
          <m:e>
            <m:r>
              <m:t>F</m:t>
            </m:r>
          </m:e>
          <m:sub>
            <m:r>
              <m:t>A</m:t>
            </m:r>
            <m:r>
              <m:t>B</m:t>
            </m:r>
            <m:r>
              <m:t>C</m:t>
            </m:r>
          </m:sub>
        </m:sSub>
      </m:oMath>
      <w:r>
        <w:t xml:space="preserve">. (Rationale: This scenario provides a likely lower bound on FABC that still allows future harvest rates to be adjusted downward when stocks fall below reference levels.)</w:t>
      </w:r>
    </w:p>
    <w:p>
      <w:pPr>
        <w:numPr>
          <w:ilvl w:val="0"/>
          <w:numId w:val="1002"/>
        </w:numPr>
      </w:pPr>
      <w:r>
        <w:t xml:space="preserve">Scenario 4: In all future years,</w:t>
      </w:r>
      <w:r>
        <w:t xml:space="preserve"> </w:t>
      </w:r>
      <w:r>
        <w:rPr>
          <w:iCs/>
          <w:i/>
        </w:rPr>
        <w:t xml:space="preserve">F</w:t>
      </w:r>
      <w:r>
        <w:t xml:space="preserve"> </w:t>
      </w:r>
      <w:r>
        <w:t xml:space="preserve">is set equal to the 2013-2017 average</w:t>
      </w:r>
      <w:r>
        <w:t xml:space="preserve"> </w:t>
      </w:r>
      <w:r>
        <w:rPr>
          <w:iCs/>
          <w:i/>
        </w:rPr>
        <w:t xml:space="preserve">F</w:t>
      </w:r>
      <w:r>
        <w:t xml:space="preserve">. (Rationale: For some stocks, TAC can be well below ABC, and recent average</w:t>
      </w:r>
      <w:r>
        <w:t xml:space="preserve"> </w:t>
      </w:r>
      <w:r>
        <w:rPr>
          <w:iCs/>
          <w:i/>
        </w:rPr>
        <w:t xml:space="preserve">F</w:t>
      </w:r>
      <w:r>
        <w:t xml:space="preserve"> </w:t>
      </w:r>
      <w:r>
        <w:t xml:space="preserve">may provide a better indicator of</w:t>
      </w:r>
      <w:r>
        <w:t xml:space="preserve"> </w:t>
      </w:r>
      <m:oMath>
        <m:sSub>
          <m:e>
            <m:r>
              <m:t>F</m:t>
            </m:r>
          </m:e>
          <m:sub>
            <m:r>
              <m:t>T</m:t>
            </m:r>
            <m:r>
              <m:t>A</m:t>
            </m:r>
            <m:r>
              <m:t>C</m:t>
            </m:r>
          </m:sub>
        </m:sSub>
      </m:oMath>
      <w:r>
        <w:t xml:space="preserve"> </w:t>
      </w:r>
      <w:r>
        <w:t xml:space="preserve">than</w:t>
      </w:r>
      <w:r>
        <w:t xml:space="preserve"> </w:t>
      </w:r>
      <m:oMath>
        <m:sSub>
          <m:e>
            <m:r>
              <m:t>F</m:t>
            </m:r>
          </m:e>
          <m:sub>
            <m:r>
              <m:t>A</m:t>
            </m:r>
            <m:r>
              <m:t>B</m:t>
            </m:r>
            <m:r>
              <m:t>C</m:t>
            </m:r>
          </m:sub>
        </m:sSub>
      </m:oMath>
      <w:r>
        <w:t xml:space="preserve">.)</w:t>
      </w:r>
    </w:p>
    <w:p>
      <w:pPr>
        <w:numPr>
          <w:ilvl w:val="0"/>
          <w:numId w:val="1002"/>
        </w:numPr>
      </w:pPr>
      <w:r>
        <w:t xml:space="preserve">Scenario 5: In all future years,</w:t>
      </w:r>
      <w:r>
        <w:t xml:space="preserve"> </w:t>
      </w:r>
      <w:r>
        <w:rPr>
          <w:iCs/>
          <w:i/>
        </w:rPr>
        <w:t xml:space="preserve">F</w:t>
      </w:r>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w:t>
      </w:r>
      <w:r>
        <w:t xml:space="preserve"> </w:t>
      </w:r>
      <w:r>
        <w:t xml:space="preserve">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3"/>
        </w:numPr>
      </w:pPr>
      <w:r>
        <w:t xml:space="preserve">Scenario 6: In all future years,</w:t>
      </w:r>
      <w:r>
        <w:t xml:space="preserve"> </w:t>
      </w:r>
      <w:r>
        <w:rPr>
          <w:iCs/>
          <w:i/>
        </w:rPr>
        <w:t xml:space="preserve">F</w:t>
      </w:r>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1) above its MSY level in 2018 or 2) above ½ of its MSY level in 2018 and above its MSY level in 2028 under this scenario, then the stock is not overfished.)</w:t>
      </w:r>
    </w:p>
    <w:p>
      <w:pPr>
        <w:numPr>
          <w:ilvl w:val="0"/>
          <w:numId w:val="1003"/>
        </w:numPr>
      </w:pPr>
      <w:r>
        <w:t xml:space="preserve">Scenario 7: In 2022 and 2023,</w:t>
      </w:r>
      <w:r>
        <w:t xml:space="preserve"> </w:t>
      </w:r>
      <w:r>
        <w:rPr>
          <w:iCs/>
          <w:i/>
        </w:rPr>
        <w:t xml:space="preserve">F</w:t>
      </w:r>
      <w:r>
        <w:t xml:space="preserve"> </w:t>
      </w:r>
      <w:r>
        <w:t xml:space="preserve">is set equal to max</w:t>
      </w:r>
      <w:r>
        <w:t xml:space="preserve"> </w:t>
      </w:r>
      <m:oMath>
        <m:sSub>
          <m:e>
            <m:r>
              <m:t>F</m:t>
            </m:r>
          </m:e>
          <m:sub>
            <m:r>
              <m:t>A</m:t>
            </m:r>
            <m:r>
              <m:t>B</m:t>
            </m:r>
            <m:r>
              <m:t>C</m:t>
            </m:r>
          </m:sub>
        </m:sSub>
      </m:oMath>
      <w:r>
        <w:t xml:space="preserve">, and in all subsequent years F is set equal to FOFL. (Rationale: This scenario determines whether a stock is approaching an overfished condition. If the stock is 1) above its MSY level in 2020 or 2) above 1/2 of its MSY level in 2020 and expected to be above its MSY level in 2030 under this scenario, then the stock is not approaching an overfished condition.)</w:t>
      </w:r>
    </w:p>
    <w:p>
      <w:pPr>
        <w:pStyle w:val="FirstParagraph"/>
      </w:pPr>
      <w:r>
        <w:t xml:space="preserve">Spawning biomass, fishing mortality, and yield are tabulated for the seven standard projection scenarios (Table 10.16). The difference for this assessment for projections is in Scenario 2 (Author’s</w:t>
      </w:r>
      <w:r>
        <w:t xml:space="preserve"> </w:t>
      </w:r>
      <w:r>
        <w:rPr>
          <w:iCs/>
          <w:i/>
        </w:rPr>
        <w:t xml:space="preserve">F</w:t>
      </w:r>
      <w:r>
        <w:t xml:space="preserve">); we use pre-specified catches to increase accuracy of short-term projections in fisheries where the catch is usually less than the ABC. This was suggested to help management with setting preliminary ABCs and OFLs for two-year ahead specifications.</w:t>
      </w:r>
    </w:p>
    <w:p>
      <w:pPr>
        <w:pStyle w:val="BodyText"/>
      </w:pPr>
      <w:r>
        <w:t xml:space="preserve">In addition to the seven standard harvest scenarios, Amendments 48/48 to the BSAI and GOA Groundfish Fishery Management Plans require projections of the likely OFL two years into the future.</w:t>
      </w:r>
      <w:r>
        <w:t xml:space="preserve"> </w:t>
      </w:r>
      <w:r>
        <w:t xml:space="preserve">While Scenario 6 gives the best estimate of OFL for 2022, it does not provide the best estimate of OFL for 2023, because the mean 2022 catch under Scenario 6 is predicated on the 2022 catch being equal to the 2022 OFL, whereas the actual 2022 catch will likely be less than the 2022 OFL.</w:t>
      </w:r>
      <w:r>
        <w:t xml:space="preserve"> </w:t>
      </w:r>
      <w:r>
        <w:t xml:space="preserve">The executive summary contains the appropriate one- and two-year ahead projections for both ABC and OFL.</w:t>
      </w:r>
    </w:p>
    <w:bookmarkEnd w:id="52"/>
    <w:bookmarkEnd w:id="53"/>
    <w:bookmarkStart w:id="61" w:name="risk-table-amnd-abc-recommendation"/>
    <w:p>
      <w:pPr>
        <w:pStyle w:val="Heading2"/>
      </w:pPr>
      <w:r>
        <w:t xml:space="preserve">Risk Table amnd ABC recommendation</w:t>
      </w:r>
    </w:p>
    <w:p>
      <w:pPr>
        <w:pStyle w:val="FirstParagraph"/>
      </w:pPr>
      <w:r>
        <w:t xml:space="preserve">The SSC in its December 2018 minutes recommended that all assessment authors use the risk table when determining whether to recommend an ABC lower than the maximum permissible. The following template is used to complete the risk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160"/>
        <w:gridCol w:w="288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Fishery Performance</w:t>
            </w:r>
          </w:p>
        </w:tc>
      </w:tr>
      <w:tr>
        <w:trPr>
          <w:cantSplit/>
          <w:trHeight w:val="36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Normal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Typical to moderately increased uncertainty/minor unresolved issues in assessment.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typical for the stock; recent recruitment is within normal range.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 apparent environmental/ecosystem concerns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 apparent fishery/resource-use performance and/or behavior concerns</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2: Substantially increased concerns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Substantially increased assessment uncertainty/ unresolved issues.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unusual; abundance increasing or decreasing faster than has been seen recently, or recruitment pattern is atypical.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Some indicators showing adverse signals relevant to the stock but the pattern is not consistent across all indicators.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Some indicators showing adverse signals but the pattern is not consistent across all indicators</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3: Major Concern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Major problems with the stock assessment; very poor fits to data; high level of uncertainty; strong retrospective bias.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highly unusual; very rapid changes in stock abundance, or highly atypical recruitment patterns.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Multiple indicators showing consistent adverse signals a) across the same trophic level as the stock, and/or b) up or down trophic levels (i.e., predators and prey of the stock)</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Multiple indicators showing consistent adverse signals a) across different sectors, and/or b) different gear types</w:t>
            </w:r>
          </w:p>
        </w:tc>
      </w:tr>
      <w:tr>
        <w:trPr>
          <w:cantSplit/>
          <w:trHeight w:val="360" w:hRule="auto"/>
        </w:trPr>
        body4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4: Extreme concern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Severe problems with the stock assessment; severe retrospective bias. Assessment considered unreliable.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unprecedented; More rapid changes in stock abundance than have ever been seen previously, or a very long stretch of poor recruitment compared to previous patterns.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Extreme anomalies in multiple ecosystem indicators that are highly likely to impact the stock; Potential for cascading effects on other ecosystem components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Extreme anomalies in multiple performance  indicators that are highly likely to impact the stock</w:t>
            </w:r>
          </w:p>
        </w:tc>
      </w:tr>
    </w:tbl>
    <w:p>
      <w:pPr>
        <w:pStyle w:val="BodyText"/>
      </w:pPr>
      <w:r>
        <w:t xml:space="preserve">The table is applied by evaluating the severity of four types of considerations that could be used to support a scientific recommendation to reduce the ABC from the maximum permissible.</w:t>
      </w:r>
      <w:r>
        <w:t xml:space="preserve"> </w:t>
      </w:r>
      <w:r>
        <w:t xml:space="preserve">These considerations are stock assessment considerations, population dynamics considerations, environmental/ecosystem considerations, and fishery performance. Examples of the types of concerns that might be relevant include the following:</w:t>
      </w:r>
    </w:p>
    <w:p>
      <w:pPr>
        <w:numPr>
          <w:ilvl w:val="0"/>
          <w:numId w:val="1004"/>
        </w:numPr>
        <w:pStyle w:val="Compact"/>
      </w:pPr>
      <w:r>
        <w:t xml:space="preserve">“Assessment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pPr>
        <w:numPr>
          <w:ilvl w:val="0"/>
          <w:numId w:val="1004"/>
        </w:numPr>
        <w:pStyle w:val="Compact"/>
      </w:pPr>
      <w:r>
        <w:t xml:space="preserve">“Population dynamics considerations—decreasing biomass trend, poor recent recruitment, inability of the stock to rebuild, abrupt increase or decrease in stock abundance.</w:t>
      </w:r>
    </w:p>
    <w:p>
      <w:pPr>
        <w:numPr>
          <w:ilvl w:val="0"/>
          <w:numId w:val="1004"/>
        </w:numPr>
        <w:pStyle w:val="Compact"/>
      </w:pPr>
      <w:r>
        <w:t xml:space="preserve">“Environmental/ecosystem considerations—adverse trends in environmental/ecosystem indicators, ecosystem model results, decreases in ecosystem productivity, decreases in prey abundance or availability, increases or increases in predator abundance or productivity.</w:t>
      </w:r>
    </w:p>
    <w:p>
      <w:pPr>
        <w:numPr>
          <w:ilvl w:val="0"/>
          <w:numId w:val="1004"/>
        </w:numPr>
        <w:pStyle w:val="Compact"/>
      </w:pPr>
      <w:r>
        <w:t xml:space="preserve">“</w:t>
      </w:r>
      <w:r>
        <w:t xml:space="preserve">Fishery performance—fishery CPUE is showing a contrasting pattern from the stock biomass trend, unusual spatial pattern of fishing, changes in the percent of TAC taken, changes in the duration of fishery openings.</w:t>
      </w:r>
      <w:r>
        <w:t xml:space="preserve">”</w:t>
      </w:r>
    </w:p>
    <w:bookmarkStart w:id="54" w:name="assessment-considerations"/>
    <w:p>
      <w:pPr>
        <w:pStyle w:val="Heading4"/>
      </w:pPr>
      <w:r>
        <w:t xml:space="preserve">Assessment considerations</w:t>
      </w:r>
    </w:p>
    <w:bookmarkEnd w:id="54"/>
    <w:bookmarkStart w:id="55" w:name="population-dynamics-considerations"/>
    <w:p>
      <w:pPr>
        <w:pStyle w:val="Heading4"/>
      </w:pPr>
      <w:r>
        <w:t xml:space="preserve">Population dynamics considerations</w:t>
      </w:r>
    </w:p>
    <w:bookmarkEnd w:id="55"/>
    <w:bookmarkStart w:id="56" w:name="environmentalecosystem-considerations"/>
    <w:p>
      <w:pPr>
        <w:pStyle w:val="Heading4"/>
      </w:pPr>
      <w:r>
        <w:t xml:space="preserve">Environmental/Ecosystem considerations</w:t>
      </w:r>
    </w:p>
    <w:bookmarkEnd w:id="56"/>
    <w:bookmarkStart w:id="57" w:name="fishery-performance"/>
    <w:p>
      <w:pPr>
        <w:pStyle w:val="Heading4"/>
      </w:pPr>
      <w:r>
        <w:t xml:space="preserve">Fishery performance</w:t>
      </w:r>
    </w:p>
    <w:bookmarkEnd w:id="57"/>
    <w:bookmarkStart w:id="58" w:name="summary-and-abc-recommendation"/>
    <w:p>
      <w:pPr>
        <w:pStyle w:val="Heading4"/>
      </w:pPr>
      <w:r>
        <w:t xml:space="preserve">Summary and ABC recommendation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Fishery Performance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r>
    </w:tbl>
    <w:bookmarkEnd w:id="58"/>
    <w:bookmarkStart w:id="59" w:name="area-allocation-of-harvests"/>
    <w:p>
      <w:pPr>
        <w:pStyle w:val="Heading3"/>
      </w:pPr>
      <w:r>
        <w:t xml:space="preserve">Area Allocation of Harvests</w:t>
      </w:r>
    </w:p>
    <w:bookmarkEnd w:id="59"/>
    <w:bookmarkStart w:id="60" w:name="status-determination"/>
    <w:p>
      <w:pPr>
        <w:pStyle w:val="Heading3"/>
      </w:pPr>
      <w:r>
        <w:t xml:space="preserve">Status Determination</w:t>
      </w:r>
    </w:p>
    <w:p>
      <w:pPr>
        <w:pStyle w:val="FirstParagraph"/>
      </w:pPr>
      <w:r>
        <w:t xml:space="preserve">Under the MSFCMA, the Secretary of Commerce is required to report on the status of each U.S. fishery with respect to overfishing.</w:t>
      </w:r>
      <w:r>
        <w:t xml:space="preserve"> </w:t>
      </w:r>
      <w:r>
        <w:t xml:space="preserve">This report involves the answers to three questions: 1) Is the stock being subjected to overfishing? 2) Is the stock currently overfished? 3) Is the stock approaching an overfished condition?</w:t>
      </w:r>
    </w:p>
    <w:p>
      <w:pPr>
        <w:pStyle w:val="BodyText"/>
      </w:pPr>
      <w:r>
        <w:rPr>
          <w:iCs/>
          <w:i/>
        </w:rPr>
        <w:t xml:space="preserve">Is the stock being subjected to overfishing?</w:t>
      </w:r>
      <w:r>
        <w:t xml:space="preserve"> </w:t>
      </w:r>
      <w:r>
        <w:t xml:space="preserve">The official catch estimate for the most recent complete year (2021) is</w:t>
      </w:r>
      <w:r>
        <w:t xml:space="preserve"> </w:t>
      </w:r>
      <w:r>
        <w:rPr>
          <w:iCs/>
          <w:i/>
        </w:rPr>
        <w:t xml:space="preserve">correct this later</w:t>
      </w:r>
      <w:r>
        <w:t xml:space="preserve"> </w:t>
      </w:r>
      <w:r>
        <w:t xml:space="preserve">r catch %&gt;% filter(Year==year-1) %&gt;% pull(Catch) %&gt;% format(., big.mark =</w:t>
      </w:r>
      <w:r>
        <w:t xml:space="preserve"> </w:t>
      </w:r>
      <w:r>
        <w:t xml:space="preserve">“</w:t>
      </w:r>
      <w:r>
        <w:t xml:space="preserve">,</w:t>
      </w:r>
      <w:r>
        <w:t xml:space="preserve">”</w:t>
      </w:r>
      <w:r>
        <w:t xml:space="preserve">)` t.</w:t>
      </w:r>
      <w:r>
        <w:t xml:space="preserve"> </w:t>
      </w:r>
      <w:r>
        <w:t xml:space="preserve">This is less than the 2021 OFL of 5,402 t.</w:t>
      </w:r>
      <w:r>
        <w:t xml:space="preserve"> </w:t>
      </w:r>
      <w:r>
        <w:t xml:space="preserve">Therefore, the stock is not being subjected to overfishing.</w:t>
      </w:r>
    </w:p>
    <w:p>
      <w:pPr>
        <w:pStyle w:val="BodyText"/>
      </w:pPr>
      <w:r>
        <w:t xml:space="preserve">Harvest Scenarios #6 and #7 are intended to permit determination of the status of a stock with respect to its minimum stock size threshold (MSST).</w:t>
      </w:r>
      <w:r>
        <w:t xml:space="preserve"> </w:t>
      </w:r>
      <w:r>
        <w:t xml:space="preserve">Any stock that is below its MSST is defined to be overfished.</w:t>
      </w:r>
      <w:r>
        <w:t xml:space="preserve"> </w:t>
      </w:r>
      <w:r>
        <w:t xml:space="preserve">Any stock that is expected to fall below its MSST in the next two years is defined to be approaching an overfished condition.</w:t>
      </w:r>
      <w:r>
        <w:t xml:space="preserve"> </w:t>
      </w:r>
      <w:r>
        <w:t xml:space="preserve">Harvest Scenarios #6 and #7 are used in these determinations as follows:</w:t>
      </w:r>
    </w:p>
    <w:p>
      <w:pPr>
        <w:pStyle w:val="BodyText"/>
      </w:pPr>
      <w:r>
        <w:rPr>
          <w:iCs/>
          <w:i/>
        </w:rPr>
        <w:t xml:space="preserve">Is the stock currently overfished?</w:t>
      </w:r>
      <w:r>
        <w:t xml:space="preserve"> </w:t>
      </w:r>
      <w:r>
        <w:t xml:space="preserve">This depends on the stock’s estimated spawning biomass in 2022:</w:t>
      </w:r>
    </w:p>
    <w:p>
      <w:pPr>
        <w:numPr>
          <w:ilvl w:val="0"/>
          <w:numId w:val="1005"/>
        </w:numPr>
        <w:pStyle w:val="Compact"/>
      </w:pPr>
    </w:p>
    <w:p>
      <w:pPr>
        <w:numPr>
          <w:ilvl w:val="1"/>
          <w:numId w:val="1006"/>
        </w:numPr>
        <w:pStyle w:val="Compact"/>
      </w:pPr>
      <w:r>
        <w:t xml:space="preserve">If spawning biomass for 2022 is estimated to be below ½</w:t>
      </w:r>
      <w:r>
        <w:t xml:space="preserve"> </w:t>
      </w:r>
      <m:oMath>
        <m:sSub>
          <m:e>
            <m:r>
              <m:t>B</m:t>
            </m:r>
          </m:e>
          <m:sub>
            <m:r>
              <m:t>35</m:t>
            </m:r>
            <m:r>
              <m:rPr>
                <m:sty m:val="p"/>
              </m:rPr>
              <m:t>%</m:t>
            </m:r>
          </m:sub>
        </m:sSub>
      </m:oMath>
      <w:r>
        <w:t xml:space="preserve">, the stock is below its MSST.</w:t>
      </w:r>
    </w:p>
    <w:p>
      <w:pPr>
        <w:numPr>
          <w:ilvl w:val="0"/>
          <w:numId w:val="1005"/>
        </w:numPr>
        <w:pStyle w:val="Compact"/>
      </w:pPr>
    </w:p>
    <w:p>
      <w:pPr>
        <w:numPr>
          <w:ilvl w:val="1"/>
          <w:numId w:val="1007"/>
        </w:numPr>
        <w:pStyle w:val="Compact"/>
      </w:pPr>
      <w:r>
        <w:t xml:space="preserve">If spawning biomass for 2022 is estimated to be above</w:t>
      </w:r>
      <w:r>
        <w:t xml:space="preserve"> </w:t>
      </w:r>
      <m:oMath>
        <m:sSub>
          <m:e>
            <m:r>
              <m:t>B</m:t>
            </m:r>
          </m:e>
          <m:sub>
            <m:r>
              <m:t>35</m:t>
            </m:r>
            <m:r>
              <m:rPr>
                <m:sty m:val="p"/>
              </m:rPr>
              <m:t>%</m:t>
            </m:r>
          </m:sub>
        </m:sSub>
      </m:oMath>
      <w:r>
        <w:t xml:space="preserve"> </w:t>
      </w:r>
      <w:r>
        <w:t xml:space="preserve">the stock is above its MSST.</w:t>
      </w:r>
    </w:p>
    <w:p>
      <w:pPr>
        <w:numPr>
          <w:ilvl w:val="0"/>
          <w:numId w:val="1005"/>
        </w:numPr>
        <w:pStyle w:val="Compact"/>
      </w:pPr>
    </w:p>
    <w:p>
      <w:pPr>
        <w:numPr>
          <w:ilvl w:val="1"/>
          <w:numId w:val="1008"/>
        </w:numPr>
        <w:pStyle w:val="Compact"/>
      </w:pPr>
      <w:r>
        <w:t xml:space="preserve">If spawning biomass for 2022 is estimated to be above ½</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stock’s status relative to MSST is determined by referring to harvest Scenario #6 (Table 10.16).</w:t>
      </w:r>
      <w:r>
        <w:t xml:space="preserve"> </w:t>
      </w:r>
      <w:r>
        <w:t xml:space="preserve">If the mean spawning biomass for 2028 is below</w:t>
      </w:r>
      <w:r>
        <w:t xml:space="preserve"> </w:t>
      </w:r>
      <m:oMath>
        <m:sSub>
          <m:e>
            <m:r>
              <m:t>B</m:t>
            </m:r>
          </m:e>
          <m:sub>
            <m:r>
              <m:t>35</m:t>
            </m:r>
            <m:r>
              <m:rPr>
                <m:sty m:val="p"/>
              </m:rPr>
              <m:t>%</m:t>
            </m:r>
          </m:sub>
        </m:sSub>
      </m:oMath>
      <w:r>
        <w:t xml:space="preserve">, the stock is below its MSST.</w:t>
      </w:r>
      <w:r>
        <w:t xml:space="preserve"> </w:t>
      </w:r>
      <w:r>
        <w:t xml:space="preserve">Otherwise, the stock is above its MSST.</w:t>
      </w:r>
    </w:p>
    <w:p>
      <w:pPr>
        <w:pStyle w:val="FirstParagraph"/>
      </w:pPr>
      <w:r>
        <w:rPr>
          <w:iCs/>
          <w:i/>
        </w:rPr>
        <w:t xml:space="preserve">Is the stock approaching an overfished condition?</w:t>
      </w:r>
      <w:r>
        <w:t xml:space="preserve"> </w:t>
      </w:r>
      <w:r>
        <w:t xml:space="preserve">This is determined by referring to harvest Scenario #7:</w:t>
      </w:r>
    </w:p>
    <w:p>
      <w:pPr>
        <w:numPr>
          <w:ilvl w:val="0"/>
          <w:numId w:val="1009"/>
        </w:numPr>
        <w:pStyle w:val="Compact"/>
      </w:pPr>
    </w:p>
    <w:p>
      <w:pPr>
        <w:numPr>
          <w:ilvl w:val="1"/>
          <w:numId w:val="1010"/>
        </w:numPr>
        <w:pStyle w:val="Compact"/>
      </w:pPr>
      <w:r>
        <w:t xml:space="preserve">If the mean spawning biomass for 2024 is below 1/2</w:t>
      </w:r>
      <w:r>
        <w:t xml:space="preserve"> </w:t>
      </w:r>
      <m:oMath>
        <m:sSub>
          <m:e>
            <m:r>
              <m:t>B</m:t>
            </m:r>
          </m:e>
          <m:sub>
            <m:r>
              <m:t>35</m:t>
            </m:r>
            <m:r>
              <m:rPr>
                <m:sty m:val="p"/>
              </m:rPr>
              <m:t>%</m:t>
            </m:r>
          </m:sub>
        </m:sSub>
      </m:oMath>
      <w:r>
        <w:t xml:space="preserve">, the stock is approaching an overfished condition.</w:t>
      </w:r>
    </w:p>
    <w:p>
      <w:pPr>
        <w:numPr>
          <w:ilvl w:val="0"/>
          <w:numId w:val="1009"/>
        </w:numPr>
        <w:pStyle w:val="Compact"/>
      </w:pPr>
    </w:p>
    <w:p>
      <w:pPr>
        <w:numPr>
          <w:ilvl w:val="1"/>
          <w:numId w:val="1011"/>
        </w:numPr>
        <w:pStyle w:val="Compact"/>
      </w:pPr>
      <w:r>
        <w:t xml:space="preserve">If the mean spawning biomass for 2024 is above</w:t>
      </w:r>
      <w:r>
        <w:t xml:space="preserve"> </w:t>
      </w:r>
      <m:oMath>
        <m:sSub>
          <m:e>
            <m:r>
              <m:t>B</m:t>
            </m:r>
          </m:e>
          <m:sub>
            <m:r>
              <m:t>35</m:t>
            </m:r>
            <m:r>
              <m:rPr>
                <m:sty m:val="p"/>
              </m:rPr>
              <m:t>%</m:t>
            </m:r>
          </m:sub>
        </m:sSub>
      </m:oMath>
      <w:r>
        <w:t xml:space="preserve">, the stock is not approaching an overfished condition.</w:t>
      </w:r>
    </w:p>
    <w:p>
      <w:pPr>
        <w:numPr>
          <w:ilvl w:val="0"/>
          <w:numId w:val="1009"/>
        </w:numPr>
        <w:pStyle w:val="Compact"/>
      </w:pPr>
    </w:p>
    <w:p>
      <w:pPr>
        <w:numPr>
          <w:ilvl w:val="1"/>
          <w:numId w:val="1012"/>
        </w:numPr>
        <w:pStyle w:val="Compact"/>
      </w:pPr>
      <w:r>
        <w:t xml:space="preserve">If the mean spawning biomass for 2024 is above 1/2</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determination depends on the mean spawning biomass for 2034</w:t>
      </w:r>
      <w:r>
        <w:t xml:space="preserve"> </w:t>
      </w:r>
      <w:r>
        <w:t xml:space="preserve">If the mean spawning biomass for 2034 is below</w:t>
      </w:r>
      <w:r>
        <w:t xml:space="preserve"> </w:t>
      </w:r>
      <m:oMath>
        <m:sSub>
          <m:e>
            <m:r>
              <m:t>B</m:t>
            </m:r>
          </m:e>
          <m:sub>
            <m:r>
              <m:t>35</m:t>
            </m:r>
            <m:r>
              <m:rPr>
                <m:sty m:val="p"/>
              </m:rPr>
              <m:t>%</m:t>
            </m:r>
          </m:sub>
        </m:sSub>
      </m:oMath>
      <w:r>
        <w:t xml:space="preserve">, the stock is approaching an overfished condition.</w:t>
      </w:r>
      <w:r>
        <w:t xml:space="preserve"> </w:t>
      </w:r>
      <w:r>
        <w:t xml:space="preserve">Otherwise, the stock is not approaching an overfished condition.</w:t>
      </w:r>
      <w:r>
        <w:t xml:space="preserve"> </w:t>
      </w:r>
      <w:r>
        <w:t xml:space="preserve">Based on the above criteria and Table 10.16, the stock is not overfished and is not approaching an overfished condition.</w:t>
      </w:r>
    </w:p>
    <w:p>
      <w:pPr>
        <w:pStyle w:val="FirstParagraph"/>
      </w:pPr>
      <w:r>
        <w:t xml:space="preserve">The fishing mortality that would have produced a catch for last year equal to last year’s OFL is 0.0641.</w:t>
      </w:r>
    </w:p>
    <w:bookmarkEnd w:id="60"/>
    <w:bookmarkEnd w:id="61"/>
    <w:bookmarkEnd w:id="62"/>
    <w:bookmarkStart w:id="65" w:name="ecosystem-considerations"/>
    <w:p>
      <w:pPr>
        <w:pStyle w:val="Heading1"/>
      </w:pPr>
      <w:r>
        <w:t xml:space="preserve">Ecosystem Considerations</w:t>
      </w:r>
    </w:p>
    <w:bookmarkStart w:id="63" w:name="ecosystem-effects-on-the-stock"/>
    <w:p>
      <w:pPr>
        <w:pStyle w:val="Heading2"/>
      </w:pPr>
      <w:r>
        <w:t xml:space="preserve">Ecosystem Effects on the Stock</w:t>
      </w:r>
    </w:p>
    <w:p>
      <w:pPr>
        <w:numPr>
          <w:ilvl w:val="0"/>
          <w:numId w:val="1013"/>
        </w:numPr>
        <w:pStyle w:val="Compact"/>
      </w:pPr>
      <w:r>
        <w:t xml:space="preserve">Predator population trends (historically, in the present, and in the foreseeable future). These trends could affect stock mortality rates over time.</w:t>
      </w:r>
    </w:p>
    <w:p>
      <w:pPr>
        <w:numPr>
          <w:ilvl w:val="0"/>
          <w:numId w:val="1013"/>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63"/>
    <w:bookmarkStart w:id="64" w:name="fishery-effects-on-the-ecosystem"/>
    <w:p>
      <w:pPr>
        <w:pStyle w:val="Heading2"/>
      </w:pPr>
      <w:r>
        <w:t xml:space="preserve">Fishery Effects on the Ecosystem</w:t>
      </w:r>
    </w:p>
    <w:p>
      <w:pPr>
        <w:numPr>
          <w:ilvl w:val="0"/>
          <w:numId w:val="1014"/>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14"/>
        </w:numPr>
        <w:pStyle w:val="Compact"/>
      </w:pPr>
      <w:r>
        <w:t xml:space="preserve">Fishery-specific concentration of target catch in space and time relative to predator needs in space and time (if known) and relative to spawning components.</w:t>
      </w:r>
    </w:p>
    <w:p>
      <w:pPr>
        <w:numPr>
          <w:ilvl w:val="0"/>
          <w:numId w:val="1014"/>
        </w:numPr>
        <w:pStyle w:val="Compact"/>
      </w:pPr>
      <w:r>
        <w:t xml:space="preserve">Fishery-specific effects on amount of large-size target fish.</w:t>
      </w:r>
    </w:p>
    <w:p>
      <w:pPr>
        <w:numPr>
          <w:ilvl w:val="0"/>
          <w:numId w:val="1014"/>
        </w:numPr>
        <w:pStyle w:val="Compact"/>
      </w:pPr>
      <w:r>
        <w:t xml:space="preserve">Fishery-specific contribution to discards and offal production.</w:t>
      </w:r>
    </w:p>
    <w:p>
      <w:pPr>
        <w:numPr>
          <w:ilvl w:val="0"/>
          <w:numId w:val="1014"/>
        </w:numPr>
        <w:pStyle w:val="Compact"/>
      </w:pPr>
      <w:r>
        <w:t xml:space="preserve">Fishery-specific effects on age at maturity and fecundity of the target species.</w:t>
      </w:r>
    </w:p>
    <w:p>
      <w:pPr>
        <w:numPr>
          <w:ilvl w:val="0"/>
          <w:numId w:val="1014"/>
        </w:numPr>
        <w:pStyle w:val="Compact"/>
      </w:pPr>
      <w:r>
        <w:t xml:space="preserve">Fishery-specific effects on EFH non-living substrate (using gear specific fishing effort as a proxy for amount of possible substrate disturbance).</w:t>
      </w:r>
    </w:p>
    <w:bookmarkEnd w:id="64"/>
    <w:bookmarkEnd w:id="65"/>
    <w:bookmarkStart w:id="68" w:name="data-gaps-and-research-priorities"/>
    <w:p>
      <w:pPr>
        <w:pStyle w:val="Heading1"/>
      </w:pPr>
      <w:r>
        <w:t xml:space="preserve">Data Gaps and Research Priorities</w:t>
      </w:r>
    </w:p>
    <w:bookmarkStart w:id="66" w:name="life-history-and-habitat-utilization"/>
    <w:p>
      <w:pPr>
        <w:pStyle w:val="Heading2"/>
      </w:pPr>
      <w:r>
        <w:t xml:space="preserve">Life history and habitat utilization</w:t>
      </w:r>
    </w:p>
    <w:bookmarkEnd w:id="66"/>
    <w:bookmarkStart w:id="67" w:name="assessment-data"/>
    <w:p>
      <w:pPr>
        <w:pStyle w:val="Heading2"/>
      </w:pPr>
      <w:r>
        <w:t xml:space="preserve">Assessment Data</w:t>
      </w:r>
    </w:p>
    <w:bookmarkEnd w:id="67"/>
    <w:bookmarkEnd w:id="68"/>
    <w:bookmarkStart w:id="71" w:name="references"/>
    <w:p>
      <w:pPr>
        <w:pStyle w:val="Heading1"/>
      </w:pPr>
      <w:r>
        <w:t xml:space="preserve">References</w:t>
      </w:r>
    </w:p>
    <w:bookmarkStart w:id="70" w:name="refs"/>
    <w:bookmarkStart w:id="69" w:name="ref-Fenske2020"/>
    <w:p>
      <w:pPr>
        <w:pStyle w:val="Bibliography"/>
      </w:pPr>
      <w:r>
        <w:t xml:space="preserve">Fenske, K.H., Hulson, P.-J.F., Williams, B. and O’Leary, C.A. (2020)</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69"/>
    <w:bookmarkEnd w:id="70"/>
    <w:bookmarkEnd w:id="71"/>
    <w:bookmarkStart w:id="72" w:name="tables"/>
    <w:p>
      <w:pPr>
        <w:pStyle w:val="Heading1"/>
      </w:pPr>
      <w:r>
        <w:t xml:space="preserve">Tables</w:t>
      </w:r>
    </w:p>
    <w:p>
      <w:pPr>
        <w:pStyle w:val="TableCaption"/>
      </w:pPr>
      <w:r>
        <w:t xml:space="preserve">Table 10.1. Summary of key management measures and the time series of catch, ABC, and TAC for northern rockfish in the Gulf of Alaska</w:t>
      </w:r>
    </w:p>
    <w:tbl>
      <w:tblPr>
        <w:tblStyle w:val="Table"/>
        <w:tblW w:type="auto" w:w="0"/>
        <w:tblLook w:firstRow="1" w:lastRow="0" w:firstColumn="0" w:lastColumn="0" w:noHBand="0" w:noVBand="0" w:val="0020"/>
        <w:tblCaption w:val="Table 10.1. Summary of key management measures and the time series of catch, ABC, and TAC for northern rockfish in the Gulf of Alaska"/>
      </w:tblPr>
      <w:tblGrid>
        <w:gridCol w:w="3960"/>
        <w:gridCol w:w="3960"/>
      </w:tblGrid>
      <w:tr>
        <w:trPr>
          <w:tblHeader w:val="true"/>
        </w:trPr>
        <w:tc>
          <w:tcPr/>
          <w:p>
            <w:pPr>
              <w:pStyle w:val="Compact"/>
              <w:jc w:val="right"/>
            </w:pPr>
            <w:r>
              <w:t xml:space="preserve">year</w:t>
            </w:r>
          </w:p>
        </w:tc>
        <w:tc>
          <w:tcPr/>
          <w:p>
            <w:pPr>
              <w:pStyle w:val="Compact"/>
              <w:jc w:val="right"/>
            </w:pPr>
            <w:r>
              <w:t xml:space="preserve">catch</w:t>
            </w:r>
          </w:p>
        </w:tc>
      </w:tr>
      <w:tr>
        <w:tc>
          <w:tcPr/>
          <w:p>
            <w:pPr>
              <w:pStyle w:val="Compact"/>
              <w:jc w:val="right"/>
            </w:pPr>
            <w:r>
              <w:t xml:space="preserve">1999</w:t>
            </w:r>
          </w:p>
        </w:tc>
        <w:tc>
          <w:tcPr/>
          <w:p>
            <w:pPr>
              <w:pStyle w:val="Compact"/>
              <w:jc w:val="right"/>
            </w:pPr>
            <w:r>
              <w:t xml:space="preserve">1</w:t>
            </w:r>
          </w:p>
        </w:tc>
      </w:tr>
      <w:tr>
        <w:tc>
          <w:tcPr/>
          <w:p>
            <w:pPr>
              <w:pStyle w:val="Compact"/>
              <w:jc w:val="right"/>
            </w:pPr>
            <w:r>
              <w:t xml:space="preserve">2000</w:t>
            </w:r>
          </w:p>
        </w:tc>
        <w:tc>
          <w:tcPr/>
          <w:p>
            <w:pPr>
              <w:pStyle w:val="Compact"/>
              <w:jc w:val="right"/>
            </w:pPr>
            <w:r>
              <w:t xml:space="preserve">2</w:t>
            </w:r>
          </w:p>
        </w:tc>
      </w:tr>
    </w:tbl>
    <w:p>
      <w:r>
        <w:br w:type="page"/>
      </w:r>
    </w:p>
    <w:p>
      <w:pPr>
        <w:pStyle w:val="TableCaption"/>
      </w:pPr>
      <w:r>
        <w:t xml:space="preserve">Table 10.2. Commercial catch (t) and management action for northern rockfish in the Gulf of Alaska, 1961-present. The</w:t>
      </w:r>
      <w:r>
        <w:t xml:space="preserve"> </w:t>
      </w:r>
      <w:r>
        <w:rPr>
          <w:iCs/>
          <w:i/>
        </w:rPr>
        <w:t xml:space="preserve">Description of the catch time series</w:t>
      </w:r>
      <w:r>
        <w:t xml:space="preserve"> </w:t>
      </w:r>
      <w:r>
        <w:t xml:space="preserve">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bl>
    <w:p>
      <w:r>
        <w:br w:type="page"/>
      </w:r>
    </w:p>
    <w:bookmarkEnd w:id="72"/>
    <w:bookmarkStart w:id="76" w:name="figures"/>
    <w:p>
      <w:pPr>
        <w:pStyle w:val="Heading1"/>
      </w:pPr>
      <w:r>
        <w:t xml:space="preserve">Figures</w:t>
      </w:r>
    </w:p>
    <w:p>
      <w:pPr>
        <w:pStyle w:val="CaptionedFigure"/>
      </w:pPr>
      <w:r>
        <w:drawing>
          <wp:inline>
            <wp:extent cx="4620126" cy="3696101"/>
            <wp:effectExtent b="0" l="0" r="0" t="0"/>
            <wp:docPr descr="Figure 10.1. pressure" title="" id="74" name="Picture"/>
            <a:graphic>
              <a:graphicData uri="http://schemas.openxmlformats.org/drawingml/2006/picture">
                <pic:pic>
                  <pic:nvPicPr>
                    <pic:cNvPr descr="safe_files/figure-docx/unnamed-chunk-2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10.1. pressure</w:t>
      </w:r>
    </w:p>
    <w:bookmarkEnd w:id="76"/>
    <w:bookmarkStart w:id="78" w:name="appendix-10a.-supplemental-catch-data"/>
    <w:p>
      <w:pPr>
        <w:pStyle w:val="Heading1"/>
      </w:pPr>
      <w:r>
        <w:t xml:space="preserve">Appendix 10a.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77" w:name="references-1"/>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77"/>
    <w:bookmarkEnd w:id="78"/>
    <w:bookmarkStart w:id="83" w:name="appendix-10b-vast-model-based-abundance"/>
    <w:p>
      <w:pPr>
        <w:pStyle w:val="Heading1"/>
      </w:pPr>
      <w:r>
        <w:t xml:space="preserve">Appendix 10b: VAST model-based abundance</w:t>
      </w:r>
    </w:p>
    <w:bookmarkStart w:id="79"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79"/>
    <w:bookmarkStart w:id="81"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80"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80"/>
    <w:bookmarkEnd w:id="81"/>
    <w:bookmarkStart w:id="82" w:name="references-2"/>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82"/>
    <w:bookmarkEnd w:id="83"/>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Northern Rockfish Stock in the Gulf of Alaska</dc:title>
  <dc:creator>Benjamin C. Williams, Peter-John F. Hulson, and Chris R. Lunsford</dc:creator>
  <cp:keywords/>
  <dcterms:created xsi:type="dcterms:W3CDTF">2022-07-28T16:03:48Z</dcterms:created>
  <dcterms:modified xsi:type="dcterms:W3CDTF">2022-07-28T16:03:48Z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2022</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