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8E4" w:rsidRDefault="005B4AE7">
      <w:pPr>
        <w:rPr>
          <w:rFonts w:ascii="Times New Roman" w:hAnsi="Times New Roman" w:cs="Times New Roman"/>
        </w:rPr>
      </w:pPr>
      <w:r w:rsidRPr="009E483F">
        <w:rPr>
          <w:rFonts w:ascii="Times New Roman" w:hAnsi="Times New Roman" w:cs="Times New Roman"/>
        </w:rPr>
        <w:t xml:space="preserve">POP Appendix </w:t>
      </w:r>
      <w:r w:rsidR="00E45115">
        <w:rPr>
          <w:rFonts w:ascii="Times New Roman" w:hAnsi="Times New Roman" w:cs="Times New Roman"/>
        </w:rPr>
        <w:t>#</w:t>
      </w:r>
    </w:p>
    <w:p w:rsidR="009949D8" w:rsidRPr="009E483F" w:rsidRDefault="009949D8">
      <w:pPr>
        <w:rPr>
          <w:rFonts w:ascii="Times New Roman" w:hAnsi="Times New Roman" w:cs="Times New Roman"/>
        </w:rPr>
      </w:pPr>
      <w:r>
        <w:rPr>
          <w:rFonts w:ascii="Times New Roman" w:hAnsi="Times New Roman" w:cs="Times New Roman"/>
        </w:rPr>
        <w:t>Madison Hall</w:t>
      </w:r>
    </w:p>
    <w:p w:rsidR="00012FBA" w:rsidRPr="009E483F" w:rsidRDefault="009E483F" w:rsidP="00012FBA">
      <w:pPr>
        <w:ind w:firstLine="720"/>
        <w:rPr>
          <w:rFonts w:ascii="Times New Roman" w:hAnsi="Times New Roman" w:cs="Times New Roman"/>
        </w:rPr>
      </w:pPr>
      <w:r>
        <w:rPr>
          <w:rFonts w:ascii="Times New Roman" w:hAnsi="Times New Roman" w:cs="Times New Roman"/>
        </w:rPr>
        <w:t xml:space="preserve">Over time, the Gulf of Alaska </w:t>
      </w:r>
      <w:r w:rsidR="00CF5372">
        <w:rPr>
          <w:rFonts w:ascii="Times New Roman" w:hAnsi="Times New Roman" w:cs="Times New Roman"/>
        </w:rPr>
        <w:t xml:space="preserve">(GOA) </w:t>
      </w:r>
      <w:r>
        <w:rPr>
          <w:rFonts w:ascii="Times New Roman" w:hAnsi="Times New Roman" w:cs="Times New Roman"/>
        </w:rPr>
        <w:t xml:space="preserve">bottom trawl survey has </w:t>
      </w:r>
      <w:r w:rsidR="00337C90">
        <w:rPr>
          <w:rFonts w:ascii="Times New Roman" w:hAnsi="Times New Roman" w:cs="Times New Roman"/>
        </w:rPr>
        <w:t xml:space="preserve">systematically identified certain </w:t>
      </w:r>
      <w:r>
        <w:rPr>
          <w:rFonts w:ascii="Times New Roman" w:hAnsi="Times New Roman" w:cs="Times New Roman"/>
        </w:rPr>
        <w:t>habitats</w:t>
      </w:r>
      <w:r w:rsidR="00337C90">
        <w:rPr>
          <w:rFonts w:ascii="Times New Roman" w:hAnsi="Times New Roman" w:cs="Times New Roman"/>
        </w:rPr>
        <w:t xml:space="preserve"> as </w:t>
      </w:r>
      <w:proofErr w:type="spellStart"/>
      <w:r w:rsidR="00337C90">
        <w:rPr>
          <w:rFonts w:ascii="Times New Roman" w:hAnsi="Times New Roman" w:cs="Times New Roman"/>
        </w:rPr>
        <w:t>untrawlable</w:t>
      </w:r>
      <w:proofErr w:type="spellEnd"/>
      <w:r w:rsidR="00337C90">
        <w:rPr>
          <w:rFonts w:ascii="Times New Roman" w:hAnsi="Times New Roman" w:cs="Times New Roman"/>
        </w:rPr>
        <w:t xml:space="preserve"> and subsequently eliminated these habitats from survey sampling</w:t>
      </w:r>
      <w:r>
        <w:rPr>
          <w:rFonts w:ascii="Times New Roman" w:hAnsi="Times New Roman" w:cs="Times New Roman"/>
        </w:rPr>
        <w:t xml:space="preserve">. </w:t>
      </w:r>
      <w:r w:rsidR="00337C90">
        <w:rPr>
          <w:rFonts w:ascii="Times New Roman" w:hAnsi="Times New Roman" w:cs="Times New Roman"/>
        </w:rPr>
        <w:t>The label of “</w:t>
      </w:r>
      <w:proofErr w:type="spellStart"/>
      <w:r w:rsidR="00337C90">
        <w:rPr>
          <w:rFonts w:ascii="Times New Roman" w:hAnsi="Times New Roman" w:cs="Times New Roman"/>
        </w:rPr>
        <w:t>untrawlable</w:t>
      </w:r>
      <w:proofErr w:type="spellEnd"/>
      <w:r w:rsidR="00337C90">
        <w:rPr>
          <w:rFonts w:ascii="Times New Roman" w:hAnsi="Times New Roman" w:cs="Times New Roman"/>
        </w:rPr>
        <w:t>” is a functional definition describing habitats that are unavailable to sample using survey gear while maintaining constant bottom contact</w:t>
      </w:r>
      <w:r w:rsidR="00337C90" w:rsidRPr="0023724F">
        <w:rPr>
          <w:rFonts w:ascii="Times New Roman" w:hAnsi="Times New Roman" w:cs="Times New Roman"/>
        </w:rPr>
        <w:t xml:space="preserve">. Previous work indicates </w:t>
      </w:r>
      <w:proofErr w:type="spellStart"/>
      <w:r w:rsidR="00337C90" w:rsidRPr="0023724F">
        <w:rPr>
          <w:rFonts w:ascii="Times New Roman" w:hAnsi="Times New Roman" w:cs="Times New Roman"/>
        </w:rPr>
        <w:t>untrawlable</w:t>
      </w:r>
      <w:proofErr w:type="spellEnd"/>
      <w:r w:rsidR="00337C90" w:rsidRPr="0023724F">
        <w:rPr>
          <w:rFonts w:ascii="Times New Roman" w:hAnsi="Times New Roman" w:cs="Times New Roman"/>
        </w:rPr>
        <w:t xml:space="preserve"> habitats are more likely to have greater depths and slopes (means, ranges, and maxima), higher </w:t>
      </w:r>
      <w:proofErr w:type="spellStart"/>
      <w:r w:rsidR="00337C90" w:rsidRPr="0023724F">
        <w:rPr>
          <w:rFonts w:ascii="Times New Roman" w:hAnsi="Times New Roman" w:cs="Times New Roman"/>
        </w:rPr>
        <w:t>rugosity</w:t>
      </w:r>
      <w:proofErr w:type="spellEnd"/>
      <w:r w:rsidR="00337C90" w:rsidRPr="0023724F">
        <w:rPr>
          <w:rFonts w:ascii="Times New Roman" w:hAnsi="Times New Roman" w:cs="Times New Roman"/>
        </w:rPr>
        <w:t xml:space="preserve">, higher substrate hardness, and more rock/reef structures than </w:t>
      </w:r>
      <w:proofErr w:type="spellStart"/>
      <w:r w:rsidR="00337C90" w:rsidRPr="0023724F">
        <w:rPr>
          <w:rFonts w:ascii="Times New Roman" w:hAnsi="Times New Roman" w:cs="Times New Roman"/>
        </w:rPr>
        <w:t>trawlable</w:t>
      </w:r>
      <w:proofErr w:type="spellEnd"/>
      <w:r w:rsidR="00337C90" w:rsidRPr="0023724F">
        <w:rPr>
          <w:rFonts w:ascii="Times New Roman" w:hAnsi="Times New Roman" w:cs="Times New Roman"/>
        </w:rPr>
        <w:t xml:space="preserve"> habitats (Baker et al. 2019).</w:t>
      </w:r>
      <w:r w:rsidR="00CF5372">
        <w:rPr>
          <w:rFonts w:ascii="Times New Roman" w:hAnsi="Times New Roman" w:cs="Times New Roman"/>
        </w:rPr>
        <w:t xml:space="preserve"> </w:t>
      </w:r>
      <w:r w:rsidR="0023724F">
        <w:rPr>
          <w:rFonts w:ascii="Times New Roman" w:hAnsi="Times New Roman" w:cs="Times New Roman"/>
        </w:rPr>
        <w:t xml:space="preserve">Jones et al. </w:t>
      </w:r>
      <w:r w:rsidR="00E45115">
        <w:rPr>
          <w:rFonts w:ascii="Times New Roman" w:hAnsi="Times New Roman" w:cs="Times New Roman"/>
        </w:rPr>
        <w:t>(</w:t>
      </w:r>
      <w:r w:rsidR="0023724F">
        <w:rPr>
          <w:rFonts w:ascii="Times New Roman" w:hAnsi="Times New Roman" w:cs="Times New Roman"/>
        </w:rPr>
        <w:t>2021</w:t>
      </w:r>
      <w:r w:rsidR="00E45115">
        <w:rPr>
          <w:rFonts w:ascii="Times New Roman" w:hAnsi="Times New Roman" w:cs="Times New Roman"/>
        </w:rPr>
        <w:t>)</w:t>
      </w:r>
      <w:r w:rsidR="0023724F">
        <w:rPr>
          <w:rFonts w:ascii="Times New Roman" w:hAnsi="Times New Roman" w:cs="Times New Roman"/>
        </w:rPr>
        <w:t xml:space="preserve"> found increased densities for several rockfish species</w:t>
      </w:r>
      <w:r w:rsidR="00E45115">
        <w:rPr>
          <w:rFonts w:ascii="Times New Roman" w:hAnsi="Times New Roman" w:cs="Times New Roman"/>
        </w:rPr>
        <w:t xml:space="preserve"> </w:t>
      </w:r>
      <w:r w:rsidR="00E45115">
        <w:rPr>
          <w:rFonts w:ascii="Times New Roman" w:hAnsi="Times New Roman" w:cs="Times New Roman"/>
        </w:rPr>
        <w:t>(</w:t>
      </w:r>
      <w:r w:rsidR="00E45115" w:rsidRPr="00CF5372">
        <w:rPr>
          <w:rFonts w:ascii="Times New Roman" w:hAnsi="Times New Roman" w:cs="Times New Roman"/>
          <w:i/>
        </w:rPr>
        <w:t>Sebastes</w:t>
      </w:r>
      <w:r w:rsidR="00E45115">
        <w:rPr>
          <w:rFonts w:ascii="Times New Roman" w:hAnsi="Times New Roman" w:cs="Times New Roman"/>
        </w:rPr>
        <w:t xml:space="preserve"> spp.)</w:t>
      </w:r>
      <w:r w:rsidR="0023724F">
        <w:rPr>
          <w:rFonts w:ascii="Times New Roman" w:hAnsi="Times New Roman" w:cs="Times New Roman"/>
        </w:rPr>
        <w:t xml:space="preserve"> in </w:t>
      </w:r>
      <w:proofErr w:type="spellStart"/>
      <w:r w:rsidR="0023724F">
        <w:rPr>
          <w:rFonts w:ascii="Times New Roman" w:hAnsi="Times New Roman" w:cs="Times New Roman"/>
        </w:rPr>
        <w:t>untrawlable</w:t>
      </w:r>
      <w:proofErr w:type="spellEnd"/>
      <w:r w:rsidR="0023724F">
        <w:rPr>
          <w:rFonts w:ascii="Times New Roman" w:hAnsi="Times New Roman" w:cs="Times New Roman"/>
        </w:rPr>
        <w:t xml:space="preserve"> habitats. </w:t>
      </w:r>
      <w:r w:rsidR="00CF5372">
        <w:rPr>
          <w:rFonts w:ascii="Times New Roman" w:hAnsi="Times New Roman" w:cs="Times New Roman"/>
        </w:rPr>
        <w:t xml:space="preserve">There has been speculation that estimates of abundance for rockfish </w:t>
      </w:r>
      <w:r w:rsidR="00E45115">
        <w:rPr>
          <w:rFonts w:ascii="Times New Roman" w:hAnsi="Times New Roman" w:cs="Times New Roman"/>
        </w:rPr>
        <w:t xml:space="preserve">species </w:t>
      </w:r>
      <w:r w:rsidR="00CF5372">
        <w:rPr>
          <w:rFonts w:ascii="Times New Roman" w:hAnsi="Times New Roman" w:cs="Times New Roman"/>
        </w:rPr>
        <w:t xml:space="preserve">in the GOA are both imprecise and inaccurate because the trawl survey is generally unable to sample in areas where </w:t>
      </w:r>
      <w:r w:rsidR="0023724F">
        <w:rPr>
          <w:rFonts w:ascii="Times New Roman" w:hAnsi="Times New Roman" w:cs="Times New Roman"/>
        </w:rPr>
        <w:t xml:space="preserve">many of </w:t>
      </w:r>
      <w:r w:rsidR="00CF5372">
        <w:rPr>
          <w:rFonts w:ascii="Times New Roman" w:hAnsi="Times New Roman" w:cs="Times New Roman"/>
        </w:rPr>
        <w:t>these species are most abundant, and habitats are thus not being sampled in pro</w:t>
      </w:r>
      <w:r w:rsidR="00E45115">
        <w:rPr>
          <w:rFonts w:ascii="Times New Roman" w:hAnsi="Times New Roman" w:cs="Times New Roman"/>
        </w:rPr>
        <w:t xml:space="preserve">portion to their importance </w:t>
      </w:r>
      <w:r w:rsidR="00CF5372">
        <w:rPr>
          <w:rFonts w:ascii="Times New Roman" w:hAnsi="Times New Roman" w:cs="Times New Roman"/>
        </w:rPr>
        <w:t xml:space="preserve">(Zimmermann 2003, </w:t>
      </w:r>
      <w:proofErr w:type="spellStart"/>
      <w:r w:rsidR="00CF5372">
        <w:rPr>
          <w:rFonts w:ascii="Times New Roman" w:hAnsi="Times New Roman" w:cs="Times New Roman"/>
        </w:rPr>
        <w:t>Rooper</w:t>
      </w:r>
      <w:proofErr w:type="spellEnd"/>
      <w:r w:rsidR="00CF5372">
        <w:rPr>
          <w:rFonts w:ascii="Times New Roman" w:hAnsi="Times New Roman" w:cs="Times New Roman"/>
        </w:rPr>
        <w:t xml:space="preserve"> and Martin 2012</w:t>
      </w:r>
      <w:r w:rsidR="0023724F">
        <w:rPr>
          <w:rFonts w:ascii="Times New Roman" w:hAnsi="Times New Roman" w:cs="Times New Roman"/>
        </w:rPr>
        <w:t>, Jones et al. 2021</w:t>
      </w:r>
      <w:r w:rsidR="00CF5372">
        <w:rPr>
          <w:rFonts w:ascii="Times New Roman" w:hAnsi="Times New Roman" w:cs="Times New Roman"/>
        </w:rPr>
        <w:t xml:space="preserve">). One potential solution to this problem is to cooperatively collect data in </w:t>
      </w:r>
      <w:proofErr w:type="spellStart"/>
      <w:r w:rsidR="00CF5372">
        <w:rPr>
          <w:rFonts w:ascii="Times New Roman" w:hAnsi="Times New Roman" w:cs="Times New Roman"/>
        </w:rPr>
        <w:t>untrawlable</w:t>
      </w:r>
      <w:proofErr w:type="spellEnd"/>
      <w:r w:rsidR="00CF5372">
        <w:rPr>
          <w:rFonts w:ascii="Times New Roman" w:hAnsi="Times New Roman" w:cs="Times New Roman"/>
        </w:rPr>
        <w:t xml:space="preserve"> habitats with partners in the fishing industry, as industry boats successfully fish many areas that are unavailable to the bottom trawl survey.</w:t>
      </w:r>
    </w:p>
    <w:p w:rsidR="0023724F" w:rsidRDefault="005B4AE7" w:rsidP="00012FBA">
      <w:pPr>
        <w:ind w:firstLine="720"/>
        <w:rPr>
          <w:rFonts w:ascii="Times New Roman" w:hAnsi="Times New Roman" w:cs="Times New Roman"/>
        </w:rPr>
      </w:pPr>
      <w:r w:rsidRPr="009E483F">
        <w:rPr>
          <w:rFonts w:ascii="Times New Roman" w:hAnsi="Times New Roman" w:cs="Times New Roman"/>
        </w:rPr>
        <w:t>Beginn</w:t>
      </w:r>
      <w:r w:rsidR="00012FBA">
        <w:rPr>
          <w:rFonts w:ascii="Times New Roman" w:hAnsi="Times New Roman" w:cs="Times New Roman"/>
        </w:rPr>
        <w:t>ing in 2020</w:t>
      </w:r>
      <w:r>
        <w:rPr>
          <w:rFonts w:ascii="Times New Roman" w:hAnsi="Times New Roman" w:cs="Times New Roman"/>
        </w:rPr>
        <w:t xml:space="preserve">, the Alaska Fisheries Science Center began </w:t>
      </w:r>
      <w:r w:rsidR="00CF5372">
        <w:rPr>
          <w:rFonts w:ascii="Times New Roman" w:hAnsi="Times New Roman" w:cs="Times New Roman"/>
        </w:rPr>
        <w:t xml:space="preserve">pursuing </w:t>
      </w:r>
      <w:r>
        <w:rPr>
          <w:rFonts w:ascii="Times New Roman" w:hAnsi="Times New Roman" w:cs="Times New Roman"/>
        </w:rPr>
        <w:t xml:space="preserve">cooperative work with the Gulf of Alaska fishing industry </w:t>
      </w:r>
      <w:r w:rsidR="004208D4">
        <w:rPr>
          <w:rFonts w:ascii="Times New Roman" w:hAnsi="Times New Roman" w:cs="Times New Roman"/>
        </w:rPr>
        <w:t>via the Science-Industry Rockfish Research Collaboration in Alaska (SIRRCA).</w:t>
      </w:r>
      <w:r w:rsidR="0023724F" w:rsidRPr="0023724F">
        <w:t xml:space="preserve"> </w:t>
      </w:r>
      <w:r w:rsidR="0023724F" w:rsidRPr="0023724F">
        <w:rPr>
          <w:rFonts w:ascii="Times New Roman" w:hAnsi="Times New Roman" w:cs="Times New Roman"/>
        </w:rPr>
        <w:t>Multi-stakeholder cooperative research programs like SIRRCA are valuable for fishery science; they can improve scientific surveys by sharing knowledge, building public engagement in the scientific process, and laying a foundation of mutual trust between managers and industry (Hartley and Robinson 2006). The first year of SIRRCA has laid a strong foundation based on close in</w:t>
      </w:r>
      <w:r w:rsidR="00E45115">
        <w:rPr>
          <w:rFonts w:ascii="Times New Roman" w:hAnsi="Times New Roman" w:cs="Times New Roman"/>
        </w:rPr>
        <w:t>volvement of species assessors</w:t>
      </w:r>
      <w:r w:rsidR="0023724F" w:rsidRPr="0023724F">
        <w:rPr>
          <w:rFonts w:ascii="Times New Roman" w:hAnsi="Times New Roman" w:cs="Times New Roman"/>
        </w:rPr>
        <w:t xml:space="preserve"> and</w:t>
      </w:r>
      <w:r w:rsidR="00E45115">
        <w:rPr>
          <w:rFonts w:ascii="Times New Roman" w:hAnsi="Times New Roman" w:cs="Times New Roman"/>
        </w:rPr>
        <w:t xml:space="preserve"> continuous</w:t>
      </w:r>
      <w:r w:rsidR="0023724F" w:rsidRPr="0023724F">
        <w:rPr>
          <w:rFonts w:ascii="Times New Roman" w:hAnsi="Times New Roman" w:cs="Times New Roman"/>
        </w:rPr>
        <w:t xml:space="preserve"> maintenance of relationships between scientists and stakeholders, which are important components of successful</w:t>
      </w:r>
      <w:r w:rsidR="0023724F">
        <w:rPr>
          <w:rFonts w:ascii="Times New Roman" w:hAnsi="Times New Roman" w:cs="Times New Roman"/>
        </w:rPr>
        <w:t xml:space="preserve"> research</w:t>
      </w:r>
      <w:r w:rsidR="0023724F" w:rsidRPr="0023724F">
        <w:rPr>
          <w:rFonts w:ascii="Times New Roman" w:hAnsi="Times New Roman" w:cs="Times New Roman"/>
        </w:rPr>
        <w:t xml:space="preserve"> collaborations (Steins et al. 2019).</w:t>
      </w:r>
    </w:p>
    <w:p w:rsidR="004208D4" w:rsidRDefault="004208D4" w:rsidP="00012FBA">
      <w:pPr>
        <w:ind w:firstLine="720"/>
        <w:rPr>
          <w:rFonts w:ascii="Times New Roman" w:hAnsi="Times New Roman" w:cs="Times New Roman"/>
        </w:rPr>
      </w:pPr>
      <w:r>
        <w:rPr>
          <w:rFonts w:ascii="Times New Roman" w:hAnsi="Times New Roman" w:cs="Times New Roman"/>
        </w:rPr>
        <w:t xml:space="preserve"> </w:t>
      </w:r>
      <w:r w:rsidR="00012FBA" w:rsidRPr="00012FBA">
        <w:rPr>
          <w:rFonts w:ascii="Times New Roman" w:hAnsi="Times New Roman" w:cs="Times New Roman"/>
        </w:rPr>
        <w:t xml:space="preserve">Currently, Alaska commercial catch data are included as gross removals in stock assessments, along with some information about fish length, weight, age and sex, as reported by observers and industry participants. However, commercial fishing effort metrics (e.g., catch-per-unit-effort or regional biomass estimates) are rarely included in stock assessments because it is difficult to extract information about trends in abundance from non-standardized commercial fishery effort </w:t>
      </w:r>
      <w:r w:rsidR="00012FBA">
        <w:rPr>
          <w:rFonts w:ascii="Times New Roman" w:hAnsi="Times New Roman" w:cs="Times New Roman"/>
        </w:rPr>
        <w:t>data (Maunder</w:t>
      </w:r>
      <w:r w:rsidR="00012FBA" w:rsidRPr="00012FBA">
        <w:rPr>
          <w:rFonts w:ascii="Times New Roman" w:hAnsi="Times New Roman" w:cs="Times New Roman"/>
        </w:rPr>
        <w:t xml:space="preserve"> 2006), even though this effort may occur in areas not covered by a fishery-independent survey. </w:t>
      </w:r>
      <w:r>
        <w:rPr>
          <w:rFonts w:ascii="Times New Roman" w:hAnsi="Times New Roman" w:cs="Times New Roman"/>
        </w:rPr>
        <w:t xml:space="preserve">SIRRCA aims </w:t>
      </w:r>
      <w:r w:rsidR="005B4AE7">
        <w:rPr>
          <w:rFonts w:ascii="Times New Roman" w:hAnsi="Times New Roman" w:cs="Times New Roman"/>
        </w:rPr>
        <w:t>to develop a solution for quantifying commercial fishery catch and effort data</w:t>
      </w:r>
      <w:r w:rsidR="005B4AE7" w:rsidRPr="00B131F1">
        <w:rPr>
          <w:rFonts w:ascii="Times New Roman" w:hAnsi="Times New Roman" w:cs="Times New Roman"/>
        </w:rPr>
        <w:t xml:space="preserve"> </w:t>
      </w:r>
      <w:r w:rsidR="005B4AE7">
        <w:rPr>
          <w:rFonts w:ascii="Times New Roman" w:hAnsi="Times New Roman" w:cs="Times New Roman"/>
        </w:rPr>
        <w:t xml:space="preserve">for several rockfish species, including POP. This work is focused on adding information from </w:t>
      </w:r>
      <w:proofErr w:type="spellStart"/>
      <w:r w:rsidR="00CF5372">
        <w:rPr>
          <w:rFonts w:ascii="Times New Roman" w:hAnsi="Times New Roman" w:cs="Times New Roman"/>
        </w:rPr>
        <w:t>untrawlable</w:t>
      </w:r>
      <w:proofErr w:type="spellEnd"/>
      <w:r w:rsidR="00CF5372">
        <w:rPr>
          <w:rFonts w:ascii="Times New Roman" w:hAnsi="Times New Roman" w:cs="Times New Roman"/>
        </w:rPr>
        <w:t xml:space="preserve"> </w:t>
      </w:r>
      <w:r w:rsidR="005B4AE7">
        <w:rPr>
          <w:rFonts w:ascii="Times New Roman" w:hAnsi="Times New Roman" w:cs="Times New Roman"/>
        </w:rPr>
        <w:t>habitats, aiming to su</w:t>
      </w:r>
      <w:r w:rsidR="00CF5372">
        <w:rPr>
          <w:rFonts w:ascii="Times New Roman" w:hAnsi="Times New Roman" w:cs="Times New Roman"/>
        </w:rPr>
        <w:t xml:space="preserve">pply valuable data </w:t>
      </w:r>
      <w:r w:rsidR="00CF5372">
        <w:rPr>
          <w:rFonts w:ascii="Times New Roman" w:hAnsi="Times New Roman" w:cs="Times New Roman"/>
        </w:rPr>
        <w:t>to the stock assessment</w:t>
      </w:r>
      <w:r w:rsidR="00CF5372">
        <w:rPr>
          <w:rFonts w:ascii="Times New Roman" w:hAnsi="Times New Roman" w:cs="Times New Roman"/>
        </w:rPr>
        <w:t xml:space="preserve"> from areas</w:t>
      </w:r>
      <w:r w:rsidR="005B4AE7">
        <w:rPr>
          <w:rFonts w:ascii="Times New Roman" w:hAnsi="Times New Roman" w:cs="Times New Roman"/>
        </w:rPr>
        <w:t xml:space="preserve"> not sampled in the survey. This cooperatively collected data will serve as a supplemental source of population abundance information and aid in understanding differences in catchability between different habitat types. Additionally, this work can inform how estimates of abundance are impacted by gear implementation in </w:t>
      </w:r>
      <w:proofErr w:type="spellStart"/>
      <w:r w:rsidR="005B4AE7">
        <w:rPr>
          <w:rFonts w:ascii="Times New Roman" w:hAnsi="Times New Roman" w:cs="Times New Roman"/>
        </w:rPr>
        <w:t>trawl</w:t>
      </w:r>
      <w:r w:rsidR="00CF5372">
        <w:rPr>
          <w:rFonts w:ascii="Times New Roman" w:hAnsi="Times New Roman" w:cs="Times New Roman"/>
        </w:rPr>
        <w:t>able</w:t>
      </w:r>
      <w:proofErr w:type="spellEnd"/>
      <w:r w:rsidR="00CF5372">
        <w:rPr>
          <w:rFonts w:ascii="Times New Roman" w:hAnsi="Times New Roman" w:cs="Times New Roman"/>
        </w:rPr>
        <w:t xml:space="preserve"> vs. </w:t>
      </w:r>
      <w:proofErr w:type="spellStart"/>
      <w:r w:rsidR="00CF5372">
        <w:rPr>
          <w:rFonts w:ascii="Times New Roman" w:hAnsi="Times New Roman" w:cs="Times New Roman"/>
        </w:rPr>
        <w:t>untrawlable</w:t>
      </w:r>
      <w:proofErr w:type="spellEnd"/>
      <w:r w:rsidR="00CF5372">
        <w:rPr>
          <w:rFonts w:ascii="Times New Roman" w:hAnsi="Times New Roman" w:cs="Times New Roman"/>
        </w:rPr>
        <w:t xml:space="preserve"> habitats. </w:t>
      </w:r>
    </w:p>
    <w:p w:rsidR="004208D4" w:rsidRDefault="00BA31AC" w:rsidP="00012FBA">
      <w:pPr>
        <w:ind w:firstLine="720"/>
        <w:rPr>
          <w:rFonts w:ascii="Times New Roman" w:hAnsi="Times New Roman" w:cs="Times New Roman"/>
        </w:rPr>
      </w:pPr>
      <w:r>
        <w:rPr>
          <w:rFonts w:ascii="Times New Roman" w:hAnsi="Times New Roman" w:cs="Times New Roman"/>
        </w:rPr>
        <w:t xml:space="preserve">Two </w:t>
      </w:r>
      <w:r w:rsidR="004208D4">
        <w:rPr>
          <w:rFonts w:ascii="Times New Roman" w:hAnsi="Times New Roman" w:cs="Times New Roman"/>
        </w:rPr>
        <w:t>SIRRCA scientists began cooperative data collection in summer 2021</w:t>
      </w:r>
      <w:r w:rsidR="003C0E65">
        <w:rPr>
          <w:rFonts w:ascii="Times New Roman" w:hAnsi="Times New Roman" w:cs="Times New Roman"/>
        </w:rPr>
        <w:t xml:space="preserve">; sampling was conducted using many, but not all, aspects of GOA bottom trawl survey tows. Aspects of sampling design that were maintained in SIRRCA tows included duration (15 minutes), speed (2.8 – 3.2 knots), and contact with the seafloor (constant bottom contact maintained fur duration of the tow). Gear constituted the major sampling design difference between SIRRCA tows and GOA bottom trawl survey tows, as cooperative research tows were conducted using industry-owned and maintained nets that differ substantially from the government owned and maintained nets used in the survey. </w:t>
      </w:r>
      <w:r w:rsidR="00FC5B34">
        <w:rPr>
          <w:rFonts w:ascii="Times New Roman" w:hAnsi="Times New Roman" w:cs="Times New Roman"/>
        </w:rPr>
        <w:t xml:space="preserve">To account for these differences, </w:t>
      </w:r>
      <w:r w:rsidR="003C0E65">
        <w:rPr>
          <w:rFonts w:ascii="Times New Roman" w:hAnsi="Times New Roman" w:cs="Times New Roman"/>
        </w:rPr>
        <w:t xml:space="preserve">SIRRCA conducted 28 tows to calibrate the fishing power and selectivity </w:t>
      </w:r>
      <w:r w:rsidR="00FC5B34">
        <w:rPr>
          <w:rFonts w:ascii="Times New Roman" w:hAnsi="Times New Roman" w:cs="Times New Roman"/>
        </w:rPr>
        <w:t xml:space="preserve">of the industry gear to the survey gear. Calibration tows were completed as close in time and space to survey tows as possible, </w:t>
      </w:r>
      <w:r w:rsidR="00FC5B34">
        <w:rPr>
          <w:rFonts w:ascii="Times New Roman" w:hAnsi="Times New Roman" w:cs="Times New Roman"/>
        </w:rPr>
        <w:lastRenderedPageBreak/>
        <w:t xml:space="preserve">with help from field party chiefs and captains conducting the 2021 bottom trawl survey. Additionally, SIRRCA completed tows in 2 </w:t>
      </w:r>
      <w:proofErr w:type="spellStart"/>
      <w:r w:rsidR="00FC5B34">
        <w:rPr>
          <w:rFonts w:ascii="Times New Roman" w:hAnsi="Times New Roman" w:cs="Times New Roman"/>
        </w:rPr>
        <w:t>untrawlable</w:t>
      </w:r>
      <w:proofErr w:type="spellEnd"/>
      <w:r w:rsidR="00FC5B34">
        <w:rPr>
          <w:rFonts w:ascii="Times New Roman" w:hAnsi="Times New Roman" w:cs="Times New Roman"/>
        </w:rPr>
        <w:t xml:space="preserve"> habitat stations</w:t>
      </w:r>
      <w:r>
        <w:rPr>
          <w:rFonts w:ascii="Times New Roman" w:hAnsi="Times New Roman" w:cs="Times New Roman"/>
        </w:rPr>
        <w:t xml:space="preserve"> as a proof-of-concept</w:t>
      </w:r>
      <w:r w:rsidR="00FC5B34">
        <w:rPr>
          <w:rFonts w:ascii="Times New Roman" w:hAnsi="Times New Roman" w:cs="Times New Roman"/>
        </w:rPr>
        <w:t xml:space="preserve">. While adding information on biomass in </w:t>
      </w:r>
      <w:proofErr w:type="spellStart"/>
      <w:r w:rsidR="00FC5B34">
        <w:rPr>
          <w:rFonts w:ascii="Times New Roman" w:hAnsi="Times New Roman" w:cs="Times New Roman"/>
        </w:rPr>
        <w:t>untrawlable</w:t>
      </w:r>
      <w:proofErr w:type="spellEnd"/>
      <w:r w:rsidR="00FC5B34">
        <w:rPr>
          <w:rFonts w:ascii="Times New Roman" w:hAnsi="Times New Roman" w:cs="Times New Roman"/>
        </w:rPr>
        <w:t xml:space="preserve"> habitats is a main goal of SIRRCA, calibrating industry gear to survey gear was prioritized</w:t>
      </w:r>
      <w:r>
        <w:rPr>
          <w:rFonts w:ascii="Times New Roman" w:hAnsi="Times New Roman" w:cs="Times New Roman"/>
        </w:rPr>
        <w:t xml:space="preserve"> in 2021. The underlying reasoning for this strategy is that GOA bottom trawl survey is on a biennial cycle, and thus</w:t>
      </w:r>
      <w:r w:rsidR="00FC5B34">
        <w:rPr>
          <w:rFonts w:ascii="Times New Roman" w:hAnsi="Times New Roman" w:cs="Times New Roman"/>
        </w:rPr>
        <w:t xml:space="preserve"> </w:t>
      </w:r>
      <w:r>
        <w:rPr>
          <w:rFonts w:ascii="Times New Roman" w:hAnsi="Times New Roman" w:cs="Times New Roman"/>
        </w:rPr>
        <w:t xml:space="preserve">the </w:t>
      </w:r>
      <w:r w:rsidR="00FC5B34">
        <w:rPr>
          <w:rFonts w:ascii="Times New Roman" w:hAnsi="Times New Roman" w:cs="Times New Roman"/>
        </w:rPr>
        <w:t xml:space="preserve">opportunity </w:t>
      </w:r>
      <w:r>
        <w:rPr>
          <w:rFonts w:ascii="Times New Roman" w:hAnsi="Times New Roman" w:cs="Times New Roman"/>
        </w:rPr>
        <w:t xml:space="preserve">to calibrate industry and survey gear will not arise again until the 2023 survey. </w:t>
      </w:r>
    </w:p>
    <w:p w:rsidR="00BA31AC" w:rsidRDefault="00BA31AC" w:rsidP="00012FBA">
      <w:pPr>
        <w:ind w:firstLine="720"/>
        <w:rPr>
          <w:rFonts w:ascii="Times New Roman" w:hAnsi="Times New Roman" w:cs="Times New Roman"/>
        </w:rPr>
      </w:pPr>
      <w:r>
        <w:rPr>
          <w:rFonts w:ascii="Times New Roman" w:hAnsi="Times New Roman" w:cs="Times New Roman"/>
        </w:rPr>
        <w:t>Sampling of SIRRCA hauls was conducted in the factory of the catcher-processor vessels. Each cooperative research haul was whole-hauled for POP, northern and dusky rockfish; this means that each haul resulted in precise counts and weights for these 3 species. Length data was also collected; the sampling strategy was adjusted for the size of each tow where every fish was sampled for length if there was estimated to be less than 2000 of our target rockfish in a haul, and fish were subsampled at a rate of 1:10 if there were estimated to be over 2000</w:t>
      </w:r>
      <w:r w:rsidR="00012FBA">
        <w:rPr>
          <w:rFonts w:ascii="Times New Roman" w:hAnsi="Times New Roman" w:cs="Times New Roman"/>
        </w:rPr>
        <w:t xml:space="preserve"> individuals (Table 1)</w:t>
      </w:r>
      <w:r>
        <w:rPr>
          <w:rFonts w:ascii="Times New Roman" w:hAnsi="Times New Roman" w:cs="Times New Roman"/>
        </w:rPr>
        <w:t>. Data collection was per</w:t>
      </w:r>
      <w:r w:rsidR="00012FBA">
        <w:rPr>
          <w:rFonts w:ascii="Times New Roman" w:hAnsi="Times New Roman" w:cs="Times New Roman"/>
        </w:rPr>
        <w:t>formed by the SIRRCA scientists</w:t>
      </w:r>
      <w:r w:rsidR="00012FBA" w:rsidRPr="00012FBA">
        <w:rPr>
          <w:rFonts w:ascii="Times New Roman" w:hAnsi="Times New Roman" w:cs="Times New Roman"/>
        </w:rPr>
        <w:t xml:space="preserve"> (counts, lengths)</w:t>
      </w:r>
      <w:r w:rsidR="00012FBA">
        <w:rPr>
          <w:rFonts w:ascii="Times New Roman" w:hAnsi="Times New Roman" w:cs="Times New Roman"/>
        </w:rPr>
        <w:t xml:space="preserve"> </w:t>
      </w:r>
      <w:r>
        <w:rPr>
          <w:rFonts w:ascii="Times New Roman" w:hAnsi="Times New Roman" w:cs="Times New Roman"/>
        </w:rPr>
        <w:t xml:space="preserve">and factory crew (weights). SIRRCA </w:t>
      </w:r>
      <w:r w:rsidR="009618EB">
        <w:rPr>
          <w:rFonts w:ascii="Times New Roman" w:hAnsi="Times New Roman" w:cs="Times New Roman"/>
        </w:rPr>
        <w:t xml:space="preserve">2021 </w:t>
      </w:r>
      <w:r>
        <w:rPr>
          <w:rFonts w:ascii="Times New Roman" w:hAnsi="Times New Roman" w:cs="Times New Roman"/>
        </w:rPr>
        <w:t xml:space="preserve">hauls totaled &gt;78mt, including </w:t>
      </w:r>
      <w:r w:rsidR="00012FBA">
        <w:rPr>
          <w:rFonts w:ascii="Times New Roman" w:hAnsi="Times New Roman" w:cs="Times New Roman"/>
        </w:rPr>
        <w:t>&gt;38mt of POP</w:t>
      </w:r>
      <w:r>
        <w:rPr>
          <w:rFonts w:ascii="Times New Roman" w:hAnsi="Times New Roman" w:cs="Times New Roman"/>
        </w:rPr>
        <w:t xml:space="preserve">. </w:t>
      </w:r>
    </w:p>
    <w:p w:rsidR="009618EB" w:rsidRDefault="009618EB" w:rsidP="0023724F">
      <w:pPr>
        <w:ind w:firstLine="720"/>
        <w:rPr>
          <w:rFonts w:ascii="Times New Roman" w:hAnsi="Times New Roman" w:cs="Times New Roman"/>
        </w:rPr>
      </w:pPr>
      <w:r>
        <w:rPr>
          <w:rFonts w:ascii="Times New Roman" w:hAnsi="Times New Roman" w:cs="Times New Roman"/>
        </w:rPr>
        <w:t xml:space="preserve">We plan to conduct sampling focusing on experimental tows in </w:t>
      </w:r>
      <w:proofErr w:type="spellStart"/>
      <w:r>
        <w:rPr>
          <w:rFonts w:ascii="Times New Roman" w:hAnsi="Times New Roman" w:cs="Times New Roman"/>
        </w:rPr>
        <w:t>untrawlable</w:t>
      </w:r>
      <w:proofErr w:type="spellEnd"/>
      <w:r>
        <w:rPr>
          <w:rFonts w:ascii="Times New Roman" w:hAnsi="Times New Roman" w:cs="Times New Roman"/>
        </w:rPr>
        <w:t xml:space="preserve"> areas </w:t>
      </w:r>
      <w:r>
        <w:rPr>
          <w:rFonts w:ascii="Times New Roman" w:hAnsi="Times New Roman" w:cs="Times New Roman"/>
        </w:rPr>
        <w:t>in 2022</w:t>
      </w:r>
      <w:r>
        <w:rPr>
          <w:rFonts w:ascii="Times New Roman" w:hAnsi="Times New Roman" w:cs="Times New Roman"/>
        </w:rPr>
        <w:t xml:space="preserve">, and to conduct sampling in both </w:t>
      </w:r>
      <w:proofErr w:type="spellStart"/>
      <w:r>
        <w:rPr>
          <w:rFonts w:ascii="Times New Roman" w:hAnsi="Times New Roman" w:cs="Times New Roman"/>
        </w:rPr>
        <w:t>trawlable</w:t>
      </w:r>
      <w:proofErr w:type="spellEnd"/>
      <w:r>
        <w:rPr>
          <w:rFonts w:ascii="Times New Roman" w:hAnsi="Times New Roman" w:cs="Times New Roman"/>
        </w:rPr>
        <w:t xml:space="preserve"> and </w:t>
      </w:r>
      <w:proofErr w:type="spellStart"/>
      <w:r>
        <w:rPr>
          <w:rFonts w:ascii="Times New Roman" w:hAnsi="Times New Roman" w:cs="Times New Roman"/>
        </w:rPr>
        <w:t>untrawlable</w:t>
      </w:r>
      <w:proofErr w:type="spellEnd"/>
      <w:r>
        <w:rPr>
          <w:rFonts w:ascii="Times New Roman" w:hAnsi="Times New Roman" w:cs="Times New Roman"/>
        </w:rPr>
        <w:t xml:space="preserve"> areas concurrent with the GOA bottom trawl survey in 2023 and 2025. In the short term, we hope the data we collect will be useful in the assessment process by informing a prior on catchability. In the longer term, we hope the length and biomass data collected will be useful in the assessment process by facilitating the development of a separate index of relative rockfish abundance from </w:t>
      </w:r>
      <w:proofErr w:type="spellStart"/>
      <w:r>
        <w:rPr>
          <w:rFonts w:ascii="Times New Roman" w:hAnsi="Times New Roman" w:cs="Times New Roman"/>
        </w:rPr>
        <w:t>untrawlable</w:t>
      </w:r>
      <w:proofErr w:type="spellEnd"/>
      <w:r>
        <w:rPr>
          <w:rFonts w:ascii="Times New Roman" w:hAnsi="Times New Roman" w:cs="Times New Roman"/>
        </w:rPr>
        <w:t xml:space="preserve"> habitats, or by building a blended index of abundance using SIRRCA data and GOA bottom trawl survey data. </w:t>
      </w:r>
      <w:r w:rsidR="00FC0A94">
        <w:rPr>
          <w:rFonts w:ascii="Times New Roman" w:hAnsi="Times New Roman" w:cs="Times New Roman"/>
        </w:rPr>
        <w:t xml:space="preserve">We hope that </w:t>
      </w:r>
      <w:r w:rsidR="0023724F">
        <w:rPr>
          <w:rFonts w:ascii="Times New Roman" w:hAnsi="Times New Roman" w:cs="Times New Roman"/>
        </w:rPr>
        <w:t>our project</w:t>
      </w:r>
      <w:r w:rsidR="00FC0A94">
        <w:rPr>
          <w:rFonts w:ascii="Times New Roman" w:hAnsi="Times New Roman" w:cs="Times New Roman"/>
        </w:rPr>
        <w:t xml:space="preserve"> will add to the recent efforts on behalf of scientists at the AFSC </w:t>
      </w:r>
      <w:r w:rsidR="00FC0A94" w:rsidRPr="00FC0A94">
        <w:rPr>
          <w:rFonts w:ascii="Times New Roman" w:hAnsi="Times New Roman" w:cs="Times New Roman"/>
        </w:rPr>
        <w:t xml:space="preserve">to understand differences in seafloor characteristics and fish densities between </w:t>
      </w:r>
      <w:proofErr w:type="spellStart"/>
      <w:r w:rsidR="00FC0A94" w:rsidRPr="00FC0A94">
        <w:rPr>
          <w:rFonts w:ascii="Times New Roman" w:hAnsi="Times New Roman" w:cs="Times New Roman"/>
        </w:rPr>
        <w:t>trawlable</w:t>
      </w:r>
      <w:proofErr w:type="spellEnd"/>
      <w:r w:rsidR="00FC0A94" w:rsidRPr="00FC0A94">
        <w:rPr>
          <w:rFonts w:ascii="Times New Roman" w:hAnsi="Times New Roman" w:cs="Times New Roman"/>
        </w:rPr>
        <w:t xml:space="preserve"> and </w:t>
      </w:r>
      <w:proofErr w:type="spellStart"/>
      <w:r w:rsidR="00FC0A94" w:rsidRPr="00FC0A94">
        <w:rPr>
          <w:rFonts w:ascii="Times New Roman" w:hAnsi="Times New Roman" w:cs="Times New Roman"/>
        </w:rPr>
        <w:t>untrawlable</w:t>
      </w:r>
      <w:proofErr w:type="spellEnd"/>
      <w:r w:rsidR="00FC0A94" w:rsidRPr="00FC0A94">
        <w:rPr>
          <w:rFonts w:ascii="Times New Roman" w:hAnsi="Times New Roman" w:cs="Times New Roman"/>
        </w:rPr>
        <w:t xml:space="preserve"> habitats (Baker et al. 2019, Jones et al. 2021, </w:t>
      </w:r>
      <w:proofErr w:type="spellStart"/>
      <w:proofErr w:type="gramStart"/>
      <w:r w:rsidR="00FC0A94" w:rsidRPr="00FC0A94">
        <w:rPr>
          <w:rFonts w:ascii="Times New Roman" w:hAnsi="Times New Roman" w:cs="Times New Roman"/>
        </w:rPr>
        <w:t>Steinessen</w:t>
      </w:r>
      <w:proofErr w:type="spellEnd"/>
      <w:proofErr w:type="gramEnd"/>
      <w:r w:rsidR="00FC0A94" w:rsidRPr="00FC0A94">
        <w:rPr>
          <w:rFonts w:ascii="Times New Roman" w:hAnsi="Times New Roman" w:cs="Times New Roman"/>
        </w:rPr>
        <w:t xml:space="preserve"> et al. 2021)</w:t>
      </w:r>
      <w:r w:rsidR="0023724F">
        <w:rPr>
          <w:rFonts w:ascii="Times New Roman" w:hAnsi="Times New Roman" w:cs="Times New Roman"/>
        </w:rPr>
        <w:t xml:space="preserve"> and that </w:t>
      </w:r>
      <w:r w:rsidR="00E45115">
        <w:rPr>
          <w:rFonts w:ascii="Times New Roman" w:hAnsi="Times New Roman" w:cs="Times New Roman"/>
        </w:rPr>
        <w:t xml:space="preserve">the continuation of </w:t>
      </w:r>
      <w:r w:rsidR="0023724F">
        <w:rPr>
          <w:rFonts w:ascii="Times New Roman" w:hAnsi="Times New Roman" w:cs="Times New Roman"/>
        </w:rPr>
        <w:t>cooperatively collected data will improve the accuracy and precision of future POP assessments</w:t>
      </w:r>
      <w:r w:rsidR="00FC0A94" w:rsidRPr="00FC0A94">
        <w:rPr>
          <w:rFonts w:ascii="Times New Roman" w:hAnsi="Times New Roman" w:cs="Times New Roman"/>
        </w:rPr>
        <w:t>.</w:t>
      </w:r>
      <w:r w:rsidR="00FC0A94" w:rsidRPr="00FC0A94">
        <w:t xml:space="preserve"> </w:t>
      </w:r>
    </w:p>
    <w:p w:rsidR="00012FBA" w:rsidRDefault="00012FBA" w:rsidP="00012FBA">
      <w:pPr>
        <w:rPr>
          <w:rFonts w:ascii="Times New Roman" w:hAnsi="Times New Roman" w:cs="Times New Roman"/>
        </w:rPr>
      </w:pPr>
    </w:p>
    <w:p w:rsidR="00012FBA" w:rsidRDefault="00012FBA" w:rsidP="00012FBA">
      <w:pPr>
        <w:rPr>
          <w:rFonts w:ascii="Times New Roman" w:hAnsi="Times New Roman" w:cs="Times New Roman"/>
        </w:rPr>
      </w:pPr>
      <w:r>
        <w:rPr>
          <w:rFonts w:ascii="Times New Roman" w:hAnsi="Times New Roman" w:cs="Times New Roman"/>
        </w:rPr>
        <w:t>Literature Cited</w:t>
      </w:r>
    </w:p>
    <w:p w:rsidR="00E45115" w:rsidRDefault="0023724F">
      <w:pPr>
        <w:rPr>
          <w:rFonts w:ascii="Times New Roman" w:hAnsi="Times New Roman" w:cs="Times New Roman"/>
        </w:rPr>
      </w:pPr>
      <w:r w:rsidRPr="0023724F">
        <w:rPr>
          <w:rFonts w:ascii="Times New Roman" w:hAnsi="Times New Roman" w:cs="Times New Roman"/>
        </w:rPr>
        <w:t>Baker</w:t>
      </w:r>
      <w:r w:rsidR="00E45115">
        <w:rPr>
          <w:rFonts w:ascii="Times New Roman" w:hAnsi="Times New Roman" w:cs="Times New Roman"/>
        </w:rPr>
        <w:t xml:space="preserve">, M., W. </w:t>
      </w:r>
      <w:proofErr w:type="spellStart"/>
      <w:r w:rsidR="00E45115">
        <w:rPr>
          <w:rFonts w:ascii="Times New Roman" w:hAnsi="Times New Roman" w:cs="Times New Roman"/>
        </w:rPr>
        <w:t>Palsson</w:t>
      </w:r>
      <w:proofErr w:type="spellEnd"/>
      <w:r w:rsidR="00E45115">
        <w:rPr>
          <w:rFonts w:ascii="Times New Roman" w:hAnsi="Times New Roman" w:cs="Times New Roman"/>
        </w:rPr>
        <w:t xml:space="preserve">, M. Zimmermann, C. </w:t>
      </w:r>
      <w:proofErr w:type="spellStart"/>
      <w:r w:rsidR="00E45115">
        <w:rPr>
          <w:rFonts w:ascii="Times New Roman" w:hAnsi="Times New Roman" w:cs="Times New Roman"/>
        </w:rPr>
        <w:t>Rooper</w:t>
      </w:r>
      <w:proofErr w:type="spellEnd"/>
      <w:r w:rsidR="00E45115">
        <w:rPr>
          <w:rFonts w:ascii="Times New Roman" w:hAnsi="Times New Roman" w:cs="Times New Roman"/>
        </w:rPr>
        <w:t xml:space="preserve">. 2019. </w:t>
      </w:r>
      <w:r w:rsidR="00E45115" w:rsidRPr="00E45115">
        <w:rPr>
          <w:rFonts w:ascii="Times New Roman" w:hAnsi="Times New Roman" w:cs="Times New Roman"/>
        </w:rPr>
        <w:t xml:space="preserve">Model of </w:t>
      </w:r>
      <w:proofErr w:type="spellStart"/>
      <w:r w:rsidR="00E45115" w:rsidRPr="00E45115">
        <w:rPr>
          <w:rFonts w:ascii="Times New Roman" w:hAnsi="Times New Roman" w:cs="Times New Roman"/>
        </w:rPr>
        <w:t>trawlable</w:t>
      </w:r>
      <w:proofErr w:type="spellEnd"/>
      <w:r w:rsidR="00E45115" w:rsidRPr="00E45115">
        <w:rPr>
          <w:rFonts w:ascii="Times New Roman" w:hAnsi="Times New Roman" w:cs="Times New Roman"/>
        </w:rPr>
        <w:t xml:space="preserve"> area using benthic terr</w:t>
      </w:r>
      <w:r w:rsidR="00E45115">
        <w:rPr>
          <w:rFonts w:ascii="Times New Roman" w:hAnsi="Times New Roman" w:cs="Times New Roman"/>
        </w:rPr>
        <w:t xml:space="preserve">ain and oceanographic variables - </w:t>
      </w:r>
      <w:r w:rsidR="00E45115" w:rsidRPr="00E45115">
        <w:rPr>
          <w:rFonts w:ascii="Times New Roman" w:hAnsi="Times New Roman" w:cs="Times New Roman"/>
        </w:rPr>
        <w:t>Informing survey design and habitat maps in the Gulf of Alaska</w:t>
      </w:r>
      <w:r w:rsidR="00E45115">
        <w:rPr>
          <w:rFonts w:ascii="Times New Roman" w:hAnsi="Times New Roman" w:cs="Times New Roman"/>
        </w:rPr>
        <w:t xml:space="preserve">. </w:t>
      </w:r>
      <w:r w:rsidR="00E45115" w:rsidRPr="00E45115">
        <w:rPr>
          <w:rFonts w:ascii="Times New Roman" w:hAnsi="Times New Roman" w:cs="Times New Roman"/>
        </w:rPr>
        <w:t>Fisheries Oceanog</w:t>
      </w:r>
      <w:r w:rsidR="00E45115">
        <w:rPr>
          <w:rFonts w:ascii="Times New Roman" w:hAnsi="Times New Roman" w:cs="Times New Roman"/>
        </w:rPr>
        <w:t xml:space="preserve">raphy. </w:t>
      </w:r>
      <w:r w:rsidR="00E45115" w:rsidRPr="00E45115">
        <w:rPr>
          <w:rFonts w:ascii="Times New Roman" w:hAnsi="Times New Roman" w:cs="Times New Roman"/>
        </w:rPr>
        <w:t>28:</w:t>
      </w:r>
      <w:r w:rsidR="00E45115">
        <w:rPr>
          <w:rFonts w:ascii="Times New Roman" w:hAnsi="Times New Roman" w:cs="Times New Roman"/>
        </w:rPr>
        <w:t xml:space="preserve"> 629-</w:t>
      </w:r>
      <w:r w:rsidR="00E45115" w:rsidRPr="00E45115">
        <w:rPr>
          <w:rFonts w:ascii="Times New Roman" w:hAnsi="Times New Roman" w:cs="Times New Roman"/>
        </w:rPr>
        <w:t>657</w:t>
      </w:r>
      <w:r w:rsidR="00E45115">
        <w:rPr>
          <w:rFonts w:ascii="Times New Roman" w:hAnsi="Times New Roman" w:cs="Times New Roman"/>
        </w:rPr>
        <w:t>.</w:t>
      </w:r>
    </w:p>
    <w:p w:rsidR="006F7D1F" w:rsidRDefault="006F7D1F">
      <w:pPr>
        <w:rPr>
          <w:rFonts w:ascii="Times New Roman" w:hAnsi="Times New Roman" w:cs="Times New Roman"/>
        </w:rPr>
      </w:pPr>
      <w:r w:rsidRPr="0023724F">
        <w:rPr>
          <w:rFonts w:ascii="Times New Roman" w:hAnsi="Times New Roman" w:cs="Times New Roman"/>
        </w:rPr>
        <w:t>Hartley, T., and R. Robinson. 2006. Emergence of multi-stakeholder-driven cooperative research in the Northwest Atlantic: The case of the Northeast Consortium. Marine Policy, 30: 580-592.</w:t>
      </w:r>
    </w:p>
    <w:p w:rsidR="00E45115" w:rsidRDefault="00E45115" w:rsidP="00E45115">
      <w:pPr>
        <w:rPr>
          <w:rFonts w:ascii="Times New Roman" w:hAnsi="Times New Roman" w:cs="Times New Roman"/>
        </w:rPr>
      </w:pPr>
      <w:r w:rsidRPr="00E45115">
        <w:rPr>
          <w:rFonts w:ascii="Times New Roman" w:hAnsi="Times New Roman" w:cs="Times New Roman"/>
        </w:rPr>
        <w:t>Jones,</w:t>
      </w:r>
      <w:r>
        <w:rPr>
          <w:rFonts w:ascii="Times New Roman" w:hAnsi="Times New Roman" w:cs="Times New Roman"/>
        </w:rPr>
        <w:t xml:space="preserve"> D., C. </w:t>
      </w:r>
      <w:proofErr w:type="spellStart"/>
      <w:r>
        <w:rPr>
          <w:rFonts w:ascii="Times New Roman" w:hAnsi="Times New Roman" w:cs="Times New Roman"/>
        </w:rPr>
        <w:t>Rooper</w:t>
      </w:r>
      <w:proofErr w:type="spellEnd"/>
      <w:r>
        <w:rPr>
          <w:rFonts w:ascii="Times New Roman" w:hAnsi="Times New Roman" w:cs="Times New Roman"/>
        </w:rPr>
        <w:t xml:space="preserve">, C. Wilson, P. Spencer, D. </w:t>
      </w:r>
      <w:proofErr w:type="spellStart"/>
      <w:r>
        <w:rPr>
          <w:rFonts w:ascii="Times New Roman" w:hAnsi="Times New Roman" w:cs="Times New Roman"/>
        </w:rPr>
        <w:t>Hanselman</w:t>
      </w:r>
      <w:proofErr w:type="spellEnd"/>
      <w:r>
        <w:rPr>
          <w:rFonts w:ascii="Times New Roman" w:hAnsi="Times New Roman" w:cs="Times New Roman"/>
        </w:rPr>
        <w:t>, R</w:t>
      </w:r>
      <w:r w:rsidRPr="00E45115">
        <w:rPr>
          <w:rFonts w:ascii="Times New Roman" w:hAnsi="Times New Roman" w:cs="Times New Roman"/>
        </w:rPr>
        <w:t xml:space="preserve">. </w:t>
      </w:r>
      <w:proofErr w:type="spellStart"/>
      <w:r w:rsidRPr="00E45115">
        <w:rPr>
          <w:rFonts w:ascii="Times New Roman" w:hAnsi="Times New Roman" w:cs="Times New Roman"/>
        </w:rPr>
        <w:t>Wilborn</w:t>
      </w:r>
      <w:proofErr w:type="spellEnd"/>
      <w:r w:rsidRPr="00E45115">
        <w:rPr>
          <w:rFonts w:ascii="Times New Roman" w:hAnsi="Times New Roman" w:cs="Times New Roman"/>
        </w:rPr>
        <w:t>,</w:t>
      </w:r>
      <w:r>
        <w:rPr>
          <w:rFonts w:ascii="Times New Roman" w:hAnsi="Times New Roman" w:cs="Times New Roman"/>
        </w:rPr>
        <w:t xml:space="preserve"> 2021. </w:t>
      </w:r>
      <w:r w:rsidRPr="00E45115">
        <w:rPr>
          <w:rFonts w:ascii="Times New Roman" w:hAnsi="Times New Roman" w:cs="Times New Roman"/>
        </w:rPr>
        <w:t>Estimates of availability and catchability for select rockfish species based on acoustic-opti</w:t>
      </w:r>
      <w:r>
        <w:rPr>
          <w:rFonts w:ascii="Times New Roman" w:hAnsi="Times New Roman" w:cs="Times New Roman"/>
        </w:rPr>
        <w:t xml:space="preserve">c surveys in the Gulf of Alaska. </w:t>
      </w:r>
      <w:r w:rsidRPr="00E45115">
        <w:rPr>
          <w:rFonts w:ascii="Times New Roman" w:hAnsi="Times New Roman" w:cs="Times New Roman"/>
        </w:rPr>
        <w:t>Fis</w:t>
      </w:r>
      <w:r w:rsidR="006F7D1F">
        <w:rPr>
          <w:rFonts w:ascii="Times New Roman" w:hAnsi="Times New Roman" w:cs="Times New Roman"/>
        </w:rPr>
        <w:t xml:space="preserve">heries Research. 236: </w:t>
      </w:r>
      <w:r w:rsidRPr="00E45115">
        <w:rPr>
          <w:rFonts w:ascii="Times New Roman" w:hAnsi="Times New Roman" w:cs="Times New Roman"/>
        </w:rPr>
        <w:t>105848</w:t>
      </w:r>
      <w:r w:rsidR="006F7D1F">
        <w:rPr>
          <w:rFonts w:ascii="Times New Roman" w:hAnsi="Times New Roman" w:cs="Times New Roman"/>
        </w:rPr>
        <w:t>.</w:t>
      </w:r>
    </w:p>
    <w:p w:rsidR="006F7D1F" w:rsidRDefault="006F7D1F" w:rsidP="00E45115">
      <w:pPr>
        <w:rPr>
          <w:rFonts w:ascii="Times New Roman" w:hAnsi="Times New Roman" w:cs="Times New Roman"/>
        </w:rPr>
      </w:pPr>
      <w:r w:rsidRPr="00012FBA">
        <w:rPr>
          <w:rFonts w:ascii="Times New Roman" w:hAnsi="Times New Roman" w:cs="Times New Roman"/>
        </w:rPr>
        <w:t xml:space="preserve">Maunder, M.N., </w:t>
      </w:r>
      <w:proofErr w:type="spellStart"/>
      <w:r w:rsidRPr="00012FBA">
        <w:rPr>
          <w:rFonts w:ascii="Times New Roman" w:hAnsi="Times New Roman" w:cs="Times New Roman"/>
        </w:rPr>
        <w:t>Sibert</w:t>
      </w:r>
      <w:proofErr w:type="spellEnd"/>
      <w:r w:rsidRPr="00012FBA">
        <w:rPr>
          <w:rFonts w:ascii="Times New Roman" w:hAnsi="Times New Roman" w:cs="Times New Roman"/>
        </w:rPr>
        <w:t xml:space="preserve">, J.R. </w:t>
      </w:r>
      <w:proofErr w:type="spellStart"/>
      <w:r w:rsidRPr="00012FBA">
        <w:rPr>
          <w:rFonts w:ascii="Times New Roman" w:hAnsi="Times New Roman" w:cs="Times New Roman"/>
        </w:rPr>
        <w:t>Fonteneau</w:t>
      </w:r>
      <w:proofErr w:type="spellEnd"/>
      <w:r w:rsidRPr="00012FBA">
        <w:rPr>
          <w:rFonts w:ascii="Times New Roman" w:hAnsi="Times New Roman" w:cs="Times New Roman"/>
        </w:rPr>
        <w:t xml:space="preserve">, A., Hampton, J., </w:t>
      </w:r>
      <w:proofErr w:type="spellStart"/>
      <w:r w:rsidRPr="00012FBA">
        <w:rPr>
          <w:rFonts w:ascii="Times New Roman" w:hAnsi="Times New Roman" w:cs="Times New Roman"/>
        </w:rPr>
        <w:t>Kleiber</w:t>
      </w:r>
      <w:proofErr w:type="spellEnd"/>
      <w:r w:rsidRPr="00012FBA">
        <w:rPr>
          <w:rFonts w:ascii="Times New Roman" w:hAnsi="Times New Roman" w:cs="Times New Roman"/>
        </w:rPr>
        <w:t>, P., and Harley, S.J. 2006. Interpreting catch per unit effort data to assess the status of individual stocks and communities. ICES Journal of Marine Science, 63: 1373-1385</w:t>
      </w:r>
    </w:p>
    <w:p w:rsidR="006F7D1F" w:rsidRDefault="006F7D1F" w:rsidP="00E45115">
      <w:pPr>
        <w:rPr>
          <w:rFonts w:ascii="Times New Roman" w:hAnsi="Times New Roman" w:cs="Times New Roman"/>
        </w:rPr>
      </w:pPr>
      <w:proofErr w:type="spellStart"/>
      <w:r w:rsidRPr="006F7D1F">
        <w:rPr>
          <w:rFonts w:ascii="Times New Roman" w:hAnsi="Times New Roman" w:cs="Times New Roman"/>
        </w:rPr>
        <w:t>Rooper</w:t>
      </w:r>
      <w:proofErr w:type="spellEnd"/>
      <w:r w:rsidRPr="006F7D1F">
        <w:rPr>
          <w:rFonts w:ascii="Times New Roman" w:hAnsi="Times New Roman" w:cs="Times New Roman"/>
        </w:rPr>
        <w:t>, C., M. Martin. 2012. Comparison of habitat-based indices of abundance with fishery-independent biomass estimates from bottom trawl surveys. Fishery Bulletin 110: 21-35.</w:t>
      </w:r>
    </w:p>
    <w:p w:rsidR="006F7D1F" w:rsidRDefault="006F7D1F" w:rsidP="006F7D1F">
      <w:pPr>
        <w:rPr>
          <w:rFonts w:ascii="Times New Roman" w:hAnsi="Times New Roman" w:cs="Times New Roman"/>
        </w:rPr>
      </w:pPr>
      <w:r w:rsidRPr="00012FBA">
        <w:rPr>
          <w:rFonts w:ascii="Times New Roman" w:hAnsi="Times New Roman" w:cs="Times New Roman"/>
        </w:rPr>
        <w:lastRenderedPageBreak/>
        <w:t xml:space="preserve">Steins, N., M. </w:t>
      </w:r>
      <w:proofErr w:type="spellStart"/>
      <w:r w:rsidRPr="00012FBA">
        <w:rPr>
          <w:rFonts w:ascii="Times New Roman" w:hAnsi="Times New Roman" w:cs="Times New Roman"/>
        </w:rPr>
        <w:t>Kraan</w:t>
      </w:r>
      <w:proofErr w:type="spellEnd"/>
      <w:r w:rsidRPr="00012FBA">
        <w:rPr>
          <w:rFonts w:ascii="Times New Roman" w:hAnsi="Times New Roman" w:cs="Times New Roman"/>
        </w:rPr>
        <w:t xml:space="preserve">, K. van der </w:t>
      </w:r>
      <w:proofErr w:type="spellStart"/>
      <w:r w:rsidRPr="00012FBA">
        <w:rPr>
          <w:rFonts w:ascii="Times New Roman" w:hAnsi="Times New Roman" w:cs="Times New Roman"/>
        </w:rPr>
        <w:t>Reijden</w:t>
      </w:r>
      <w:proofErr w:type="spellEnd"/>
      <w:r w:rsidRPr="00012FBA">
        <w:rPr>
          <w:rFonts w:ascii="Times New Roman" w:hAnsi="Times New Roman" w:cs="Times New Roman"/>
        </w:rPr>
        <w:t xml:space="preserve">, F. </w:t>
      </w:r>
      <w:proofErr w:type="spellStart"/>
      <w:r w:rsidRPr="00012FBA">
        <w:rPr>
          <w:rFonts w:ascii="Times New Roman" w:hAnsi="Times New Roman" w:cs="Times New Roman"/>
        </w:rPr>
        <w:t>Quirijns</w:t>
      </w:r>
      <w:proofErr w:type="spellEnd"/>
      <w:r w:rsidRPr="00012FBA">
        <w:rPr>
          <w:rFonts w:ascii="Times New Roman" w:hAnsi="Times New Roman" w:cs="Times New Roman"/>
        </w:rPr>
        <w:t xml:space="preserve">, W. van </w:t>
      </w:r>
      <w:proofErr w:type="spellStart"/>
      <w:r w:rsidRPr="00012FBA">
        <w:rPr>
          <w:rFonts w:ascii="Times New Roman" w:hAnsi="Times New Roman" w:cs="Times New Roman"/>
        </w:rPr>
        <w:t>Broekhoven</w:t>
      </w:r>
      <w:proofErr w:type="spellEnd"/>
      <w:r w:rsidRPr="00012FBA">
        <w:rPr>
          <w:rFonts w:ascii="Times New Roman" w:hAnsi="Times New Roman" w:cs="Times New Roman"/>
        </w:rPr>
        <w:t>, J. Poos. 2019. Integrating collaborative research in marine science: Recommendations from an evaluation of evolving science-industry partnerships in Dutch demersal fisheries. Fish and Fisheries, 21(1): 146-161.</w:t>
      </w:r>
    </w:p>
    <w:p w:rsidR="006F7D1F" w:rsidRDefault="006F7D1F" w:rsidP="00E45115">
      <w:pPr>
        <w:rPr>
          <w:rFonts w:ascii="Times New Roman" w:hAnsi="Times New Roman" w:cs="Times New Roman"/>
        </w:rPr>
      </w:pPr>
      <w:bookmarkStart w:id="0" w:name="_GoBack"/>
      <w:bookmarkEnd w:id="0"/>
      <w:proofErr w:type="spellStart"/>
      <w:r>
        <w:rPr>
          <w:rFonts w:ascii="Times New Roman" w:hAnsi="Times New Roman" w:cs="Times New Roman"/>
        </w:rPr>
        <w:t>Stienessen</w:t>
      </w:r>
      <w:proofErr w:type="spellEnd"/>
      <w:r>
        <w:rPr>
          <w:rFonts w:ascii="Times New Roman" w:hAnsi="Times New Roman" w:cs="Times New Roman"/>
        </w:rPr>
        <w:t xml:space="preserve">, S., C. </w:t>
      </w:r>
      <w:proofErr w:type="spellStart"/>
      <w:r>
        <w:rPr>
          <w:rFonts w:ascii="Times New Roman" w:hAnsi="Times New Roman" w:cs="Times New Roman"/>
        </w:rPr>
        <w:t>Rooper</w:t>
      </w:r>
      <w:proofErr w:type="spellEnd"/>
      <w:r>
        <w:rPr>
          <w:rFonts w:ascii="Times New Roman" w:hAnsi="Times New Roman" w:cs="Times New Roman"/>
        </w:rPr>
        <w:t xml:space="preserve">, T. </w:t>
      </w:r>
      <w:proofErr w:type="spellStart"/>
      <w:r w:rsidRPr="006F7D1F">
        <w:rPr>
          <w:rFonts w:ascii="Times New Roman" w:hAnsi="Times New Roman" w:cs="Times New Roman"/>
        </w:rPr>
        <w:t>Webe</w:t>
      </w:r>
      <w:proofErr w:type="spellEnd"/>
      <w:r w:rsidRPr="006F7D1F">
        <w:rPr>
          <w:rFonts w:ascii="Times New Roman" w:hAnsi="Times New Roman" w:cs="Times New Roman"/>
        </w:rPr>
        <w:t xml:space="preserve">, </w:t>
      </w:r>
      <w:r>
        <w:rPr>
          <w:rFonts w:ascii="Times New Roman" w:hAnsi="Times New Roman" w:cs="Times New Roman"/>
        </w:rPr>
        <w:t xml:space="preserve">D. </w:t>
      </w:r>
      <w:r w:rsidRPr="006F7D1F">
        <w:rPr>
          <w:rFonts w:ascii="Times New Roman" w:hAnsi="Times New Roman" w:cs="Times New Roman"/>
        </w:rPr>
        <w:t xml:space="preserve">Jones, </w:t>
      </w:r>
      <w:r>
        <w:rPr>
          <w:rFonts w:ascii="Times New Roman" w:hAnsi="Times New Roman" w:cs="Times New Roman"/>
        </w:rPr>
        <w:t xml:space="preserve">J. </w:t>
      </w:r>
      <w:proofErr w:type="spellStart"/>
      <w:r w:rsidRPr="006F7D1F">
        <w:rPr>
          <w:rFonts w:ascii="Times New Roman" w:hAnsi="Times New Roman" w:cs="Times New Roman"/>
        </w:rPr>
        <w:t>Pirtle</w:t>
      </w:r>
      <w:proofErr w:type="spellEnd"/>
      <w:r w:rsidRPr="006F7D1F">
        <w:rPr>
          <w:rFonts w:ascii="Times New Roman" w:hAnsi="Times New Roman" w:cs="Times New Roman"/>
        </w:rPr>
        <w:t xml:space="preserve">, </w:t>
      </w:r>
      <w:r>
        <w:rPr>
          <w:rFonts w:ascii="Times New Roman" w:hAnsi="Times New Roman" w:cs="Times New Roman"/>
        </w:rPr>
        <w:t xml:space="preserve">C. </w:t>
      </w:r>
      <w:r w:rsidRPr="006F7D1F">
        <w:rPr>
          <w:rFonts w:ascii="Times New Roman" w:hAnsi="Times New Roman" w:cs="Times New Roman"/>
        </w:rPr>
        <w:t>Wilson</w:t>
      </w:r>
      <w:r>
        <w:rPr>
          <w:rFonts w:ascii="Times New Roman" w:hAnsi="Times New Roman" w:cs="Times New Roman"/>
        </w:rPr>
        <w:t>. 2021</w:t>
      </w:r>
      <w:r w:rsidRPr="006F7D1F">
        <w:rPr>
          <w:rFonts w:ascii="Times New Roman" w:hAnsi="Times New Roman" w:cs="Times New Roman"/>
        </w:rPr>
        <w:t xml:space="preserve">. Comparison of model types for prediction of seafloor </w:t>
      </w:r>
      <w:proofErr w:type="spellStart"/>
      <w:r w:rsidRPr="006F7D1F">
        <w:rPr>
          <w:rFonts w:ascii="Times New Roman" w:hAnsi="Times New Roman" w:cs="Times New Roman"/>
        </w:rPr>
        <w:t>trawlability</w:t>
      </w:r>
      <w:proofErr w:type="spellEnd"/>
      <w:r w:rsidRPr="006F7D1F">
        <w:rPr>
          <w:rFonts w:ascii="Times New Roman" w:hAnsi="Times New Roman" w:cs="Times New Roman"/>
        </w:rPr>
        <w:t xml:space="preserve"> in the Gulf of Alaska by using </w:t>
      </w:r>
      <w:proofErr w:type="spellStart"/>
      <w:r w:rsidRPr="006F7D1F">
        <w:rPr>
          <w:rFonts w:ascii="Times New Roman" w:hAnsi="Times New Roman" w:cs="Times New Roman"/>
        </w:rPr>
        <w:t>multibeam</w:t>
      </w:r>
      <w:proofErr w:type="spellEnd"/>
      <w:r w:rsidRPr="006F7D1F">
        <w:rPr>
          <w:rFonts w:ascii="Times New Roman" w:hAnsi="Times New Roman" w:cs="Times New Roman"/>
        </w:rPr>
        <w:t xml:space="preserve"> son</w:t>
      </w:r>
      <w:r>
        <w:rPr>
          <w:rFonts w:ascii="Times New Roman" w:hAnsi="Times New Roman" w:cs="Times New Roman"/>
        </w:rPr>
        <w:t xml:space="preserve">ar data. Fishery Bulletin. 119: </w:t>
      </w:r>
      <w:r w:rsidRPr="006F7D1F">
        <w:rPr>
          <w:rFonts w:ascii="Times New Roman" w:hAnsi="Times New Roman" w:cs="Times New Roman"/>
        </w:rPr>
        <w:t xml:space="preserve">184-196. </w:t>
      </w:r>
    </w:p>
    <w:p w:rsidR="006F7D1F" w:rsidRDefault="006F7D1F" w:rsidP="006F7D1F">
      <w:pPr>
        <w:rPr>
          <w:rFonts w:ascii="Times New Roman" w:hAnsi="Times New Roman" w:cs="Times New Roman"/>
        </w:rPr>
      </w:pPr>
      <w:r w:rsidRPr="006F7D1F">
        <w:rPr>
          <w:rFonts w:ascii="Times New Roman" w:hAnsi="Times New Roman" w:cs="Times New Roman"/>
        </w:rPr>
        <w:t xml:space="preserve">Zimmermann, M. 2003. Calculation of </w:t>
      </w:r>
      <w:proofErr w:type="spellStart"/>
      <w:r w:rsidRPr="006F7D1F">
        <w:rPr>
          <w:rFonts w:ascii="Times New Roman" w:hAnsi="Times New Roman" w:cs="Times New Roman"/>
        </w:rPr>
        <w:t>untrawlable</w:t>
      </w:r>
      <w:proofErr w:type="spellEnd"/>
      <w:r w:rsidRPr="006F7D1F">
        <w:rPr>
          <w:rFonts w:ascii="Times New Roman" w:hAnsi="Times New Roman" w:cs="Times New Roman"/>
        </w:rPr>
        <w:t xml:space="preserve"> areas within the boundaries of a bottom trawl survey. Canadian Journal of Fisheries and Aquatic Science 60: 657–669.</w:t>
      </w:r>
    </w:p>
    <w:p w:rsidR="0023724F" w:rsidRDefault="0023724F" w:rsidP="00E45115">
      <w:pPr>
        <w:rPr>
          <w:rFonts w:ascii="Times New Roman" w:hAnsi="Times New Roman" w:cs="Times New Roman"/>
        </w:rPr>
      </w:pPr>
      <w:r>
        <w:rPr>
          <w:rFonts w:ascii="Times New Roman" w:hAnsi="Times New Roman" w:cs="Times New Roman"/>
        </w:rPr>
        <w:br w:type="page"/>
      </w:r>
    </w:p>
    <w:p w:rsidR="00CF5372" w:rsidRDefault="008E1F0F">
      <w:pPr>
        <w:rPr>
          <w:rFonts w:ascii="Times New Roman" w:hAnsi="Times New Roman" w:cs="Times New Roman"/>
        </w:rPr>
      </w:pPr>
      <w:r>
        <w:rPr>
          <w:rFonts w:ascii="Times New Roman" w:hAnsi="Times New Roman" w:cs="Times New Roman"/>
        </w:rPr>
        <w:lastRenderedPageBreak/>
        <w:t xml:space="preserve">Table 1: Preliminary data </w:t>
      </w:r>
      <w:r w:rsidRPr="008E1F0F">
        <w:rPr>
          <w:rFonts w:ascii="Times New Roman" w:hAnsi="Times New Roman" w:cs="Times New Roman"/>
        </w:rPr>
        <w:t xml:space="preserve">for Pacific Ocean perch </w:t>
      </w:r>
      <w:r>
        <w:rPr>
          <w:rFonts w:ascii="Times New Roman" w:hAnsi="Times New Roman" w:cs="Times New Roman"/>
        </w:rPr>
        <w:t>from 2021 SIRRCA cooperative survey hauls.</w:t>
      </w:r>
    </w:p>
    <w:tbl>
      <w:tblPr>
        <w:tblStyle w:val="TableGrid"/>
        <w:tblW w:w="9350" w:type="dxa"/>
        <w:tblLook w:val="04A0" w:firstRow="1" w:lastRow="0" w:firstColumn="1" w:lastColumn="0" w:noHBand="0" w:noVBand="1"/>
      </w:tblPr>
      <w:tblGrid>
        <w:gridCol w:w="1558"/>
        <w:gridCol w:w="1558"/>
        <w:gridCol w:w="1558"/>
        <w:gridCol w:w="1558"/>
        <w:gridCol w:w="1559"/>
        <w:gridCol w:w="1559"/>
      </w:tblGrid>
      <w:tr w:rsidR="008E1F0F" w:rsidRPr="008E1F0F" w:rsidTr="008E1F0F">
        <w:trPr>
          <w:trHeight w:val="59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Station sampled</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Haul type</w:t>
            </w:r>
          </w:p>
        </w:tc>
        <w:tc>
          <w:tcPr>
            <w:tcW w:w="1558"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SIRRCA haul date</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POP (kg)</w:t>
            </w:r>
          </w:p>
        </w:tc>
        <w:tc>
          <w:tcPr>
            <w:tcW w:w="1559"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POP (n)</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Length sampling scheme</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166-73</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6/5/2021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2494.4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3640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171-96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6/7/2021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2658.66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3159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192-94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323.14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436</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196-88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146.2</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187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194-89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19.56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191-86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349.65</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549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175-79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1300.6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3027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174-77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1975.75</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3889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174-78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2786.93</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4685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158-69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6/17/2021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538.17</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692</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142-58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6/18/2021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235.6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420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144-58</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6/18/2021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5259.75</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7931</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134-57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6/19/2021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318.78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679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136-55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6/19/2021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265.54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379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235-149</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392.98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433</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237-150</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7930.61</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8805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239-145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3264.21</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3848</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243-147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1073.82</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1307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245-146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64.64</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84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249-147</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1789.77</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2274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239-132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1996.69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2832</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131-55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Experimental</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5</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131-55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Experimental</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7/21/2021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646.82</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2368</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111-62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2.96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9</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104-55</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N/A</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102-44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0.27</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97-44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Experimental</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7/22/2021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0</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N/A</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64-36</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1.6</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55-32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49.39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87</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54-32</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7.38</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14</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53-33</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7/23/2021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48.39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161</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w:t>
            </w:r>
          </w:p>
        </w:tc>
      </w:tr>
      <w:tr w:rsidR="008E1F0F" w:rsidRPr="008E1F0F" w:rsidTr="008E1F0F">
        <w:trPr>
          <w:trHeight w:val="300"/>
        </w:trPr>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4-4</w:t>
            </w:r>
          </w:p>
        </w:tc>
        <w:tc>
          <w:tcPr>
            <w:tcW w:w="1558" w:type="dxa"/>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Calibration</w:t>
            </w:r>
          </w:p>
        </w:tc>
        <w:tc>
          <w:tcPr>
            <w:tcW w:w="1558" w:type="dxa"/>
            <w:noWrap/>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7/24/2021</w:t>
            </w:r>
          </w:p>
        </w:tc>
        <w:tc>
          <w:tcPr>
            <w:tcW w:w="1558"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2565.09</w:t>
            </w:r>
          </w:p>
        </w:tc>
        <w:tc>
          <w:tcPr>
            <w:tcW w:w="1559" w:type="dxa"/>
            <w:hideMark/>
          </w:tcPr>
          <w:p w:rsidR="008E1F0F" w:rsidRPr="008E1F0F" w:rsidRDefault="008E1F0F" w:rsidP="008E1F0F">
            <w:pPr>
              <w:jc w:val="right"/>
              <w:rPr>
                <w:rFonts w:ascii="Calibri" w:eastAsia="Times New Roman" w:hAnsi="Calibri" w:cs="Calibri"/>
                <w:color w:val="000000"/>
              </w:rPr>
            </w:pPr>
            <w:r w:rsidRPr="008E1F0F">
              <w:rPr>
                <w:rFonts w:ascii="Calibri" w:eastAsia="Times New Roman" w:hAnsi="Calibri" w:cs="Calibri"/>
                <w:color w:val="000000"/>
              </w:rPr>
              <w:t>3002</w:t>
            </w:r>
          </w:p>
        </w:tc>
        <w:tc>
          <w:tcPr>
            <w:tcW w:w="1559" w:type="dxa"/>
            <w:noWrap/>
            <w:hideMark/>
          </w:tcPr>
          <w:p w:rsidR="008E1F0F" w:rsidRPr="008E1F0F" w:rsidRDefault="008E1F0F" w:rsidP="008E1F0F">
            <w:pPr>
              <w:rPr>
                <w:rFonts w:ascii="Calibri" w:eastAsia="Times New Roman" w:hAnsi="Calibri" w:cs="Calibri"/>
                <w:color w:val="000000"/>
              </w:rPr>
            </w:pPr>
            <w:r w:rsidRPr="008E1F0F">
              <w:rPr>
                <w:rFonts w:ascii="Calibri" w:eastAsia="Times New Roman" w:hAnsi="Calibri" w:cs="Calibri"/>
                <w:color w:val="000000"/>
              </w:rPr>
              <w:t>1:10</w:t>
            </w:r>
          </w:p>
        </w:tc>
      </w:tr>
    </w:tbl>
    <w:p w:rsidR="00CF5372" w:rsidRDefault="00CF5372"/>
    <w:sectPr w:rsidR="00CF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E7"/>
    <w:rsid w:val="00012FBA"/>
    <w:rsid w:val="0023724F"/>
    <w:rsid w:val="00337C90"/>
    <w:rsid w:val="003C0E65"/>
    <w:rsid w:val="004208D4"/>
    <w:rsid w:val="005B4AE7"/>
    <w:rsid w:val="005C7B60"/>
    <w:rsid w:val="006F7D1F"/>
    <w:rsid w:val="008E1F0F"/>
    <w:rsid w:val="009618EB"/>
    <w:rsid w:val="009949D8"/>
    <w:rsid w:val="009E483F"/>
    <w:rsid w:val="00B058E4"/>
    <w:rsid w:val="00BA31AC"/>
    <w:rsid w:val="00CF5372"/>
    <w:rsid w:val="00E45115"/>
    <w:rsid w:val="00F95358"/>
    <w:rsid w:val="00FC0A94"/>
    <w:rsid w:val="00FC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9C96"/>
  <w15:chartTrackingRefBased/>
  <w15:docId w15:val="{AA7C9363-C5D1-4D61-8053-FD9F7274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978565">
      <w:bodyDiv w:val="1"/>
      <w:marLeft w:val="0"/>
      <w:marRight w:val="0"/>
      <w:marTop w:val="0"/>
      <w:marBottom w:val="0"/>
      <w:divBdr>
        <w:top w:val="none" w:sz="0" w:space="0" w:color="auto"/>
        <w:left w:val="none" w:sz="0" w:space="0" w:color="auto"/>
        <w:bottom w:val="none" w:sz="0" w:space="0" w:color="auto"/>
        <w:right w:val="none" w:sz="0" w:space="0" w:color="auto"/>
      </w:divBdr>
    </w:div>
    <w:div w:id="126550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Madison.Hall</dc:creator>
  <cp:keywords/>
  <dc:description/>
  <cp:lastModifiedBy>Madison.Hall</cp:lastModifiedBy>
  <cp:revision>6</cp:revision>
  <dcterms:created xsi:type="dcterms:W3CDTF">2021-11-05T17:16:00Z</dcterms:created>
  <dcterms:modified xsi:type="dcterms:W3CDTF">2021-11-05T21:51:00Z</dcterms:modified>
</cp:coreProperties>
</file>