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EA58D" w14:textId="77777777" w:rsidR="00F7253C" w:rsidRPr="00F7253C" w:rsidRDefault="00DA784E" w:rsidP="00F7253C">
      <w:pPr>
        <w:jc w:val="center"/>
        <w:rPr>
          <w:b/>
        </w:rPr>
      </w:pPr>
      <w:r>
        <w:rPr>
          <w:b/>
        </w:rPr>
        <w:t>Rock</w:t>
      </w:r>
      <w:r w:rsidR="00CD08D5">
        <w:rPr>
          <w:b/>
        </w:rPr>
        <w:t>fish</w:t>
      </w:r>
      <w:r w:rsidR="00A62CB5">
        <w:rPr>
          <w:b/>
        </w:rPr>
        <w:t xml:space="preserve"> (GOA</w:t>
      </w:r>
      <w:r w:rsidR="00E230F4">
        <w:rPr>
          <w:b/>
        </w:rPr>
        <w:t>)</w:t>
      </w:r>
      <w:r w:rsidR="00F16927" w:rsidRPr="00F16927">
        <w:rPr>
          <w:b/>
        </w:rPr>
        <w:t xml:space="preserve"> Economic </w:t>
      </w:r>
      <w:r w:rsidR="009E1F1D">
        <w:rPr>
          <w:b/>
        </w:rPr>
        <w:t>Performance Report</w:t>
      </w:r>
      <w:r w:rsidR="001C6994">
        <w:rPr>
          <w:b/>
        </w:rPr>
        <w:t xml:space="preserve"> for 2020</w:t>
      </w:r>
    </w:p>
    <w:p w14:paraId="1351E8D8" w14:textId="4C619D33" w:rsidR="008D37CC" w:rsidRDefault="00220CD5" w:rsidP="00F7253C">
      <w:r>
        <w:t>Rockfish</w:t>
      </w:r>
      <w:r w:rsidR="00782AEB">
        <w:t xml:space="preserve"> </w:t>
      </w:r>
      <w:r w:rsidR="006E3E37">
        <w:t xml:space="preserve">total </w:t>
      </w:r>
      <w:r w:rsidR="00782AEB">
        <w:t>catch in the Gulf of Alaska</w:t>
      </w:r>
      <w:r w:rsidR="00F41E90">
        <w:t xml:space="preserve"> </w:t>
      </w:r>
      <w:r w:rsidR="001C6994">
        <w:t>decreased 6% to</w:t>
      </w:r>
      <w:r w:rsidR="00A65F00">
        <w:t xml:space="preserve"> 34</w:t>
      </w:r>
      <w:r>
        <w:t xml:space="preserve"> </w:t>
      </w:r>
      <w:r w:rsidR="00A65F00">
        <w:t>thousand</w:t>
      </w:r>
      <w:r w:rsidR="006E3E37">
        <w:t xml:space="preserve"> t</w:t>
      </w:r>
      <w:r w:rsidR="00983996">
        <w:t xml:space="preserve"> in 20</w:t>
      </w:r>
      <w:r w:rsidR="001C6994">
        <w:t>20</w:t>
      </w:r>
      <w:r w:rsidR="00F41E90">
        <w:t xml:space="preserve"> relative to 201</w:t>
      </w:r>
      <w:r w:rsidR="001C6994">
        <w:t>9</w:t>
      </w:r>
      <w:r w:rsidR="00F41E90">
        <w:t xml:space="preserve"> and retained catch de</w:t>
      </w:r>
      <w:r w:rsidR="006E3E37">
        <w:t>creased</w:t>
      </w:r>
      <w:r w:rsidR="00F41E90">
        <w:t xml:space="preserve"> to 30.</w:t>
      </w:r>
      <w:r w:rsidR="001C6994">
        <w:t>3</w:t>
      </w:r>
      <w:r>
        <w:t xml:space="preserve"> thousand t (Table 1). Cat</w:t>
      </w:r>
      <w:r w:rsidR="00A65F00">
        <w:t>ch remains near the recent high</w:t>
      </w:r>
      <w:r w:rsidR="001C6994">
        <w:t>s</w:t>
      </w:r>
      <w:r w:rsidR="00A65F00">
        <w:t xml:space="preserve"> </w:t>
      </w:r>
      <w:r>
        <w:t>over the last decade</w:t>
      </w:r>
      <w:r w:rsidR="00782AEB">
        <w:t xml:space="preserve">. Rockfish are an important component of the catch portfolio of GOA fisheries. </w:t>
      </w:r>
      <w:r w:rsidR="008D37CC">
        <w:t xml:space="preserve">Ex-vessel value in the GOA rockfish fisheries </w:t>
      </w:r>
      <w:r w:rsidR="00F41E90">
        <w:t>in 20</w:t>
      </w:r>
      <w:r w:rsidR="001C6994">
        <w:t>20</w:t>
      </w:r>
      <w:r w:rsidR="00F41E90">
        <w:t xml:space="preserve"> </w:t>
      </w:r>
      <w:r w:rsidR="008D37CC">
        <w:t>wa</w:t>
      </w:r>
      <w:r w:rsidR="00F41E90">
        <w:t>s $</w:t>
      </w:r>
      <w:r w:rsidR="001C6994">
        <w:t>9</w:t>
      </w:r>
      <w:r w:rsidR="00F41E90">
        <w:t>.5</w:t>
      </w:r>
      <w:r w:rsidR="00686FA8">
        <w:t xml:space="preserve"> mi</w:t>
      </w:r>
      <w:r w:rsidR="00F41E90">
        <w:t>llion down</w:t>
      </w:r>
      <w:r w:rsidR="00AC592D">
        <w:t xml:space="preserve"> </w:t>
      </w:r>
      <w:r w:rsidR="001C6994">
        <w:t>35</w:t>
      </w:r>
      <w:r w:rsidR="00EA1631">
        <w:t>% from</w:t>
      </w:r>
      <w:r w:rsidR="00F41E90">
        <w:t xml:space="preserve"> 201</w:t>
      </w:r>
      <w:r w:rsidR="001C6994">
        <w:t>9</w:t>
      </w:r>
      <w:r w:rsidR="008D37CC">
        <w:t xml:space="preserve">. </w:t>
      </w:r>
      <w:r w:rsidR="00EA1631">
        <w:t xml:space="preserve">The change in ex-vessel value was </w:t>
      </w:r>
      <w:r w:rsidR="00AC592D">
        <w:t>combined effect of</w:t>
      </w:r>
      <w:r w:rsidR="00F41E90">
        <w:t xml:space="preserve"> marginal decreases in</w:t>
      </w:r>
      <w:r w:rsidR="00AC592D">
        <w:t xml:space="preserve"> catch and</w:t>
      </w:r>
      <w:r w:rsidR="00EA1631">
        <w:t xml:space="preserve"> </w:t>
      </w:r>
      <w:r w:rsidR="001C6994">
        <w:t xml:space="preserve">37% decrease in </w:t>
      </w:r>
      <w:r w:rsidR="00EA1631">
        <w:t>price</w:t>
      </w:r>
      <w:r w:rsidR="00AC592D">
        <w:t>s</w:t>
      </w:r>
      <w:r w:rsidR="001C6994">
        <w:t xml:space="preserve"> to $0.15 per pound</w:t>
      </w:r>
      <w:r w:rsidR="005603E1">
        <w:t xml:space="preserve"> (Table 1). </w:t>
      </w:r>
      <w:r w:rsidR="00F41E90">
        <w:t xml:space="preserve">First-wholesale value was down </w:t>
      </w:r>
      <w:r w:rsidR="001C6994">
        <w:t>13</w:t>
      </w:r>
      <w:r w:rsidR="00F41E90">
        <w:t>% in 20</w:t>
      </w:r>
      <w:r w:rsidR="001C6994">
        <w:t>20</w:t>
      </w:r>
      <w:r w:rsidR="00F41E90">
        <w:t xml:space="preserve"> to </w:t>
      </w:r>
      <w:bookmarkStart w:id="0" w:name="_GoBack"/>
      <w:bookmarkEnd w:id="0"/>
      <w:r w:rsidR="00F41E90">
        <w:t>$</w:t>
      </w:r>
      <w:r w:rsidR="001C6994">
        <w:t>29.2</w:t>
      </w:r>
      <w:r w:rsidR="008D37CC">
        <w:t xml:space="preserve"> million</w:t>
      </w:r>
      <w:r w:rsidR="00AC592D">
        <w:t xml:space="preserve"> with</w:t>
      </w:r>
      <w:r w:rsidR="00F41E90">
        <w:t xml:space="preserve"> a significant decrease in the first-wholesale price</w:t>
      </w:r>
      <w:r w:rsidR="00EA1631">
        <w:t xml:space="preserve"> </w:t>
      </w:r>
      <w:r w:rsidR="00383CEA">
        <w:t>(Table 2)</w:t>
      </w:r>
      <w:r w:rsidR="008D37CC">
        <w:t>.</w:t>
      </w:r>
    </w:p>
    <w:p w14:paraId="57D89394" w14:textId="317DD1AA" w:rsidR="00E0565A" w:rsidRDefault="006D6053" w:rsidP="00F7253C">
      <w:r>
        <w:t>COVID-19</w:t>
      </w:r>
      <w:r w:rsidR="00E0565A">
        <w:t xml:space="preserve"> had an unprecedented impact on fisheries in Alaska. Undoubtedly, one of the significant economic impacts experienced by the industry were the mitigation costs experienced by the fishing and processing industries to continue to supply national and global markets for seafood. Existing data collections do not adequately capture these costs, and as </w:t>
      </w:r>
      <w:r w:rsidR="00E0565A">
        <w:t>such,</w:t>
      </w:r>
      <w:r w:rsidR="00E0565A">
        <w:t xml:space="preserve"> this report focuses on catch, revenues, and effort and changes occurring during the most recent year. </w:t>
      </w:r>
      <w:r w:rsidR="00E0565A">
        <w:t>GOA rockfish</w:t>
      </w:r>
      <w:r w:rsidR="00E0565A">
        <w:t xml:space="preserve"> catch levels relative to TAC were within a typical range suggesting that COVID</w:t>
      </w:r>
      <w:r>
        <w:t>-19</w:t>
      </w:r>
      <w:r w:rsidR="00E0565A">
        <w:t xml:space="preserve"> did not have a significant impact on catch levels. In contrast to changes in landings, however, there was a notable decrease in prices for many of the products with significant exports to China for reprocessing and Japan, which ultimately go to food service sectors. This includes </w:t>
      </w:r>
      <w:r>
        <w:t xml:space="preserve">GOA </w:t>
      </w:r>
      <w:r w:rsidR="00ED1F83">
        <w:t>rockfish, which</w:t>
      </w:r>
      <w:r w:rsidR="00E0565A">
        <w:t xml:space="preserve"> has significant end markets in</w:t>
      </w:r>
      <w:r>
        <w:t xml:space="preserve"> Asia and</w:t>
      </w:r>
      <w:r w:rsidR="00E0565A">
        <w:t xml:space="preserve"> North </w:t>
      </w:r>
      <w:r>
        <w:t>America</w:t>
      </w:r>
      <w:r w:rsidR="00E0565A">
        <w:t xml:space="preserve"> in both foodservice and retail. The downward pressure on these prices is likely the result of COVID-19 related logistical difficulties in international shipping and inspections, as well as foodservice closures, and compounded the downward pressure on prices from tariffs. This downward pressure on fish product prices in the first-wholesale market coupled with cost pressure from COVID-19 mitigation efforts likely had upstream impacts on ex-vessel prices that decreased</w:t>
      </w:r>
      <w:r>
        <w:t xml:space="preserve"> significantly</w:t>
      </w:r>
      <w:r w:rsidR="00E0565A">
        <w:t>.</w:t>
      </w:r>
    </w:p>
    <w:p w14:paraId="485E590C" w14:textId="4E699431" w:rsidR="00F53B21" w:rsidRDefault="008D37CC" w:rsidP="00F7253C">
      <w:r>
        <w:t>The most significant species in terms of market volume and value is Pacific ocean perch</w:t>
      </w:r>
      <w:r w:rsidR="00F41E90">
        <w:t xml:space="preserve"> which has accounted for upwards of 7</w:t>
      </w:r>
      <w:r>
        <w:t>0% of the re</w:t>
      </w:r>
      <w:r w:rsidR="00AC592D">
        <w:t>tained catch</w:t>
      </w:r>
      <w:r w:rsidR="00F41E90">
        <w:t xml:space="preserve"> since 2017</w:t>
      </w:r>
      <w:r w:rsidR="00AC592D">
        <w:t xml:space="preserve"> </w:t>
      </w:r>
      <w:r w:rsidR="006D0433">
        <w:t>(Table 1)</w:t>
      </w:r>
      <w:r w:rsidR="00EA1631">
        <w:t>.</w:t>
      </w:r>
      <w:r w:rsidR="00415A59">
        <w:t xml:space="preserve"> Harvest levels of </w:t>
      </w:r>
      <w:r>
        <w:t>Pacific ocean perch</w:t>
      </w:r>
      <w:r w:rsidR="005B117D">
        <w:t xml:space="preserve"> are</w:t>
      </w:r>
      <w:r w:rsidR="00415A59">
        <w:t xml:space="preserve"> near the total allowable catch</w:t>
      </w:r>
      <w:r w:rsidR="005B117D">
        <w:t xml:space="preserve"> (TAC)</w:t>
      </w:r>
      <w:r w:rsidR="00415A59">
        <w:t xml:space="preserve"> and</w:t>
      </w:r>
      <w:r>
        <w:t xml:space="preserve"> has been </w:t>
      </w:r>
      <w:r w:rsidR="00EA1631">
        <w:t>strong</w:t>
      </w:r>
      <w:r>
        <w:t xml:space="preserve"> in</w:t>
      </w:r>
      <w:r w:rsidR="00EA1631">
        <w:t xml:space="preserve"> recent years reflecting the underlying health of the </w:t>
      </w:r>
      <w:r w:rsidR="006D0433">
        <w:t>stock. The GOA rockfish fisheries catch a diverse set of rockfish species and the other major species caught are northern and dusky (Table 1). Typically, 75%-90% of the northern rock</w:t>
      </w:r>
      <w:r w:rsidR="00983996">
        <w:t>fish TAC</w:t>
      </w:r>
      <w:r w:rsidR="00BF3755">
        <w:t xml:space="preserve"> </w:t>
      </w:r>
      <w:r w:rsidR="00983996">
        <w:t>is harvested, and since 2017 this has dropped to roughly 60%. I</w:t>
      </w:r>
      <w:r w:rsidR="00BF3755">
        <w:t xml:space="preserve">n 2019 </w:t>
      </w:r>
      <w:r w:rsidR="00983996">
        <w:t>retained catch of northern rockfish</w:t>
      </w:r>
      <w:r w:rsidR="00BF3755">
        <w:t xml:space="preserve"> </w:t>
      </w:r>
      <w:r w:rsidR="00213BC2">
        <w:t>de</w:t>
      </w:r>
      <w:r w:rsidR="00BF3755">
        <w:t>creased to 2.</w:t>
      </w:r>
      <w:r w:rsidR="00213BC2">
        <w:t>4</w:t>
      </w:r>
      <w:r w:rsidR="00983996">
        <w:t>, and retained catch</w:t>
      </w:r>
      <w:r w:rsidR="006D0433">
        <w:t xml:space="preserve"> of Dusky rockfish </w:t>
      </w:r>
      <w:r w:rsidR="00BF3755">
        <w:t>decreased to 2.</w:t>
      </w:r>
      <w:r w:rsidR="00213BC2">
        <w:t>1</w:t>
      </w:r>
      <w:r w:rsidR="00BF3755">
        <w:t xml:space="preserve"> thousand t </w:t>
      </w:r>
      <w:r w:rsidR="006D0433">
        <w:t>.</w:t>
      </w:r>
      <w:r w:rsidR="00AD7F32">
        <w:t xml:space="preserve"> </w:t>
      </w:r>
      <w:r w:rsidR="00415A59">
        <w:t>Other rockfish caught</w:t>
      </w:r>
      <w:r w:rsidR="006D0433">
        <w:t xml:space="preserve"> in the GOA</w:t>
      </w:r>
      <w:r w:rsidR="00415A59">
        <w:t xml:space="preserve"> include rougheye, shortraker, and thornyhead. </w:t>
      </w:r>
      <w:r w:rsidR="00782AEB">
        <w:t>In recent years, approximately 85% of the</w:t>
      </w:r>
      <w:r w:rsidR="00AD7F32">
        <w:t xml:space="preserve"> retained</w:t>
      </w:r>
      <w:r w:rsidR="00782AEB">
        <w:t xml:space="preserve"> rockfish catch</w:t>
      </w:r>
      <w:r w:rsidR="00BF3755">
        <w:t xml:space="preserve"> has </w:t>
      </w:r>
      <w:r w:rsidR="00FB27FC">
        <w:t>occurred</w:t>
      </w:r>
      <w:r w:rsidR="00782AEB">
        <w:t xml:space="preserve"> in the Central Gulf</w:t>
      </w:r>
      <w:r w:rsidR="000F4871">
        <w:t>. T</w:t>
      </w:r>
      <w:r w:rsidR="00782AEB">
        <w:t>he Western Gulf</w:t>
      </w:r>
      <w:r w:rsidR="000F4871">
        <w:t>’s share of retained catch was 1</w:t>
      </w:r>
      <w:r w:rsidR="004D5240">
        <w:t>2</w:t>
      </w:r>
      <w:r w:rsidR="000F4871">
        <w:t>%</w:t>
      </w:r>
      <w:r w:rsidR="00782AEB">
        <w:t>. In the Central Gulf, where the majority of rockfish are caug</w:t>
      </w:r>
      <w:r w:rsidR="00162CD9">
        <w:t>ht, rockfish comprised 1</w:t>
      </w:r>
      <w:r w:rsidR="00A01AA8">
        <w:t>8</w:t>
      </w:r>
      <w:r w:rsidR="00782AEB">
        <w:t>% of the retained catch</w:t>
      </w:r>
      <w:r w:rsidR="00162CD9">
        <w:t xml:space="preserve"> and 1</w:t>
      </w:r>
      <w:r w:rsidR="00A01AA8">
        <w:t>4</w:t>
      </w:r>
      <w:r w:rsidR="00415A59">
        <w:t>% of the ex-vessel value</w:t>
      </w:r>
      <w:r w:rsidR="00432C09">
        <w:t>, which is up</w:t>
      </w:r>
      <w:r w:rsidR="00A01AA8">
        <w:t xml:space="preserve"> relative to the years prior to 2017</w:t>
      </w:r>
      <w:r w:rsidR="00432C09">
        <w:t xml:space="preserve"> in part because of reduced catch and value in other fisheries, in particular Pacific cod</w:t>
      </w:r>
      <w:r w:rsidR="00415A59">
        <w:t xml:space="preserve">. </w:t>
      </w:r>
      <w:r w:rsidR="00782AEB">
        <w:t>Catch</w:t>
      </w:r>
      <w:r w:rsidR="0070432B">
        <w:t xml:space="preserve"> in the GOA</w:t>
      </w:r>
      <w:r w:rsidR="00782AEB">
        <w:t xml:space="preserve"> is distributed approximately evenly between catcher vessels and catcher processors, although there are a far greater number of catch</w:t>
      </w:r>
      <w:r w:rsidR="00415A59">
        <w:t xml:space="preserve"> vessels</w:t>
      </w:r>
      <w:r w:rsidR="0070432B">
        <w:t>.</w:t>
      </w:r>
      <w:r w:rsidR="00415A59">
        <w:t xml:space="preserve"> </w:t>
      </w:r>
      <w:r w:rsidR="0070432B">
        <w:t>T</w:t>
      </w:r>
      <w:r w:rsidR="00782AEB">
        <w:t>he number of catcher vessels harvesting rockfi</w:t>
      </w:r>
      <w:r w:rsidR="007D1494">
        <w:t>sh has</w:t>
      </w:r>
      <w:r w:rsidR="00887EA4">
        <w:t xml:space="preserve"> </w:t>
      </w:r>
      <w:r w:rsidR="00162CD9">
        <w:t>increase</w:t>
      </w:r>
      <w:r w:rsidR="00887EA4">
        <w:t xml:space="preserve"> from an average</w:t>
      </w:r>
      <w:r w:rsidR="00162CD9">
        <w:t xml:space="preserve"> of 17</w:t>
      </w:r>
      <w:r w:rsidR="00213BC2">
        <w:t>8</w:t>
      </w:r>
      <w:r w:rsidR="00162CD9">
        <w:t xml:space="preserve"> in 201</w:t>
      </w:r>
      <w:r w:rsidR="00213BC2">
        <w:t>1</w:t>
      </w:r>
      <w:r w:rsidR="00162CD9">
        <w:t>-201</w:t>
      </w:r>
      <w:r w:rsidR="00213BC2">
        <w:t>5</w:t>
      </w:r>
      <w:r w:rsidR="00162CD9">
        <w:t xml:space="preserve"> to 18</w:t>
      </w:r>
      <w:r w:rsidR="00213BC2">
        <w:t>2</w:t>
      </w:r>
      <w:r w:rsidR="00162CD9">
        <w:t xml:space="preserve"> in 2019</w:t>
      </w:r>
      <w:r w:rsidR="00213BC2">
        <w:t>, then dropped off to 157 in 2020</w:t>
      </w:r>
      <w:r w:rsidR="00782AEB">
        <w:t>.</w:t>
      </w:r>
      <w:r w:rsidR="005A7455">
        <w:t xml:space="preserve"> Rockfish are primarily targeted using trawl gear.</w:t>
      </w:r>
      <w:r w:rsidR="00383CEA">
        <w:t xml:space="preserve"> </w:t>
      </w:r>
    </w:p>
    <w:p w14:paraId="668AEC23" w14:textId="77777777" w:rsidR="00316AD5" w:rsidRDefault="003F5F3B" w:rsidP="00F7253C">
      <w:r>
        <w:t>The Central</w:t>
      </w:r>
      <w:r w:rsidR="005A7455">
        <w:t xml:space="preserve"> Gulf of Alaska rockfish fisheries are managed under a</w:t>
      </w:r>
      <w:r>
        <w:t xml:space="preserve"> catch share program</w:t>
      </w:r>
      <w:r w:rsidR="00415A59">
        <w:t xml:space="preserve"> designed</w:t>
      </w:r>
      <w:r w:rsidR="0018784B">
        <w:t xml:space="preserve"> to reduce bycatch and discards and to improve quality and value.</w:t>
      </w:r>
      <w:r>
        <w:t xml:space="preserve"> </w:t>
      </w:r>
      <w:r w:rsidR="0018784B">
        <w:t>T</w:t>
      </w:r>
      <w:r>
        <w:t>he Rockfish Program</w:t>
      </w:r>
      <w:r w:rsidR="0018784B">
        <w:t xml:space="preserve"> began in 2012 and followed a</w:t>
      </w:r>
      <w:r>
        <w:t xml:space="preserve"> pilot program from 2007-2011. Quota is allocated to </w:t>
      </w:r>
      <w:r w:rsidR="0018784B">
        <w:t>catcher vessel and catcher processor</w:t>
      </w:r>
      <w:r w:rsidR="007B526D">
        <w:t xml:space="preserve"> </w:t>
      </w:r>
      <w:r>
        <w:t>cooperatives.</w:t>
      </w:r>
      <w:r w:rsidR="007D1494">
        <w:t xml:space="preserve"> Catch shares have had the effect of spreading the production out over the year which </w:t>
      </w:r>
      <w:r w:rsidR="007D1494">
        <w:lastRenderedPageBreak/>
        <w:t>enabled delivered product to be processed more strategically thereby increasing the quality of the product.</w:t>
      </w:r>
    </w:p>
    <w:p w14:paraId="7A91DF31" w14:textId="34D55C36" w:rsidR="00C17ABF" w:rsidRDefault="0070432B" w:rsidP="00051434">
      <w:r>
        <w:t>The</w:t>
      </w:r>
      <w:r w:rsidR="00FC1A0E">
        <w:t xml:space="preserve"> </w:t>
      </w:r>
      <w:r w:rsidR="003418B9">
        <w:t>13</w:t>
      </w:r>
      <w:r w:rsidR="005B117D">
        <w:t>%</w:t>
      </w:r>
      <w:r w:rsidR="00FC1A0E">
        <w:t xml:space="preserve"> decrease in 20</w:t>
      </w:r>
      <w:r w:rsidR="003418B9">
        <w:t>20</w:t>
      </w:r>
      <w:r>
        <w:t xml:space="preserve"> first-wholesale value</w:t>
      </w:r>
      <w:r w:rsidR="00FC1A0E">
        <w:t xml:space="preserve"> to $</w:t>
      </w:r>
      <w:r w:rsidR="003418B9">
        <w:t>29</w:t>
      </w:r>
      <w:r w:rsidR="00C375E8">
        <w:t xml:space="preserve"> million</w:t>
      </w:r>
      <w:r w:rsidR="00FC1A0E">
        <w:t xml:space="preserve"> was largely the</w:t>
      </w:r>
      <w:r w:rsidR="00887EA4">
        <w:t xml:space="preserve"> result of </w:t>
      </w:r>
      <w:r w:rsidR="00FC1A0E">
        <w:t xml:space="preserve">a decrease in the first wholesale price </w:t>
      </w:r>
      <w:r w:rsidR="00AD7F32">
        <w:t>(Table 2)</w:t>
      </w:r>
      <w:r w:rsidR="00FC1A0E">
        <w:t xml:space="preserve">. </w:t>
      </w:r>
      <w:r w:rsidR="00C375E8">
        <w:t>The avera</w:t>
      </w:r>
      <w:r w:rsidR="00887EA4">
        <w:t xml:space="preserve">ge price of rockfish products decreased </w:t>
      </w:r>
      <w:r w:rsidR="003418B9">
        <w:t>17</w:t>
      </w:r>
      <w:r w:rsidR="00FC1A0E">
        <w:t>% to $0.</w:t>
      </w:r>
      <w:r w:rsidR="003418B9">
        <w:t>75</w:t>
      </w:r>
      <w:r w:rsidR="00BA08B2">
        <w:t xml:space="preserve"> per pound</w:t>
      </w:r>
      <w:r w:rsidR="00FC1A0E">
        <w:t>. Prices for Pacific ocean perch, Northern, and Dusky decreased</w:t>
      </w:r>
      <w:r w:rsidR="003418B9">
        <w:t xml:space="preserve"> 16%, 24%, and 7%, respectively</w:t>
      </w:r>
      <w:r w:rsidR="00FC1A0E">
        <w:t>. Approximately 7</w:t>
      </w:r>
      <w:r w:rsidR="003418B9">
        <w:t>0</w:t>
      </w:r>
      <w:r w:rsidR="00C375E8">
        <w:t>% of the rockfish produced are processed as headed and gutted</w:t>
      </w:r>
      <w:r w:rsidR="00383CEA">
        <w:t xml:space="preserve"> (H&amp;G)</w:t>
      </w:r>
      <w:r w:rsidR="003418B9">
        <w:t xml:space="preserve"> which is lower than in most recent years as whole fish production increased</w:t>
      </w:r>
      <w:r w:rsidR="00C375E8">
        <w:t xml:space="preserve"> whole fish. </w:t>
      </w:r>
    </w:p>
    <w:p w14:paraId="492C4AE5" w14:textId="0E8ABE9A" w:rsidR="008C3588" w:rsidRDefault="00C17ABF" w:rsidP="00051434">
      <w:r>
        <w:t xml:space="preserve">The majority of rockfish produced in the U.S. are exported, primarily to Asian markets. Pacific ocean perch is the only rockfish species with specific information in the U.S. trade data. Other species are aggregated into a non-specific category. </w:t>
      </w:r>
      <w:r w:rsidR="00C11985">
        <w:t>While export volumes were relatively stable, increasing 5%</w:t>
      </w:r>
      <w:r w:rsidR="002128A9">
        <w:t xml:space="preserve">, there was a minor shift in product flow in 2020 relative to 2019. </w:t>
      </w:r>
      <w:r>
        <w:t xml:space="preserve">Approximately </w:t>
      </w:r>
      <w:r w:rsidR="004E0606">
        <w:t>53</w:t>
      </w:r>
      <w:r>
        <w:t>% of the Pacific ocean perch export</w:t>
      </w:r>
      <w:r w:rsidR="00C11985">
        <w:t xml:space="preserve"> </w:t>
      </w:r>
      <w:r w:rsidR="002128A9">
        <w:t>value</w:t>
      </w:r>
      <w:r>
        <w:t xml:space="preserve"> from the U.S. went to China in 20</w:t>
      </w:r>
      <w:r w:rsidR="004E0606">
        <w:t>20</w:t>
      </w:r>
      <w:r w:rsidR="002128A9">
        <w:t xml:space="preserve"> which was a </w:t>
      </w:r>
      <w:r w:rsidR="004E0606">
        <w:t>de</w:t>
      </w:r>
      <w:r>
        <w:t>crease relative</w:t>
      </w:r>
      <w:r w:rsidR="004E0606">
        <w:t xml:space="preserve"> 2019</w:t>
      </w:r>
      <w:r w:rsidR="00171237">
        <w:t>,</w:t>
      </w:r>
      <w:r w:rsidR="00C11985">
        <w:t xml:space="preserve"> but not inconsistent with recent trade levels (e.g., 2015, 2017)</w:t>
      </w:r>
      <w:r w:rsidR="002128A9">
        <w:t xml:space="preserve"> (Table 3).</w:t>
      </w:r>
      <w:r w:rsidR="00C11985">
        <w:t xml:space="preserve"> Japan is the second largest export destination for Pacific ocean perch.</w:t>
      </w:r>
      <w:r>
        <w:t xml:space="preserve"> Exported H&amp;G rockfish to China is re-processed (e.g., as fillets) and re-exported to domestic and international markets. Rockfish are also sold to Chinese consumers, as whole fish. The U.S. has accounted for just over 15% of global </w:t>
      </w:r>
      <w:r w:rsidR="002128A9">
        <w:t>Pacific ocean perch</w:t>
      </w:r>
      <w:r w:rsidR="002128A9" w:rsidDel="002128A9">
        <w:t xml:space="preserve"> </w:t>
      </w:r>
      <w:r>
        <w:t>production in recent years and 85-9</w:t>
      </w:r>
      <w:r w:rsidR="002128A9">
        <w:t>5</w:t>
      </w:r>
      <w:r>
        <w:t>% of global production. Global production of rockfish has increased 1</w:t>
      </w:r>
      <w:r w:rsidR="002128A9">
        <w:t>6</w:t>
      </w:r>
      <w:r>
        <w:t>% from the 201</w:t>
      </w:r>
      <w:r w:rsidR="002128A9">
        <w:t>1</w:t>
      </w:r>
      <w:r>
        <w:t>-201</w:t>
      </w:r>
      <w:r w:rsidR="002128A9">
        <w:t>5</w:t>
      </w:r>
      <w:r>
        <w:t xml:space="preserve"> average to 3</w:t>
      </w:r>
      <w:r w:rsidR="002128A9">
        <w:t>29</w:t>
      </w:r>
      <w:r>
        <w:t xml:space="preserve"> thousand t in 201</w:t>
      </w:r>
      <w:r w:rsidR="002128A9">
        <w:t>9</w:t>
      </w:r>
      <w:r>
        <w:t xml:space="preserve"> and global production of Pacific ocean perch has increased </w:t>
      </w:r>
      <w:r w:rsidR="002128A9">
        <w:t>37</w:t>
      </w:r>
      <w:r>
        <w:t xml:space="preserve">%. Global production of Atlantic redfish, a market competitor to Pacific ocean perch, </w:t>
      </w:r>
      <w:r w:rsidR="002128A9">
        <w:t>has been stable at 52 thousand t since 2017</w:t>
      </w:r>
      <w:r>
        <w:t xml:space="preserve">. The U.S. dollar </w:t>
      </w:r>
      <w:r w:rsidR="005B135E">
        <w:t>weakend</w:t>
      </w:r>
      <w:r>
        <w:t xml:space="preserve"> </w:t>
      </w:r>
      <w:r w:rsidR="005B135E">
        <w:t xml:space="preserve">somewhat </w:t>
      </w:r>
      <w:r>
        <w:t>against the Chinese Yuan</w:t>
      </w:r>
      <w:r w:rsidR="005B135E">
        <w:t xml:space="preserve"> in 2020 but was within its historical range</w:t>
      </w:r>
      <w:r>
        <w:t>, which mitigates its potential impact on market price. B</w:t>
      </w:r>
      <w:r w:rsidRPr="00B2173A">
        <w:t>ecause of China’s signif</w:t>
      </w:r>
      <w:r>
        <w:t>icance as a re-processor of rock</w:t>
      </w:r>
      <w:r w:rsidRPr="00B2173A">
        <w:t>fish products</w:t>
      </w:r>
      <w:r>
        <w:t>,</w:t>
      </w:r>
      <w:r w:rsidRPr="00B2173A">
        <w:t xml:space="preserve"> </w:t>
      </w:r>
      <w:r>
        <w:t>the t</w:t>
      </w:r>
      <w:r w:rsidRPr="00B2173A">
        <w:t>ariffs between the U.S. and China</w:t>
      </w:r>
      <w:r w:rsidR="00460526">
        <w:t>, which begun in 2018,</w:t>
      </w:r>
      <w:r w:rsidRPr="00B2173A">
        <w:t xml:space="preserve"> </w:t>
      </w:r>
      <w:r>
        <w:t>have put downward pressure on rockfish prices which has inhibited value growth in rock</w:t>
      </w:r>
      <w:r w:rsidRPr="00B2173A">
        <w:t>fish markets</w:t>
      </w:r>
      <w:r>
        <w:t>.</w:t>
      </w:r>
      <w:r w:rsidR="00A01AA8">
        <w:t xml:space="preserve"> Pacific ocean Perch was among the species to receive relief under the USDA Seafood Tariff Relief Program in 2019-2020.</w:t>
      </w:r>
      <w:r>
        <w:t xml:space="preserve"> Industry lacks immediate alternative reprocessing options to China</w:t>
      </w:r>
      <w:r w:rsidR="00460526">
        <w:t xml:space="preserve"> on a large scale</w:t>
      </w:r>
      <w:r>
        <w:t>.</w:t>
      </w:r>
      <w:r w:rsidRPr="00B2173A">
        <w:t xml:space="preserve"> Export quantities of </w:t>
      </w:r>
      <w:r>
        <w:t xml:space="preserve">Pacific ocean perch </w:t>
      </w:r>
      <w:r w:rsidR="00460526">
        <w:t>in</w:t>
      </w:r>
      <w:r>
        <w:t>creased in 20</w:t>
      </w:r>
      <w:r w:rsidR="00460526">
        <w:t>20</w:t>
      </w:r>
      <w:r w:rsidRPr="00B2173A">
        <w:t xml:space="preserve"> from </w:t>
      </w:r>
      <w:r>
        <w:t>201</w:t>
      </w:r>
      <w:r w:rsidR="00460526">
        <w:t>9</w:t>
      </w:r>
      <w:r>
        <w:t xml:space="preserve"> and the share of exports to China </w:t>
      </w:r>
      <w:r w:rsidR="00460526">
        <w:t>de</w:t>
      </w:r>
      <w:r>
        <w:t>creased (Table 3).</w:t>
      </w:r>
      <w:r w:rsidR="00460526">
        <w:t xml:space="preserve"> The COVID-19 pandemic created supply chain logistical difficulties, particularly in China, which put downward pressure on prices. The share of exports to Japan increased which mitigated the </w:t>
      </w:r>
      <w:r w:rsidR="00EF1E1C">
        <w:t>impact on value.</w:t>
      </w:r>
      <w:r w:rsidR="00460526">
        <w:t xml:space="preserve"> In addition, foodservice closures in </w:t>
      </w:r>
      <w:r w:rsidR="00EF1E1C">
        <w:t>m</w:t>
      </w:r>
      <w:r w:rsidR="006478A8">
        <w:t>ajor</w:t>
      </w:r>
      <w:r w:rsidR="00460526">
        <w:t xml:space="preserve"> markets for rockfish finished goods, also likely impacted prices negatively.</w:t>
      </w:r>
    </w:p>
    <w:p w14:paraId="434202D7" w14:textId="77777777" w:rsidR="00BC1448" w:rsidRDefault="00A1307C" w:rsidP="00A174DA">
      <w:pPr>
        <w:spacing w:after="0"/>
      </w:pPr>
      <w:r>
        <w:t xml:space="preserve">Table </w:t>
      </w:r>
      <w:r w:rsidR="0031533F">
        <w:t>1</w:t>
      </w:r>
      <w:r>
        <w:t xml:space="preserve">. </w:t>
      </w:r>
      <w:r w:rsidR="003D404E">
        <w:t>GOA</w:t>
      </w:r>
      <w:r w:rsidR="00DA784E">
        <w:t xml:space="preserve"> rock</w:t>
      </w:r>
      <w:r w:rsidR="002000F1">
        <w:t>fish</w:t>
      </w:r>
      <w:r w:rsidR="0097451B">
        <w:t xml:space="preserve"> </w:t>
      </w:r>
      <w:r w:rsidR="003D404E">
        <w:t xml:space="preserve">ex-vessel </w:t>
      </w:r>
      <w:r w:rsidR="0097451B">
        <w:t>market data</w:t>
      </w:r>
      <w:r w:rsidR="005B5200" w:rsidRPr="005B5200">
        <w:t xml:space="preserve">. Total </w:t>
      </w:r>
      <w:r w:rsidR="0097451B">
        <w:t>and retained catch (thousand metric tons)</w:t>
      </w:r>
      <w:r w:rsidR="00D14E0E">
        <w:t>, number of v</w:t>
      </w:r>
      <w:r w:rsidR="0097451B">
        <w:t>essel</w:t>
      </w:r>
      <w:r w:rsidR="00DA784E">
        <w:t>s</w:t>
      </w:r>
      <w:r w:rsidR="0097451B">
        <w:t>,</w:t>
      </w:r>
      <w:r w:rsidR="00DC4221" w:rsidRPr="005B5200">
        <w:t xml:space="preserve"> </w:t>
      </w:r>
      <w:r w:rsidR="003D404E">
        <w:t>catcher vessel share of retained catch</w:t>
      </w:r>
      <w:r w:rsidR="00DC4221" w:rsidRPr="005B5200">
        <w:t>, value (million</w:t>
      </w:r>
      <w:r w:rsidR="00DC4221">
        <w:t xml:space="preserve"> US$), price (US$ per pound</w:t>
      </w:r>
      <w:r w:rsidR="00DC4221" w:rsidRPr="005B5200">
        <w:t>)</w:t>
      </w:r>
      <w:r w:rsidR="00DA784E">
        <w:t xml:space="preserve">, </w:t>
      </w:r>
      <w:r w:rsidR="00D0582C">
        <w:t xml:space="preserve">Central Gulf’s share of GOA rockfish retained catch, and </w:t>
      </w:r>
      <w:r w:rsidR="00DA784E">
        <w:t>Pacific ocean perch, northern rockfish, and dusk rockfish share of GOA rockfish retained catch</w:t>
      </w:r>
      <w:r w:rsidR="00BC1448">
        <w:t>;</w:t>
      </w:r>
      <w:r w:rsidR="00DC4221" w:rsidRPr="005B5200">
        <w:t xml:space="preserve"> </w:t>
      </w:r>
      <w:r w:rsidR="00763C5B">
        <w:t>2011-2015 average and 2016-2020.</w:t>
      </w:r>
    </w:p>
    <w:p w14:paraId="5673CF2A" w14:textId="77777777" w:rsidR="00976B4A" w:rsidRDefault="00763C5B" w:rsidP="00A174DA">
      <w:pPr>
        <w:spacing w:after="0"/>
      </w:pPr>
      <w:r w:rsidRPr="00763C5B">
        <w:rPr>
          <w:noProof/>
        </w:rPr>
        <w:lastRenderedPageBreak/>
        <w:drawing>
          <wp:inline distT="0" distB="0" distL="0" distR="0" wp14:anchorId="54477155" wp14:editId="53D3A105">
            <wp:extent cx="56515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500" cy="2838450"/>
                    </a:xfrm>
                    <a:prstGeom prst="rect">
                      <a:avLst/>
                    </a:prstGeom>
                    <a:noFill/>
                    <a:ln>
                      <a:noFill/>
                    </a:ln>
                  </pic:spPr>
                </pic:pic>
              </a:graphicData>
            </a:graphic>
          </wp:inline>
        </w:drawing>
      </w:r>
    </w:p>
    <w:p w14:paraId="33DF6F07" w14:textId="77777777" w:rsidR="00BA2E26" w:rsidRPr="00DC4221" w:rsidRDefault="00A174DA" w:rsidP="00DC4221">
      <w:pPr>
        <w:spacing w:line="240" w:lineRule="auto"/>
        <w:rPr>
          <w:sz w:val="20"/>
          <w:szCs w:val="20"/>
        </w:rPr>
      </w:pPr>
      <w:r w:rsidRPr="00A174DA">
        <w:rPr>
          <w:sz w:val="20"/>
          <w:szCs w:val="20"/>
        </w:rPr>
        <w:t>Source: NMFS Alaska Region Blend and Catch-accounting System estimates; and</w:t>
      </w:r>
      <w:r>
        <w:rPr>
          <w:sz w:val="20"/>
          <w:szCs w:val="20"/>
        </w:rPr>
        <w:t xml:space="preserve"> </w:t>
      </w:r>
      <w:r w:rsidRPr="00A174DA">
        <w:rPr>
          <w:sz w:val="20"/>
          <w:szCs w:val="20"/>
        </w:rPr>
        <w:t>ADF&amp;G Commercial Operators Annual Reports (COAR). Data compiled and</w:t>
      </w:r>
      <w:r>
        <w:rPr>
          <w:sz w:val="20"/>
          <w:szCs w:val="20"/>
        </w:rPr>
        <w:t xml:space="preserve"> provided by the Alaska </w:t>
      </w:r>
      <w:r w:rsidRPr="00A174DA">
        <w:rPr>
          <w:sz w:val="20"/>
          <w:szCs w:val="20"/>
        </w:rPr>
        <w:t>Fisheries Information Network (AKFIN</w:t>
      </w:r>
      <w:r w:rsidR="001E6D2C">
        <w:rPr>
          <w:sz w:val="20"/>
          <w:szCs w:val="20"/>
        </w:rPr>
        <w:t>).</w:t>
      </w:r>
    </w:p>
    <w:p w14:paraId="1DB3212F" w14:textId="77777777" w:rsidR="009D0AD4" w:rsidRDefault="00DA784E" w:rsidP="008D7D82">
      <w:pPr>
        <w:spacing w:after="0"/>
        <w:rPr>
          <w:noProof/>
        </w:rPr>
      </w:pPr>
      <w:r>
        <w:t>Table 2. GOA rock</w:t>
      </w:r>
      <w:r w:rsidR="003D404E">
        <w:t>fish first-wholesale market data</w:t>
      </w:r>
      <w:r w:rsidR="003D404E" w:rsidRPr="005B5200">
        <w:t xml:space="preserve">. </w:t>
      </w:r>
      <w:r w:rsidR="003D404E">
        <w:t>Production (thousand metric tons),</w:t>
      </w:r>
      <w:r w:rsidR="003D404E" w:rsidRPr="005B5200">
        <w:t xml:space="preserve"> value (million</w:t>
      </w:r>
      <w:r w:rsidR="003D404E">
        <w:t xml:space="preserve"> US$), price (US$ per pound</w:t>
      </w:r>
      <w:r w:rsidR="003D404E" w:rsidRPr="005B5200">
        <w:t>)</w:t>
      </w:r>
      <w:r w:rsidR="003D404E">
        <w:t xml:space="preserve">, </w:t>
      </w:r>
      <w:r>
        <w:t>Pacific ocean perch, northern rockfish and dusky rockfish share of GOA rock</w:t>
      </w:r>
      <w:r w:rsidR="003D404E">
        <w:t>fish value</w:t>
      </w:r>
      <w:r w:rsidR="00EA26F9">
        <w:t xml:space="preserve"> and price (US$ per pound)</w:t>
      </w:r>
      <w:r w:rsidR="003D404E">
        <w:t>, and head-and-gut share of value;</w:t>
      </w:r>
      <w:r w:rsidR="003D404E" w:rsidRPr="005B5200">
        <w:t xml:space="preserve"> </w:t>
      </w:r>
      <w:r w:rsidR="00763C5B">
        <w:t>2011-2015 average and 2016-2020.</w:t>
      </w:r>
      <w:r w:rsidR="00251E03" w:rsidRPr="00251E03">
        <w:t xml:space="preserve"> </w:t>
      </w:r>
    </w:p>
    <w:p w14:paraId="7C0CC00B" w14:textId="77777777" w:rsidR="00177150" w:rsidRDefault="00763C5B" w:rsidP="008D7D82">
      <w:pPr>
        <w:spacing w:after="0"/>
      </w:pPr>
      <w:r w:rsidRPr="00763C5B">
        <w:rPr>
          <w:noProof/>
        </w:rPr>
        <w:drawing>
          <wp:inline distT="0" distB="0" distL="0" distR="0" wp14:anchorId="78D5202B" wp14:editId="23400C48">
            <wp:extent cx="5651500" cy="204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00" cy="2044700"/>
                    </a:xfrm>
                    <a:prstGeom prst="rect">
                      <a:avLst/>
                    </a:prstGeom>
                    <a:noFill/>
                    <a:ln>
                      <a:noFill/>
                    </a:ln>
                  </pic:spPr>
                </pic:pic>
              </a:graphicData>
            </a:graphic>
          </wp:inline>
        </w:drawing>
      </w:r>
    </w:p>
    <w:p w14:paraId="10305A23" w14:textId="77777777" w:rsidR="003D404E" w:rsidRPr="00DC4221" w:rsidRDefault="003D404E" w:rsidP="003D404E">
      <w:pPr>
        <w:spacing w:line="240" w:lineRule="auto"/>
        <w:rPr>
          <w:sz w:val="20"/>
          <w:szCs w:val="20"/>
        </w:rPr>
      </w:pPr>
      <w:r w:rsidRPr="00A174DA">
        <w:rPr>
          <w:sz w:val="20"/>
          <w:szCs w:val="20"/>
        </w:rPr>
        <w:t>Source: NMFS Alaska Region At-sea</w:t>
      </w:r>
      <w:r>
        <w:rPr>
          <w:sz w:val="20"/>
          <w:szCs w:val="20"/>
        </w:rPr>
        <w:t xml:space="preserve"> </w:t>
      </w:r>
      <w:r w:rsidRPr="00A174DA">
        <w:rPr>
          <w:sz w:val="20"/>
          <w:szCs w:val="20"/>
        </w:rPr>
        <w:t>Production Reports; and</w:t>
      </w:r>
      <w:r>
        <w:rPr>
          <w:sz w:val="20"/>
          <w:szCs w:val="20"/>
        </w:rPr>
        <w:t xml:space="preserve"> </w:t>
      </w:r>
      <w:r w:rsidRPr="00A174DA">
        <w:rPr>
          <w:sz w:val="20"/>
          <w:szCs w:val="20"/>
        </w:rPr>
        <w:t>ADF&amp;G Commercial Operators Annual Reports (COAR). Data compiled and</w:t>
      </w:r>
      <w:r>
        <w:rPr>
          <w:sz w:val="20"/>
          <w:szCs w:val="20"/>
        </w:rPr>
        <w:t xml:space="preserve"> provided by the Alaska </w:t>
      </w:r>
      <w:r w:rsidRPr="00A174DA">
        <w:rPr>
          <w:sz w:val="20"/>
          <w:szCs w:val="20"/>
        </w:rPr>
        <w:t>Fisheries Information Network (AKFIN</w:t>
      </w:r>
      <w:r>
        <w:rPr>
          <w:sz w:val="20"/>
          <w:szCs w:val="20"/>
        </w:rPr>
        <w:t>).</w:t>
      </w:r>
    </w:p>
    <w:p w14:paraId="29FEB92C" w14:textId="77777777" w:rsidR="00F065F1" w:rsidRDefault="009D0AD4" w:rsidP="008D7D82">
      <w:pPr>
        <w:spacing w:after="0"/>
      </w:pPr>
      <w:r>
        <w:t>Table 3</w:t>
      </w:r>
      <w:r w:rsidR="00F065F1">
        <w:t xml:space="preserve">. </w:t>
      </w:r>
      <w:r w:rsidR="007B526D">
        <w:t>Rock</w:t>
      </w:r>
      <w:r w:rsidR="00AA6EEF">
        <w:t>fish</w:t>
      </w:r>
      <w:r w:rsidR="00915FE6">
        <w:t xml:space="preserve"> U.S. trade and</w:t>
      </w:r>
      <w:r w:rsidR="008F2A70">
        <w:t xml:space="preserve"> global</w:t>
      </w:r>
      <w:r w:rsidR="00915FE6">
        <w:t xml:space="preserve"> market</w:t>
      </w:r>
      <w:r w:rsidR="008F2A70">
        <w:t xml:space="preserve"> </w:t>
      </w:r>
      <w:r w:rsidR="00915FE6">
        <w:t>data</w:t>
      </w:r>
      <w:r w:rsidR="008F2A70">
        <w:t>.</w:t>
      </w:r>
      <w:r w:rsidR="00DC4221">
        <w:t xml:space="preserve"> Global production</w:t>
      </w:r>
      <w:r w:rsidR="00310B41">
        <w:t xml:space="preserve"> of rockfish and Pacific Ocean perch</w:t>
      </w:r>
      <w:r w:rsidR="00DC4221">
        <w:t xml:space="preserve"> (</w:t>
      </w:r>
      <w:r w:rsidR="00BC1448" w:rsidRPr="005B5200">
        <w:t>thousand metric tons</w:t>
      </w:r>
      <w:r w:rsidR="00DC4221">
        <w:t>), U.S.</w:t>
      </w:r>
      <w:r w:rsidR="00310B41">
        <w:t xml:space="preserve"> Pacific ocean perch</w:t>
      </w:r>
      <w:r w:rsidR="00DC4221">
        <w:t xml:space="preserve"> share</w:t>
      </w:r>
      <w:r w:rsidR="00310B41">
        <w:t>s</w:t>
      </w:r>
      <w:r w:rsidR="00DC4221">
        <w:t xml:space="preserve"> of global production,</w:t>
      </w:r>
      <w:r w:rsidR="008F2A70">
        <w:t xml:space="preserve"> </w:t>
      </w:r>
      <w:r w:rsidR="00310B41">
        <w:t>export volume (thousand metric tons), value (million US$) and price (US$ per pound)</w:t>
      </w:r>
      <w:r w:rsidR="00467DE8">
        <w:t>,</w:t>
      </w:r>
      <w:r w:rsidR="00310B41">
        <w:t xml:space="preserve"> China’s share of Pacific Ocean perch export value</w:t>
      </w:r>
      <w:r w:rsidR="00467DE8">
        <w:t xml:space="preserve"> and the Chinese Yaun/U.S. Dollar exchange rate</w:t>
      </w:r>
      <w:r w:rsidR="00BC1448">
        <w:t>;</w:t>
      </w:r>
      <w:r w:rsidR="007B526D">
        <w:t xml:space="preserve"> </w:t>
      </w:r>
      <w:r w:rsidR="00763C5B">
        <w:t>2011-2015 average and 2016-2020.</w:t>
      </w:r>
    </w:p>
    <w:p w14:paraId="2C129943" w14:textId="77777777" w:rsidR="00C35E37" w:rsidRDefault="00763C5B" w:rsidP="008D7D82">
      <w:pPr>
        <w:spacing w:after="0"/>
      </w:pPr>
      <w:r w:rsidRPr="00763C5B">
        <w:rPr>
          <w:noProof/>
        </w:rPr>
        <w:lastRenderedPageBreak/>
        <w:drawing>
          <wp:inline distT="0" distB="0" distL="0" distR="0" wp14:anchorId="6B23E6F8" wp14:editId="5B609681">
            <wp:extent cx="5651500" cy="278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500" cy="2787650"/>
                    </a:xfrm>
                    <a:prstGeom prst="rect">
                      <a:avLst/>
                    </a:prstGeom>
                    <a:noFill/>
                    <a:ln>
                      <a:noFill/>
                    </a:ln>
                  </pic:spPr>
                </pic:pic>
              </a:graphicData>
            </a:graphic>
          </wp:inline>
        </w:drawing>
      </w:r>
    </w:p>
    <w:p w14:paraId="608E75BB" w14:textId="77777777" w:rsidR="008D7D82" w:rsidRDefault="008D7D82" w:rsidP="00A15411">
      <w:pPr>
        <w:rPr>
          <w:sz w:val="20"/>
          <w:szCs w:val="20"/>
        </w:rPr>
      </w:pPr>
      <w:r w:rsidRPr="008D7D82">
        <w:rPr>
          <w:sz w:val="20"/>
          <w:szCs w:val="20"/>
        </w:rPr>
        <w:t xml:space="preserve">Source: </w:t>
      </w:r>
      <w:r w:rsidR="00915FE6">
        <w:rPr>
          <w:sz w:val="20"/>
          <w:szCs w:val="20"/>
        </w:rPr>
        <w:t xml:space="preserve">FAO Fisheries &amp; Aquaculture Dept. Statistics </w:t>
      </w:r>
      <w:hyperlink r:id="rId9" w:history="1">
        <w:r w:rsidR="00915FE6" w:rsidRPr="00C433EF">
          <w:rPr>
            <w:rStyle w:val="Hyperlink"/>
            <w:sz w:val="20"/>
            <w:szCs w:val="20"/>
          </w:rPr>
          <w:t>http://www.fao.org/fishery/statistics/en</w:t>
        </w:r>
      </w:hyperlink>
      <w:r w:rsidR="00915FE6">
        <w:rPr>
          <w:sz w:val="20"/>
          <w:szCs w:val="20"/>
        </w:rPr>
        <w:t xml:space="preserve">. </w:t>
      </w:r>
      <w:r w:rsidR="00A174DA">
        <w:rPr>
          <w:sz w:val="20"/>
          <w:szCs w:val="20"/>
        </w:rPr>
        <w:t>U.S. Department of Agriculture</w:t>
      </w:r>
      <w:r>
        <w:rPr>
          <w:sz w:val="20"/>
          <w:szCs w:val="20"/>
        </w:rPr>
        <w:t xml:space="preserve"> </w:t>
      </w:r>
      <w:hyperlink r:id="rId10" w:history="1">
        <w:r w:rsidRPr="00FB6BC2">
          <w:rPr>
            <w:rStyle w:val="Hyperlink"/>
            <w:sz w:val="20"/>
            <w:szCs w:val="20"/>
          </w:rPr>
          <w:t>http://www.ers.usda.gov/data-products/agricultural-exchange-rate-data-set.aspx</w:t>
        </w:r>
      </w:hyperlink>
      <w:r>
        <w:rPr>
          <w:sz w:val="20"/>
          <w:szCs w:val="20"/>
        </w:rPr>
        <w:t>.</w:t>
      </w:r>
    </w:p>
    <w:sectPr w:rsidR="008D7D82" w:rsidSect="009247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1B7FD" w14:textId="77777777" w:rsidR="006B1F02" w:rsidRDefault="006B1F02" w:rsidP="00945C3C">
      <w:pPr>
        <w:spacing w:after="0" w:line="240" w:lineRule="auto"/>
      </w:pPr>
      <w:r>
        <w:separator/>
      </w:r>
    </w:p>
  </w:endnote>
  <w:endnote w:type="continuationSeparator" w:id="0">
    <w:p w14:paraId="141147D8" w14:textId="77777777" w:rsidR="006B1F02" w:rsidRDefault="006B1F02" w:rsidP="0094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39686" w14:textId="77777777" w:rsidR="006B1F02" w:rsidRDefault="006B1F02" w:rsidP="00945C3C">
      <w:pPr>
        <w:spacing w:after="0" w:line="240" w:lineRule="auto"/>
      </w:pPr>
      <w:r>
        <w:separator/>
      </w:r>
    </w:p>
  </w:footnote>
  <w:footnote w:type="continuationSeparator" w:id="0">
    <w:p w14:paraId="3B8383CE" w14:textId="77777777" w:rsidR="006B1F02" w:rsidRDefault="006B1F02" w:rsidP="00945C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27"/>
    <w:rsid w:val="0000087C"/>
    <w:rsid w:val="00007EFB"/>
    <w:rsid w:val="00015C25"/>
    <w:rsid w:val="0001650E"/>
    <w:rsid w:val="00050636"/>
    <w:rsid w:val="00051434"/>
    <w:rsid w:val="00056864"/>
    <w:rsid w:val="000752C9"/>
    <w:rsid w:val="000C5CA3"/>
    <w:rsid w:val="000F4871"/>
    <w:rsid w:val="00125B37"/>
    <w:rsid w:val="00162CD9"/>
    <w:rsid w:val="00171237"/>
    <w:rsid w:val="00173A30"/>
    <w:rsid w:val="00177150"/>
    <w:rsid w:val="00181A11"/>
    <w:rsid w:val="0018784B"/>
    <w:rsid w:val="00191128"/>
    <w:rsid w:val="00194C00"/>
    <w:rsid w:val="001B2B6D"/>
    <w:rsid w:val="001C14FD"/>
    <w:rsid w:val="001C66C1"/>
    <w:rsid w:val="001C6994"/>
    <w:rsid w:val="001C6C5A"/>
    <w:rsid w:val="001E6D2C"/>
    <w:rsid w:val="001F6128"/>
    <w:rsid w:val="002000F1"/>
    <w:rsid w:val="00200BED"/>
    <w:rsid w:val="002128A9"/>
    <w:rsid w:val="00213BC2"/>
    <w:rsid w:val="00220CD5"/>
    <w:rsid w:val="00251E03"/>
    <w:rsid w:val="00280BDA"/>
    <w:rsid w:val="002A74E5"/>
    <w:rsid w:val="002E3F2B"/>
    <w:rsid w:val="00310B41"/>
    <w:rsid w:val="0031533F"/>
    <w:rsid w:val="00316AD5"/>
    <w:rsid w:val="003418B9"/>
    <w:rsid w:val="00375B12"/>
    <w:rsid w:val="00383CEA"/>
    <w:rsid w:val="00392999"/>
    <w:rsid w:val="003C2ADB"/>
    <w:rsid w:val="003C3F72"/>
    <w:rsid w:val="003D313A"/>
    <w:rsid w:val="003D404E"/>
    <w:rsid w:val="003D77E3"/>
    <w:rsid w:val="003E3EEE"/>
    <w:rsid w:val="003F5F3B"/>
    <w:rsid w:val="00415A59"/>
    <w:rsid w:val="00432C09"/>
    <w:rsid w:val="00460526"/>
    <w:rsid w:val="00467DE8"/>
    <w:rsid w:val="004C210A"/>
    <w:rsid w:val="004D5240"/>
    <w:rsid w:val="004E0606"/>
    <w:rsid w:val="004F1686"/>
    <w:rsid w:val="00502A2F"/>
    <w:rsid w:val="00520BEC"/>
    <w:rsid w:val="005217AF"/>
    <w:rsid w:val="005603E1"/>
    <w:rsid w:val="00577B68"/>
    <w:rsid w:val="005A7455"/>
    <w:rsid w:val="005B117D"/>
    <w:rsid w:val="005B135E"/>
    <w:rsid w:val="005B4277"/>
    <w:rsid w:val="005B5200"/>
    <w:rsid w:val="005D7102"/>
    <w:rsid w:val="005E327D"/>
    <w:rsid w:val="005F38B9"/>
    <w:rsid w:val="006224F7"/>
    <w:rsid w:val="006478A8"/>
    <w:rsid w:val="00684424"/>
    <w:rsid w:val="00686FA8"/>
    <w:rsid w:val="006A2368"/>
    <w:rsid w:val="006B1F02"/>
    <w:rsid w:val="006D0433"/>
    <w:rsid w:val="006D2B75"/>
    <w:rsid w:val="006D6053"/>
    <w:rsid w:val="006E3E37"/>
    <w:rsid w:val="006E613A"/>
    <w:rsid w:val="0070432B"/>
    <w:rsid w:val="00763C5B"/>
    <w:rsid w:val="00782AEB"/>
    <w:rsid w:val="007B1307"/>
    <w:rsid w:val="007B3CB7"/>
    <w:rsid w:val="007B526D"/>
    <w:rsid w:val="007C1702"/>
    <w:rsid w:val="007D1494"/>
    <w:rsid w:val="00830F62"/>
    <w:rsid w:val="00841B2B"/>
    <w:rsid w:val="00845689"/>
    <w:rsid w:val="00845BAA"/>
    <w:rsid w:val="00850BE3"/>
    <w:rsid w:val="008619B7"/>
    <w:rsid w:val="00872039"/>
    <w:rsid w:val="00887EA4"/>
    <w:rsid w:val="008C3588"/>
    <w:rsid w:val="008D37CC"/>
    <w:rsid w:val="008D7D82"/>
    <w:rsid w:val="008E656B"/>
    <w:rsid w:val="008F2A70"/>
    <w:rsid w:val="009121F5"/>
    <w:rsid w:val="00915FE6"/>
    <w:rsid w:val="00917966"/>
    <w:rsid w:val="00924789"/>
    <w:rsid w:val="00945C3C"/>
    <w:rsid w:val="009724F1"/>
    <w:rsid w:val="0097451B"/>
    <w:rsid w:val="00976B4A"/>
    <w:rsid w:val="00983996"/>
    <w:rsid w:val="00985F4C"/>
    <w:rsid w:val="00992ADB"/>
    <w:rsid w:val="0099320C"/>
    <w:rsid w:val="00995B1B"/>
    <w:rsid w:val="009A0194"/>
    <w:rsid w:val="009B3EFD"/>
    <w:rsid w:val="009D0AD4"/>
    <w:rsid w:val="009E1F1D"/>
    <w:rsid w:val="009F36C0"/>
    <w:rsid w:val="00A016A8"/>
    <w:rsid w:val="00A01AA8"/>
    <w:rsid w:val="00A04C5C"/>
    <w:rsid w:val="00A1307C"/>
    <w:rsid w:val="00A15411"/>
    <w:rsid w:val="00A174DA"/>
    <w:rsid w:val="00A239B0"/>
    <w:rsid w:val="00A53B60"/>
    <w:rsid w:val="00A62CB5"/>
    <w:rsid w:val="00A65F00"/>
    <w:rsid w:val="00A738C4"/>
    <w:rsid w:val="00A8240F"/>
    <w:rsid w:val="00A96FF3"/>
    <w:rsid w:val="00AA6CF2"/>
    <w:rsid w:val="00AA6EEF"/>
    <w:rsid w:val="00AC592D"/>
    <w:rsid w:val="00AD7F32"/>
    <w:rsid w:val="00AF6F59"/>
    <w:rsid w:val="00B15BB2"/>
    <w:rsid w:val="00B22601"/>
    <w:rsid w:val="00B253B1"/>
    <w:rsid w:val="00B41875"/>
    <w:rsid w:val="00B43578"/>
    <w:rsid w:val="00B65394"/>
    <w:rsid w:val="00B82EBB"/>
    <w:rsid w:val="00BA08B2"/>
    <w:rsid w:val="00BA2E26"/>
    <w:rsid w:val="00BC1448"/>
    <w:rsid w:val="00BD470A"/>
    <w:rsid w:val="00BE06B6"/>
    <w:rsid w:val="00BF3755"/>
    <w:rsid w:val="00C003B9"/>
    <w:rsid w:val="00C11985"/>
    <w:rsid w:val="00C165A3"/>
    <w:rsid w:val="00C17ABF"/>
    <w:rsid w:val="00C35E37"/>
    <w:rsid w:val="00C375E8"/>
    <w:rsid w:val="00C52518"/>
    <w:rsid w:val="00C572EA"/>
    <w:rsid w:val="00C61C8F"/>
    <w:rsid w:val="00C93EE0"/>
    <w:rsid w:val="00C95018"/>
    <w:rsid w:val="00CD08D5"/>
    <w:rsid w:val="00CE1A51"/>
    <w:rsid w:val="00CF3982"/>
    <w:rsid w:val="00D0582C"/>
    <w:rsid w:val="00D06F42"/>
    <w:rsid w:val="00D14E0E"/>
    <w:rsid w:val="00D14FAA"/>
    <w:rsid w:val="00D2375F"/>
    <w:rsid w:val="00D354C6"/>
    <w:rsid w:val="00DA00E2"/>
    <w:rsid w:val="00DA784E"/>
    <w:rsid w:val="00DB52DF"/>
    <w:rsid w:val="00DC4221"/>
    <w:rsid w:val="00DF6598"/>
    <w:rsid w:val="00E0565A"/>
    <w:rsid w:val="00E05EE7"/>
    <w:rsid w:val="00E230F4"/>
    <w:rsid w:val="00E4156A"/>
    <w:rsid w:val="00E60407"/>
    <w:rsid w:val="00EA1631"/>
    <w:rsid w:val="00EA26F9"/>
    <w:rsid w:val="00EB14AB"/>
    <w:rsid w:val="00ED1F83"/>
    <w:rsid w:val="00EF1E1C"/>
    <w:rsid w:val="00F065F1"/>
    <w:rsid w:val="00F16927"/>
    <w:rsid w:val="00F328CE"/>
    <w:rsid w:val="00F41E90"/>
    <w:rsid w:val="00F53B21"/>
    <w:rsid w:val="00F7253C"/>
    <w:rsid w:val="00F95072"/>
    <w:rsid w:val="00FB27FC"/>
    <w:rsid w:val="00FC1A0E"/>
    <w:rsid w:val="00FF0B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65F1"/>
  <w15:docId w15:val="{4B7FE8EB-223B-482A-ADB3-E2800165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7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52C9"/>
    <w:rPr>
      <w:sz w:val="16"/>
      <w:szCs w:val="16"/>
    </w:rPr>
  </w:style>
  <w:style w:type="paragraph" w:styleId="CommentText">
    <w:name w:val="annotation text"/>
    <w:basedOn w:val="Normal"/>
    <w:link w:val="CommentTextChar"/>
    <w:uiPriority w:val="99"/>
    <w:semiHidden/>
    <w:unhideWhenUsed/>
    <w:rsid w:val="000752C9"/>
    <w:pPr>
      <w:spacing w:line="240" w:lineRule="auto"/>
    </w:pPr>
    <w:rPr>
      <w:sz w:val="20"/>
      <w:szCs w:val="20"/>
    </w:rPr>
  </w:style>
  <w:style w:type="character" w:customStyle="1" w:styleId="CommentTextChar">
    <w:name w:val="Comment Text Char"/>
    <w:basedOn w:val="DefaultParagraphFont"/>
    <w:link w:val="CommentText"/>
    <w:uiPriority w:val="99"/>
    <w:semiHidden/>
    <w:rsid w:val="000752C9"/>
    <w:rPr>
      <w:sz w:val="20"/>
      <w:szCs w:val="20"/>
    </w:rPr>
  </w:style>
  <w:style w:type="paragraph" w:styleId="CommentSubject">
    <w:name w:val="annotation subject"/>
    <w:basedOn w:val="CommentText"/>
    <w:next w:val="CommentText"/>
    <w:link w:val="CommentSubjectChar"/>
    <w:uiPriority w:val="99"/>
    <w:semiHidden/>
    <w:unhideWhenUsed/>
    <w:rsid w:val="000752C9"/>
    <w:rPr>
      <w:b/>
      <w:bCs/>
    </w:rPr>
  </w:style>
  <w:style w:type="character" w:customStyle="1" w:styleId="CommentSubjectChar">
    <w:name w:val="Comment Subject Char"/>
    <w:basedOn w:val="CommentTextChar"/>
    <w:link w:val="CommentSubject"/>
    <w:uiPriority w:val="99"/>
    <w:semiHidden/>
    <w:rsid w:val="000752C9"/>
    <w:rPr>
      <w:b/>
      <w:bCs/>
      <w:sz w:val="20"/>
      <w:szCs w:val="20"/>
    </w:rPr>
  </w:style>
  <w:style w:type="paragraph" w:styleId="BalloonText">
    <w:name w:val="Balloon Text"/>
    <w:basedOn w:val="Normal"/>
    <w:link w:val="BalloonTextChar"/>
    <w:uiPriority w:val="99"/>
    <w:semiHidden/>
    <w:unhideWhenUsed/>
    <w:rsid w:val="000752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2C9"/>
    <w:rPr>
      <w:rFonts w:ascii="Segoe UI" w:hAnsi="Segoe UI" w:cs="Segoe UI"/>
      <w:sz w:val="18"/>
      <w:szCs w:val="18"/>
    </w:rPr>
  </w:style>
  <w:style w:type="character" w:styleId="Hyperlink">
    <w:name w:val="Hyperlink"/>
    <w:basedOn w:val="DefaultParagraphFont"/>
    <w:uiPriority w:val="99"/>
    <w:unhideWhenUsed/>
    <w:rsid w:val="008D7D82"/>
    <w:rPr>
      <w:color w:val="0563C1" w:themeColor="hyperlink"/>
      <w:u w:val="single"/>
    </w:rPr>
  </w:style>
  <w:style w:type="paragraph" w:styleId="FootnoteText">
    <w:name w:val="footnote text"/>
    <w:basedOn w:val="Normal"/>
    <w:link w:val="FootnoteTextChar"/>
    <w:semiHidden/>
    <w:unhideWhenUsed/>
    <w:rsid w:val="00945C3C"/>
    <w:pPr>
      <w:spacing w:after="0" w:line="240" w:lineRule="auto"/>
    </w:pPr>
    <w:rPr>
      <w:sz w:val="20"/>
      <w:szCs w:val="20"/>
    </w:rPr>
  </w:style>
  <w:style w:type="character" w:customStyle="1" w:styleId="FootnoteTextChar">
    <w:name w:val="Footnote Text Char"/>
    <w:basedOn w:val="DefaultParagraphFont"/>
    <w:link w:val="FootnoteText"/>
    <w:semiHidden/>
    <w:rsid w:val="00945C3C"/>
    <w:rPr>
      <w:sz w:val="20"/>
      <w:szCs w:val="20"/>
    </w:rPr>
  </w:style>
  <w:style w:type="character" w:styleId="FootnoteReference">
    <w:name w:val="footnote reference"/>
    <w:basedOn w:val="DefaultParagraphFont"/>
    <w:semiHidden/>
    <w:unhideWhenUsed/>
    <w:rsid w:val="00945C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06437">
      <w:bodyDiv w:val="1"/>
      <w:marLeft w:val="0"/>
      <w:marRight w:val="0"/>
      <w:marTop w:val="0"/>
      <w:marBottom w:val="0"/>
      <w:divBdr>
        <w:top w:val="none" w:sz="0" w:space="0" w:color="auto"/>
        <w:left w:val="none" w:sz="0" w:space="0" w:color="auto"/>
        <w:bottom w:val="none" w:sz="0" w:space="0" w:color="auto"/>
        <w:right w:val="none" w:sz="0" w:space="0" w:color="auto"/>
      </w:divBdr>
    </w:div>
    <w:div w:id="213735439">
      <w:bodyDiv w:val="1"/>
      <w:marLeft w:val="0"/>
      <w:marRight w:val="0"/>
      <w:marTop w:val="0"/>
      <w:marBottom w:val="0"/>
      <w:divBdr>
        <w:top w:val="none" w:sz="0" w:space="0" w:color="auto"/>
        <w:left w:val="none" w:sz="0" w:space="0" w:color="auto"/>
        <w:bottom w:val="none" w:sz="0" w:space="0" w:color="auto"/>
        <w:right w:val="none" w:sz="0" w:space="0" w:color="auto"/>
      </w:divBdr>
    </w:div>
    <w:div w:id="217203476">
      <w:bodyDiv w:val="1"/>
      <w:marLeft w:val="0"/>
      <w:marRight w:val="0"/>
      <w:marTop w:val="0"/>
      <w:marBottom w:val="0"/>
      <w:divBdr>
        <w:top w:val="none" w:sz="0" w:space="0" w:color="auto"/>
        <w:left w:val="none" w:sz="0" w:space="0" w:color="auto"/>
        <w:bottom w:val="none" w:sz="0" w:space="0" w:color="auto"/>
        <w:right w:val="none" w:sz="0" w:space="0" w:color="auto"/>
      </w:divBdr>
    </w:div>
    <w:div w:id="267934743">
      <w:bodyDiv w:val="1"/>
      <w:marLeft w:val="0"/>
      <w:marRight w:val="0"/>
      <w:marTop w:val="0"/>
      <w:marBottom w:val="0"/>
      <w:divBdr>
        <w:top w:val="none" w:sz="0" w:space="0" w:color="auto"/>
        <w:left w:val="none" w:sz="0" w:space="0" w:color="auto"/>
        <w:bottom w:val="none" w:sz="0" w:space="0" w:color="auto"/>
        <w:right w:val="none" w:sz="0" w:space="0" w:color="auto"/>
      </w:divBdr>
    </w:div>
    <w:div w:id="363987057">
      <w:bodyDiv w:val="1"/>
      <w:marLeft w:val="0"/>
      <w:marRight w:val="0"/>
      <w:marTop w:val="0"/>
      <w:marBottom w:val="0"/>
      <w:divBdr>
        <w:top w:val="none" w:sz="0" w:space="0" w:color="auto"/>
        <w:left w:val="none" w:sz="0" w:space="0" w:color="auto"/>
        <w:bottom w:val="none" w:sz="0" w:space="0" w:color="auto"/>
        <w:right w:val="none" w:sz="0" w:space="0" w:color="auto"/>
      </w:divBdr>
    </w:div>
    <w:div w:id="381254960">
      <w:bodyDiv w:val="1"/>
      <w:marLeft w:val="0"/>
      <w:marRight w:val="0"/>
      <w:marTop w:val="0"/>
      <w:marBottom w:val="0"/>
      <w:divBdr>
        <w:top w:val="none" w:sz="0" w:space="0" w:color="auto"/>
        <w:left w:val="none" w:sz="0" w:space="0" w:color="auto"/>
        <w:bottom w:val="none" w:sz="0" w:space="0" w:color="auto"/>
        <w:right w:val="none" w:sz="0" w:space="0" w:color="auto"/>
      </w:divBdr>
    </w:div>
    <w:div w:id="429742699">
      <w:bodyDiv w:val="1"/>
      <w:marLeft w:val="0"/>
      <w:marRight w:val="0"/>
      <w:marTop w:val="0"/>
      <w:marBottom w:val="0"/>
      <w:divBdr>
        <w:top w:val="none" w:sz="0" w:space="0" w:color="auto"/>
        <w:left w:val="none" w:sz="0" w:space="0" w:color="auto"/>
        <w:bottom w:val="none" w:sz="0" w:space="0" w:color="auto"/>
        <w:right w:val="none" w:sz="0" w:space="0" w:color="auto"/>
      </w:divBdr>
    </w:div>
    <w:div w:id="449780966">
      <w:bodyDiv w:val="1"/>
      <w:marLeft w:val="0"/>
      <w:marRight w:val="0"/>
      <w:marTop w:val="0"/>
      <w:marBottom w:val="0"/>
      <w:divBdr>
        <w:top w:val="none" w:sz="0" w:space="0" w:color="auto"/>
        <w:left w:val="none" w:sz="0" w:space="0" w:color="auto"/>
        <w:bottom w:val="none" w:sz="0" w:space="0" w:color="auto"/>
        <w:right w:val="none" w:sz="0" w:space="0" w:color="auto"/>
      </w:divBdr>
    </w:div>
    <w:div w:id="559444648">
      <w:bodyDiv w:val="1"/>
      <w:marLeft w:val="0"/>
      <w:marRight w:val="0"/>
      <w:marTop w:val="0"/>
      <w:marBottom w:val="0"/>
      <w:divBdr>
        <w:top w:val="none" w:sz="0" w:space="0" w:color="auto"/>
        <w:left w:val="none" w:sz="0" w:space="0" w:color="auto"/>
        <w:bottom w:val="none" w:sz="0" w:space="0" w:color="auto"/>
        <w:right w:val="none" w:sz="0" w:space="0" w:color="auto"/>
      </w:divBdr>
    </w:div>
    <w:div w:id="597910090">
      <w:bodyDiv w:val="1"/>
      <w:marLeft w:val="0"/>
      <w:marRight w:val="0"/>
      <w:marTop w:val="0"/>
      <w:marBottom w:val="0"/>
      <w:divBdr>
        <w:top w:val="none" w:sz="0" w:space="0" w:color="auto"/>
        <w:left w:val="none" w:sz="0" w:space="0" w:color="auto"/>
        <w:bottom w:val="none" w:sz="0" w:space="0" w:color="auto"/>
        <w:right w:val="none" w:sz="0" w:space="0" w:color="auto"/>
      </w:divBdr>
    </w:div>
    <w:div w:id="637075799">
      <w:bodyDiv w:val="1"/>
      <w:marLeft w:val="0"/>
      <w:marRight w:val="0"/>
      <w:marTop w:val="0"/>
      <w:marBottom w:val="0"/>
      <w:divBdr>
        <w:top w:val="none" w:sz="0" w:space="0" w:color="auto"/>
        <w:left w:val="none" w:sz="0" w:space="0" w:color="auto"/>
        <w:bottom w:val="none" w:sz="0" w:space="0" w:color="auto"/>
        <w:right w:val="none" w:sz="0" w:space="0" w:color="auto"/>
      </w:divBdr>
    </w:div>
    <w:div w:id="795490406">
      <w:bodyDiv w:val="1"/>
      <w:marLeft w:val="0"/>
      <w:marRight w:val="0"/>
      <w:marTop w:val="0"/>
      <w:marBottom w:val="0"/>
      <w:divBdr>
        <w:top w:val="none" w:sz="0" w:space="0" w:color="auto"/>
        <w:left w:val="none" w:sz="0" w:space="0" w:color="auto"/>
        <w:bottom w:val="none" w:sz="0" w:space="0" w:color="auto"/>
        <w:right w:val="none" w:sz="0" w:space="0" w:color="auto"/>
      </w:divBdr>
    </w:div>
    <w:div w:id="838078596">
      <w:bodyDiv w:val="1"/>
      <w:marLeft w:val="0"/>
      <w:marRight w:val="0"/>
      <w:marTop w:val="0"/>
      <w:marBottom w:val="0"/>
      <w:divBdr>
        <w:top w:val="none" w:sz="0" w:space="0" w:color="auto"/>
        <w:left w:val="none" w:sz="0" w:space="0" w:color="auto"/>
        <w:bottom w:val="none" w:sz="0" w:space="0" w:color="auto"/>
        <w:right w:val="none" w:sz="0" w:space="0" w:color="auto"/>
      </w:divBdr>
    </w:div>
    <w:div w:id="853114412">
      <w:bodyDiv w:val="1"/>
      <w:marLeft w:val="0"/>
      <w:marRight w:val="0"/>
      <w:marTop w:val="0"/>
      <w:marBottom w:val="0"/>
      <w:divBdr>
        <w:top w:val="none" w:sz="0" w:space="0" w:color="auto"/>
        <w:left w:val="none" w:sz="0" w:space="0" w:color="auto"/>
        <w:bottom w:val="none" w:sz="0" w:space="0" w:color="auto"/>
        <w:right w:val="none" w:sz="0" w:space="0" w:color="auto"/>
      </w:divBdr>
    </w:div>
    <w:div w:id="916130125">
      <w:bodyDiv w:val="1"/>
      <w:marLeft w:val="0"/>
      <w:marRight w:val="0"/>
      <w:marTop w:val="0"/>
      <w:marBottom w:val="0"/>
      <w:divBdr>
        <w:top w:val="none" w:sz="0" w:space="0" w:color="auto"/>
        <w:left w:val="none" w:sz="0" w:space="0" w:color="auto"/>
        <w:bottom w:val="none" w:sz="0" w:space="0" w:color="auto"/>
        <w:right w:val="none" w:sz="0" w:space="0" w:color="auto"/>
      </w:divBdr>
    </w:div>
    <w:div w:id="993409291">
      <w:bodyDiv w:val="1"/>
      <w:marLeft w:val="0"/>
      <w:marRight w:val="0"/>
      <w:marTop w:val="0"/>
      <w:marBottom w:val="0"/>
      <w:divBdr>
        <w:top w:val="none" w:sz="0" w:space="0" w:color="auto"/>
        <w:left w:val="none" w:sz="0" w:space="0" w:color="auto"/>
        <w:bottom w:val="none" w:sz="0" w:space="0" w:color="auto"/>
        <w:right w:val="none" w:sz="0" w:space="0" w:color="auto"/>
      </w:divBdr>
    </w:div>
    <w:div w:id="1130395330">
      <w:bodyDiv w:val="1"/>
      <w:marLeft w:val="0"/>
      <w:marRight w:val="0"/>
      <w:marTop w:val="0"/>
      <w:marBottom w:val="0"/>
      <w:divBdr>
        <w:top w:val="none" w:sz="0" w:space="0" w:color="auto"/>
        <w:left w:val="none" w:sz="0" w:space="0" w:color="auto"/>
        <w:bottom w:val="none" w:sz="0" w:space="0" w:color="auto"/>
        <w:right w:val="none" w:sz="0" w:space="0" w:color="auto"/>
      </w:divBdr>
    </w:div>
    <w:div w:id="1169173693">
      <w:bodyDiv w:val="1"/>
      <w:marLeft w:val="0"/>
      <w:marRight w:val="0"/>
      <w:marTop w:val="0"/>
      <w:marBottom w:val="0"/>
      <w:divBdr>
        <w:top w:val="none" w:sz="0" w:space="0" w:color="auto"/>
        <w:left w:val="none" w:sz="0" w:space="0" w:color="auto"/>
        <w:bottom w:val="none" w:sz="0" w:space="0" w:color="auto"/>
        <w:right w:val="none" w:sz="0" w:space="0" w:color="auto"/>
      </w:divBdr>
    </w:div>
    <w:div w:id="1226720873">
      <w:bodyDiv w:val="1"/>
      <w:marLeft w:val="0"/>
      <w:marRight w:val="0"/>
      <w:marTop w:val="0"/>
      <w:marBottom w:val="0"/>
      <w:divBdr>
        <w:top w:val="none" w:sz="0" w:space="0" w:color="auto"/>
        <w:left w:val="none" w:sz="0" w:space="0" w:color="auto"/>
        <w:bottom w:val="none" w:sz="0" w:space="0" w:color="auto"/>
        <w:right w:val="none" w:sz="0" w:space="0" w:color="auto"/>
      </w:divBdr>
    </w:div>
    <w:div w:id="1251238327">
      <w:bodyDiv w:val="1"/>
      <w:marLeft w:val="0"/>
      <w:marRight w:val="0"/>
      <w:marTop w:val="0"/>
      <w:marBottom w:val="0"/>
      <w:divBdr>
        <w:top w:val="none" w:sz="0" w:space="0" w:color="auto"/>
        <w:left w:val="none" w:sz="0" w:space="0" w:color="auto"/>
        <w:bottom w:val="none" w:sz="0" w:space="0" w:color="auto"/>
        <w:right w:val="none" w:sz="0" w:space="0" w:color="auto"/>
      </w:divBdr>
    </w:div>
    <w:div w:id="1386374279">
      <w:bodyDiv w:val="1"/>
      <w:marLeft w:val="0"/>
      <w:marRight w:val="0"/>
      <w:marTop w:val="0"/>
      <w:marBottom w:val="0"/>
      <w:divBdr>
        <w:top w:val="none" w:sz="0" w:space="0" w:color="auto"/>
        <w:left w:val="none" w:sz="0" w:space="0" w:color="auto"/>
        <w:bottom w:val="none" w:sz="0" w:space="0" w:color="auto"/>
        <w:right w:val="none" w:sz="0" w:space="0" w:color="auto"/>
      </w:divBdr>
    </w:div>
    <w:div w:id="1417675974">
      <w:bodyDiv w:val="1"/>
      <w:marLeft w:val="0"/>
      <w:marRight w:val="0"/>
      <w:marTop w:val="0"/>
      <w:marBottom w:val="0"/>
      <w:divBdr>
        <w:top w:val="none" w:sz="0" w:space="0" w:color="auto"/>
        <w:left w:val="none" w:sz="0" w:space="0" w:color="auto"/>
        <w:bottom w:val="none" w:sz="0" w:space="0" w:color="auto"/>
        <w:right w:val="none" w:sz="0" w:space="0" w:color="auto"/>
      </w:divBdr>
    </w:div>
    <w:div w:id="1511410663">
      <w:bodyDiv w:val="1"/>
      <w:marLeft w:val="0"/>
      <w:marRight w:val="0"/>
      <w:marTop w:val="0"/>
      <w:marBottom w:val="0"/>
      <w:divBdr>
        <w:top w:val="none" w:sz="0" w:space="0" w:color="auto"/>
        <w:left w:val="none" w:sz="0" w:space="0" w:color="auto"/>
        <w:bottom w:val="none" w:sz="0" w:space="0" w:color="auto"/>
        <w:right w:val="none" w:sz="0" w:space="0" w:color="auto"/>
      </w:divBdr>
    </w:div>
    <w:div w:id="1570843126">
      <w:bodyDiv w:val="1"/>
      <w:marLeft w:val="0"/>
      <w:marRight w:val="0"/>
      <w:marTop w:val="0"/>
      <w:marBottom w:val="0"/>
      <w:divBdr>
        <w:top w:val="none" w:sz="0" w:space="0" w:color="auto"/>
        <w:left w:val="none" w:sz="0" w:space="0" w:color="auto"/>
        <w:bottom w:val="none" w:sz="0" w:space="0" w:color="auto"/>
        <w:right w:val="none" w:sz="0" w:space="0" w:color="auto"/>
      </w:divBdr>
    </w:div>
    <w:div w:id="1870098170">
      <w:bodyDiv w:val="1"/>
      <w:marLeft w:val="0"/>
      <w:marRight w:val="0"/>
      <w:marTop w:val="0"/>
      <w:marBottom w:val="0"/>
      <w:divBdr>
        <w:top w:val="none" w:sz="0" w:space="0" w:color="auto"/>
        <w:left w:val="none" w:sz="0" w:space="0" w:color="auto"/>
        <w:bottom w:val="none" w:sz="0" w:space="0" w:color="auto"/>
        <w:right w:val="none" w:sz="0" w:space="0" w:color="auto"/>
      </w:divBdr>
    </w:div>
    <w:div w:id="1874998198">
      <w:bodyDiv w:val="1"/>
      <w:marLeft w:val="0"/>
      <w:marRight w:val="0"/>
      <w:marTop w:val="0"/>
      <w:marBottom w:val="0"/>
      <w:divBdr>
        <w:top w:val="none" w:sz="0" w:space="0" w:color="auto"/>
        <w:left w:val="none" w:sz="0" w:space="0" w:color="auto"/>
        <w:bottom w:val="none" w:sz="0" w:space="0" w:color="auto"/>
        <w:right w:val="none" w:sz="0" w:space="0" w:color="auto"/>
      </w:divBdr>
    </w:div>
    <w:div w:id="204204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ers.usda.gov/data-products/agricultural-exchange-rate-data-set.aspx" TargetMode="External"/><Relationship Id="rId4" Type="http://schemas.openxmlformats.org/officeDocument/2006/relationships/footnotes" Target="footnotes.xml"/><Relationship Id="rId9" Type="http://schemas.openxmlformats.org/officeDocument/2006/relationships/hyperlink" Target="http://www.fao.org/fishery/statistic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Alaska sablefish economic perfomance report</vt:lpstr>
    </vt:vector>
  </TitlesOfParts>
  <Company>NOAA-NMFS-AFSC-ESSRP</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Alaska sablefish economic perfomance report</dc:title>
  <dc:subject>Alaska sablefish economic perfomance report</dc:subject>
  <dc:creator>Ben Fissel</dc:creator>
  <cp:keywords/>
  <dc:description/>
  <cp:lastModifiedBy>Ben Fissel</cp:lastModifiedBy>
  <cp:revision>5</cp:revision>
  <cp:lastPrinted>2016-10-22T01:17:00Z</cp:lastPrinted>
  <dcterms:created xsi:type="dcterms:W3CDTF">2021-10-29T12:19:00Z</dcterms:created>
  <dcterms:modified xsi:type="dcterms:W3CDTF">2021-10-29T16:31:00Z</dcterms:modified>
</cp:coreProperties>
</file>