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26986" w14:textId="780974BE" w:rsidR="004945E5" w:rsidRDefault="00E87934" w:rsidP="00465BF5">
      <w:pPr>
        <w:pStyle w:val="Title"/>
      </w:pPr>
      <w:r>
        <w:fldChar w:fldCharType="begin"/>
      </w:r>
      <w:r>
        <w:instrText xml:space="preserve"> MACROBUTTON MTEditEquationSection2 </w:instrText>
      </w:r>
      <w:r w:rsidRPr="00E87934">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FA6633">
        <w:t xml:space="preserve">Center for Independent Experts (CIE) Independent Peer </w:t>
      </w:r>
      <w:r w:rsidR="00465BF5">
        <w:t>Review of “Assessment</w:t>
      </w:r>
      <w:r w:rsidR="000E7744">
        <w:t>s</w:t>
      </w:r>
      <w:r w:rsidR="00465BF5">
        <w:t xml:space="preserve"> of the Pacific ocean perch</w:t>
      </w:r>
      <w:r w:rsidR="00C16E91">
        <w:t xml:space="preserve"> (</w:t>
      </w:r>
      <w:r w:rsidR="00C16E91" w:rsidRPr="000246F0">
        <w:rPr>
          <w:i/>
        </w:rPr>
        <w:t>Sebastes alutus</w:t>
      </w:r>
      <w:r w:rsidR="00C16E91">
        <w:t>)</w:t>
      </w:r>
      <w:r w:rsidR="000E7744">
        <w:t xml:space="preserve"> and other rockfish stocks</w:t>
      </w:r>
      <w:r w:rsidR="00465BF5">
        <w:t xml:space="preserve"> in the Gulf of Alaska”</w:t>
      </w:r>
    </w:p>
    <w:p w14:paraId="7F747FE0" w14:textId="09B15B7D" w:rsidR="004945E5" w:rsidRDefault="004945E5"/>
    <w:p w14:paraId="740F848D" w14:textId="77777777" w:rsidR="000A5EF2" w:rsidRDefault="000A5EF2"/>
    <w:p w14:paraId="0AD0DCC0" w14:textId="77777777" w:rsidR="000A5EF2" w:rsidRDefault="00B24038" w:rsidP="00CF2AF7">
      <w:pPr>
        <w:pStyle w:val="Heading2"/>
      </w:pPr>
      <w:r>
        <w:t>Virtual meeting</w:t>
      </w:r>
    </w:p>
    <w:p w14:paraId="4CC6C83B" w14:textId="0A120554" w:rsidR="001B60A7" w:rsidRDefault="00B24038" w:rsidP="00CF2AF7">
      <w:pPr>
        <w:pStyle w:val="Heading2"/>
      </w:pPr>
      <w:r>
        <w:t>30 March – 1 April, 2021</w:t>
      </w:r>
      <w:r w:rsidR="00BB7FFD">
        <w:t xml:space="preserve">, </w:t>
      </w:r>
      <w:r>
        <w:t>Pacific Daylight Time</w:t>
      </w:r>
    </w:p>
    <w:p w14:paraId="6E9765F7" w14:textId="77777777" w:rsidR="001B60A7" w:rsidRDefault="001B60A7" w:rsidP="00494573">
      <w:pPr>
        <w:pStyle w:val="Heading1"/>
      </w:pPr>
    </w:p>
    <w:p w14:paraId="5E00B4C0" w14:textId="4931CC82" w:rsidR="001B60A7" w:rsidRDefault="00494573" w:rsidP="001325B0">
      <w:pPr>
        <w:pStyle w:val="Heading2"/>
      </w:pPr>
      <w:r>
        <w:t xml:space="preserve">Prepared by </w:t>
      </w:r>
      <w:r w:rsidR="00B24038">
        <w:t>Saang-Yoon Hyun</w:t>
      </w:r>
    </w:p>
    <w:p w14:paraId="2AF41B72" w14:textId="1DD09835" w:rsidR="00B24038" w:rsidRDefault="00494573" w:rsidP="001325B0">
      <w:pPr>
        <w:pStyle w:val="Heading2"/>
      </w:pPr>
      <w:r>
        <w:t>Prepared for</w:t>
      </w:r>
      <w:r w:rsidR="00B24038">
        <w:t xml:space="preserve"> the Center of Independe</w:t>
      </w:r>
      <w:r w:rsidR="00FA6633">
        <w:t>nt</w:t>
      </w:r>
      <w:r w:rsidR="00B24038">
        <w:t xml:space="preserve"> Experts</w:t>
      </w:r>
    </w:p>
    <w:p w14:paraId="7935385A" w14:textId="09BFCB9C" w:rsidR="00B24038" w:rsidRDefault="00B24038" w:rsidP="001325B0">
      <w:pPr>
        <w:pStyle w:val="Heading2"/>
      </w:pPr>
    </w:p>
    <w:p w14:paraId="1DF2DD57" w14:textId="092218E4" w:rsidR="00B24038" w:rsidRDefault="00B24038" w:rsidP="00494573">
      <w:pPr>
        <w:pStyle w:val="Heading2"/>
      </w:pPr>
    </w:p>
    <w:p w14:paraId="7C21A4D6" w14:textId="38133CB9" w:rsidR="00B24038" w:rsidRDefault="00B24038" w:rsidP="00BB7FFD">
      <w:pPr>
        <w:pStyle w:val="Heading2"/>
        <w:rPr>
          <w:rFonts w:cstheme="majorHAnsi"/>
        </w:rPr>
      </w:pPr>
    </w:p>
    <w:p w14:paraId="550D6989" w14:textId="7E968EEC" w:rsidR="003A1C5C" w:rsidRDefault="003A1C5C" w:rsidP="003A1C5C"/>
    <w:p w14:paraId="70F5F1FC" w14:textId="2651534C" w:rsidR="003A1C5C" w:rsidRDefault="003A1C5C" w:rsidP="003A1C5C"/>
    <w:p w14:paraId="18F5631A" w14:textId="18E7A3C8" w:rsidR="003A1C5C" w:rsidRDefault="003A1C5C" w:rsidP="003A1C5C"/>
    <w:p w14:paraId="0982E023" w14:textId="7CDD6631" w:rsidR="003A1C5C" w:rsidRDefault="003A1C5C" w:rsidP="003A1C5C"/>
    <w:p w14:paraId="54A670F1" w14:textId="54F21FCA" w:rsidR="003A1C5C" w:rsidRDefault="003A1C5C" w:rsidP="003A1C5C"/>
    <w:p w14:paraId="67BA678A" w14:textId="75230D32" w:rsidR="003A1C5C" w:rsidRDefault="003A1C5C" w:rsidP="003A1C5C"/>
    <w:p w14:paraId="5CBE1EDD" w14:textId="04B2ED1D" w:rsidR="003A1C5C" w:rsidRDefault="003A1C5C" w:rsidP="003A1C5C"/>
    <w:p w14:paraId="5F3F296E" w14:textId="15254E22" w:rsidR="003A1C5C" w:rsidRDefault="003A1C5C" w:rsidP="003A1C5C"/>
    <w:p w14:paraId="53333AC7" w14:textId="7C462C06" w:rsidR="003A1C5C" w:rsidRDefault="003A1C5C" w:rsidP="003A1C5C"/>
    <w:p w14:paraId="2B13DF29" w14:textId="77777777" w:rsidR="00A80D35" w:rsidRDefault="00A80D35" w:rsidP="003A1C5C"/>
    <w:p w14:paraId="52DF2097" w14:textId="77777777" w:rsidR="003A1C5C" w:rsidRPr="003A1C5C" w:rsidRDefault="003A1C5C" w:rsidP="003A1C5C"/>
    <w:p w14:paraId="1838CC35" w14:textId="351594D1" w:rsidR="00825603" w:rsidRPr="00155C64" w:rsidRDefault="00BB7FFD" w:rsidP="00BB7FFD">
      <w:pPr>
        <w:rPr>
          <w:rFonts w:cs="Times New Roman"/>
        </w:rPr>
      </w:pPr>
      <w:r w:rsidRPr="00155C64">
        <w:rPr>
          <w:rFonts w:cs="Times New Roman"/>
        </w:rPr>
        <w:t>College of Fisheries Sciences</w:t>
      </w:r>
    </w:p>
    <w:p w14:paraId="68D9264A" w14:textId="77777777" w:rsidR="00BB7FFD" w:rsidRPr="00155C64" w:rsidRDefault="00BB7FFD" w:rsidP="00BB7FFD">
      <w:pPr>
        <w:rPr>
          <w:rFonts w:cs="Times New Roman"/>
        </w:rPr>
      </w:pPr>
      <w:r w:rsidRPr="00155C64">
        <w:rPr>
          <w:rFonts w:cs="Times New Roman"/>
        </w:rPr>
        <w:t>Pukyong National University</w:t>
      </w:r>
    </w:p>
    <w:p w14:paraId="43B98FEC" w14:textId="5F300B89" w:rsidR="00BB7FFD" w:rsidRPr="00155C64" w:rsidRDefault="00BB7FFD" w:rsidP="00BB7FFD">
      <w:pPr>
        <w:rPr>
          <w:rFonts w:cs="Times New Roman"/>
        </w:rPr>
      </w:pPr>
      <w:r w:rsidRPr="00155C64">
        <w:rPr>
          <w:rFonts w:cs="Times New Roman"/>
        </w:rPr>
        <w:t>Busan, 48513</w:t>
      </w:r>
      <w:r w:rsidR="001B6389" w:rsidRPr="00155C64">
        <w:rPr>
          <w:rFonts w:cs="Times New Roman"/>
        </w:rPr>
        <w:t>, Korea</w:t>
      </w:r>
    </w:p>
    <w:p w14:paraId="3DABB603" w14:textId="6EF0D53A" w:rsidR="00BB7FFD" w:rsidRPr="00155C64" w:rsidRDefault="00BB7FFD" w:rsidP="00BB7FFD">
      <w:pPr>
        <w:rPr>
          <w:rFonts w:cs="Times New Roman"/>
        </w:rPr>
      </w:pPr>
      <w:r w:rsidRPr="00155C64">
        <w:rPr>
          <w:rFonts w:cs="Times New Roman"/>
        </w:rPr>
        <w:t xml:space="preserve">Email: </w:t>
      </w:r>
      <w:hyperlink r:id="rId8" w:history="1">
        <w:r w:rsidRPr="00155C64">
          <w:rPr>
            <w:rStyle w:val="Hyperlink"/>
            <w:rFonts w:cs="Times New Roman"/>
          </w:rPr>
          <w:t>shyun@pknu.ac.kr</w:t>
        </w:r>
      </w:hyperlink>
      <w:r w:rsidRPr="00155C64">
        <w:rPr>
          <w:rFonts w:cs="Times New Roman"/>
        </w:rPr>
        <w:t xml:space="preserve">  (alternative email: </w:t>
      </w:r>
      <w:hyperlink r:id="rId9" w:history="1">
        <w:r w:rsidRPr="00155C64">
          <w:rPr>
            <w:rStyle w:val="Hyperlink"/>
            <w:rFonts w:cs="Times New Roman"/>
          </w:rPr>
          <w:t>shyunuw@gmail.com</w:t>
        </w:r>
      </w:hyperlink>
      <w:r w:rsidRPr="00155C64">
        <w:rPr>
          <w:rFonts w:cs="Times New Roman"/>
        </w:rPr>
        <w:t>)</w:t>
      </w:r>
    </w:p>
    <w:p w14:paraId="282C2381" w14:textId="196E75D9" w:rsidR="00825603" w:rsidRPr="00155C64" w:rsidRDefault="00BB7FFD" w:rsidP="00825603">
      <w:pPr>
        <w:rPr>
          <w:rFonts w:cs="Times New Roman"/>
        </w:rPr>
      </w:pPr>
      <w:r w:rsidRPr="00155C64">
        <w:rPr>
          <w:rFonts w:cs="Times New Roman"/>
        </w:rPr>
        <w:t xml:space="preserve">  </w:t>
      </w:r>
    </w:p>
    <w:p w14:paraId="64CF358C" w14:textId="77777777" w:rsidR="00A80D35" w:rsidRDefault="00A80D35">
      <w:pPr>
        <w:spacing w:line="259" w:lineRule="auto"/>
        <w:rPr>
          <w:rFonts w:eastAsiaTheme="majorEastAsia" w:cstheme="majorBidi"/>
          <w:b/>
          <w:sz w:val="28"/>
          <w:szCs w:val="26"/>
        </w:rPr>
      </w:pPr>
      <w:r>
        <w:br w:type="page"/>
      </w:r>
    </w:p>
    <w:p w14:paraId="493214FD" w14:textId="6DC6203A" w:rsidR="005D5DA0" w:rsidRDefault="00650C4F" w:rsidP="00125759">
      <w:pPr>
        <w:pStyle w:val="Heading2"/>
      </w:pPr>
      <w:r>
        <w:lastRenderedPageBreak/>
        <w:t>Contents</w:t>
      </w:r>
    </w:p>
    <w:p w14:paraId="44EEFFA8" w14:textId="1D3FB155" w:rsidR="0097212D" w:rsidRPr="0097212D" w:rsidRDefault="0097212D" w:rsidP="00125759">
      <w:pPr>
        <w:spacing w:line="360" w:lineRule="auto"/>
        <w:jc w:val="right"/>
      </w:pPr>
      <w:r>
        <w:t>Page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630"/>
        <w:gridCol w:w="561"/>
      </w:tblGrid>
      <w:tr w:rsidR="005D5DA0" w:rsidRPr="00DE1156" w14:paraId="6855FFDD" w14:textId="77777777" w:rsidTr="00C47E9D">
        <w:tc>
          <w:tcPr>
            <w:tcW w:w="7825" w:type="dxa"/>
            <w:tcBorders>
              <w:top w:val="single" w:sz="4" w:space="0" w:color="auto"/>
              <w:bottom w:val="single" w:sz="4" w:space="0" w:color="auto"/>
            </w:tcBorders>
            <w:shd w:val="clear" w:color="auto" w:fill="auto"/>
          </w:tcPr>
          <w:p w14:paraId="1B33FAC8" w14:textId="13575EAE" w:rsidR="005D5DA0" w:rsidRPr="00DE1156" w:rsidRDefault="005D5DA0" w:rsidP="00125759">
            <w:pPr>
              <w:spacing w:line="360" w:lineRule="auto"/>
            </w:pPr>
            <w:r w:rsidRPr="00DE1156">
              <w:t>Executive summary</w:t>
            </w:r>
          </w:p>
        </w:tc>
        <w:tc>
          <w:tcPr>
            <w:tcW w:w="630" w:type="dxa"/>
            <w:tcBorders>
              <w:top w:val="single" w:sz="4" w:space="0" w:color="auto"/>
              <w:bottom w:val="single" w:sz="4" w:space="0" w:color="auto"/>
            </w:tcBorders>
            <w:shd w:val="clear" w:color="auto" w:fill="auto"/>
          </w:tcPr>
          <w:p w14:paraId="34287C8F" w14:textId="77777777" w:rsidR="005D5DA0" w:rsidRPr="00DE1156" w:rsidRDefault="005D5DA0" w:rsidP="00125759">
            <w:pPr>
              <w:spacing w:line="360" w:lineRule="auto"/>
            </w:pPr>
          </w:p>
        </w:tc>
        <w:tc>
          <w:tcPr>
            <w:tcW w:w="561" w:type="dxa"/>
            <w:tcBorders>
              <w:top w:val="single" w:sz="4" w:space="0" w:color="auto"/>
              <w:bottom w:val="single" w:sz="4" w:space="0" w:color="auto"/>
            </w:tcBorders>
            <w:shd w:val="clear" w:color="auto" w:fill="auto"/>
          </w:tcPr>
          <w:p w14:paraId="103F52BE" w14:textId="5781B03D" w:rsidR="005D5DA0" w:rsidRPr="00DE1156" w:rsidRDefault="0097212D" w:rsidP="00125759">
            <w:pPr>
              <w:spacing w:line="360" w:lineRule="auto"/>
            </w:pPr>
            <w:r w:rsidRPr="00DE1156">
              <w:t xml:space="preserve">   </w:t>
            </w:r>
            <w:r w:rsidR="00C5619D" w:rsidRPr="00DE1156">
              <w:t>3</w:t>
            </w:r>
          </w:p>
        </w:tc>
      </w:tr>
      <w:tr w:rsidR="005D5DA0" w:rsidRPr="00DE1156" w14:paraId="31393666" w14:textId="77777777" w:rsidTr="00C47E9D">
        <w:tc>
          <w:tcPr>
            <w:tcW w:w="7825" w:type="dxa"/>
            <w:tcBorders>
              <w:top w:val="single" w:sz="4" w:space="0" w:color="auto"/>
              <w:bottom w:val="single" w:sz="4" w:space="0" w:color="auto"/>
            </w:tcBorders>
            <w:shd w:val="clear" w:color="auto" w:fill="auto"/>
          </w:tcPr>
          <w:p w14:paraId="4645AE02" w14:textId="724E3D29" w:rsidR="005D5DA0" w:rsidRPr="00DE1156" w:rsidRDefault="005D5DA0" w:rsidP="00125759">
            <w:pPr>
              <w:spacing w:line="360" w:lineRule="auto"/>
            </w:pPr>
            <w:r w:rsidRPr="00DE1156">
              <w:t>Background</w:t>
            </w:r>
          </w:p>
        </w:tc>
        <w:tc>
          <w:tcPr>
            <w:tcW w:w="630" w:type="dxa"/>
            <w:tcBorders>
              <w:top w:val="single" w:sz="4" w:space="0" w:color="auto"/>
              <w:bottom w:val="single" w:sz="4" w:space="0" w:color="auto"/>
            </w:tcBorders>
            <w:shd w:val="clear" w:color="auto" w:fill="auto"/>
          </w:tcPr>
          <w:p w14:paraId="7A314BB4" w14:textId="77777777" w:rsidR="005D5DA0" w:rsidRPr="00DE1156" w:rsidRDefault="005D5DA0" w:rsidP="00125759">
            <w:pPr>
              <w:spacing w:line="360" w:lineRule="auto"/>
            </w:pPr>
          </w:p>
        </w:tc>
        <w:tc>
          <w:tcPr>
            <w:tcW w:w="561" w:type="dxa"/>
            <w:tcBorders>
              <w:top w:val="single" w:sz="4" w:space="0" w:color="auto"/>
              <w:bottom w:val="single" w:sz="4" w:space="0" w:color="auto"/>
            </w:tcBorders>
            <w:shd w:val="clear" w:color="auto" w:fill="auto"/>
          </w:tcPr>
          <w:p w14:paraId="50323572" w14:textId="6B05346A" w:rsidR="005D5DA0" w:rsidRPr="00DE1156" w:rsidRDefault="0097212D" w:rsidP="00125759">
            <w:pPr>
              <w:spacing w:line="360" w:lineRule="auto"/>
            </w:pPr>
            <w:r w:rsidRPr="00DE1156">
              <w:t xml:space="preserve">   </w:t>
            </w:r>
            <w:r w:rsidR="00DC3811">
              <w:t>6</w:t>
            </w:r>
          </w:p>
        </w:tc>
      </w:tr>
      <w:tr w:rsidR="002F6C23" w:rsidRPr="00DE1156" w14:paraId="4623BA94" w14:textId="77777777" w:rsidTr="00C47E9D">
        <w:tc>
          <w:tcPr>
            <w:tcW w:w="7825" w:type="dxa"/>
            <w:tcBorders>
              <w:top w:val="single" w:sz="4" w:space="0" w:color="auto"/>
              <w:bottom w:val="single" w:sz="4" w:space="0" w:color="auto"/>
            </w:tcBorders>
            <w:shd w:val="clear" w:color="auto" w:fill="auto"/>
          </w:tcPr>
          <w:p w14:paraId="6D296BE3" w14:textId="3C685425" w:rsidR="002F6C23" w:rsidRPr="00DE1156" w:rsidRDefault="0085204E" w:rsidP="00125759">
            <w:pPr>
              <w:spacing w:line="360" w:lineRule="auto"/>
            </w:pPr>
            <w:r w:rsidRPr="00DE1156">
              <w:t xml:space="preserve">Review activities </w:t>
            </w:r>
          </w:p>
        </w:tc>
        <w:tc>
          <w:tcPr>
            <w:tcW w:w="630" w:type="dxa"/>
            <w:tcBorders>
              <w:top w:val="single" w:sz="4" w:space="0" w:color="auto"/>
              <w:bottom w:val="single" w:sz="4" w:space="0" w:color="auto"/>
            </w:tcBorders>
            <w:shd w:val="clear" w:color="auto" w:fill="auto"/>
          </w:tcPr>
          <w:p w14:paraId="691CD0DC" w14:textId="77777777" w:rsidR="002F6C23" w:rsidRPr="00DE1156" w:rsidRDefault="002F6C23" w:rsidP="00125759">
            <w:pPr>
              <w:spacing w:line="360" w:lineRule="auto"/>
            </w:pPr>
          </w:p>
        </w:tc>
        <w:tc>
          <w:tcPr>
            <w:tcW w:w="561" w:type="dxa"/>
            <w:tcBorders>
              <w:top w:val="single" w:sz="4" w:space="0" w:color="auto"/>
              <w:bottom w:val="single" w:sz="4" w:space="0" w:color="auto"/>
            </w:tcBorders>
            <w:shd w:val="clear" w:color="auto" w:fill="auto"/>
          </w:tcPr>
          <w:p w14:paraId="11856942" w14:textId="6605A462" w:rsidR="002F6C23" w:rsidRPr="00DE1156" w:rsidRDefault="00DC4116" w:rsidP="00125759">
            <w:pPr>
              <w:spacing w:line="360" w:lineRule="auto"/>
            </w:pPr>
            <w:r w:rsidRPr="00DE1156">
              <w:t xml:space="preserve">   </w:t>
            </w:r>
            <w:r w:rsidR="00DC3811">
              <w:t>6</w:t>
            </w:r>
          </w:p>
        </w:tc>
      </w:tr>
      <w:tr w:rsidR="005D5DA0" w:rsidRPr="00DE1156" w14:paraId="3296B6E5" w14:textId="77777777" w:rsidTr="00C47E9D">
        <w:tc>
          <w:tcPr>
            <w:tcW w:w="7825" w:type="dxa"/>
            <w:tcBorders>
              <w:top w:val="single" w:sz="4" w:space="0" w:color="auto"/>
              <w:bottom w:val="single" w:sz="4" w:space="0" w:color="auto"/>
            </w:tcBorders>
            <w:shd w:val="clear" w:color="auto" w:fill="auto"/>
          </w:tcPr>
          <w:p w14:paraId="7AE8B4AD" w14:textId="54A87BE2" w:rsidR="005D5DA0" w:rsidRPr="00DE1156" w:rsidRDefault="005D5DA0" w:rsidP="00125759">
            <w:pPr>
              <w:spacing w:line="360" w:lineRule="auto"/>
            </w:pPr>
            <w:r w:rsidRPr="00DE1156">
              <w:t>Findings by Terms Of Reference (TOR)</w:t>
            </w:r>
          </w:p>
        </w:tc>
        <w:tc>
          <w:tcPr>
            <w:tcW w:w="630" w:type="dxa"/>
            <w:tcBorders>
              <w:top w:val="single" w:sz="4" w:space="0" w:color="auto"/>
              <w:bottom w:val="single" w:sz="4" w:space="0" w:color="auto"/>
            </w:tcBorders>
            <w:shd w:val="clear" w:color="auto" w:fill="auto"/>
          </w:tcPr>
          <w:p w14:paraId="4C6857F1" w14:textId="77777777" w:rsidR="005D5DA0" w:rsidRPr="00DE1156" w:rsidRDefault="005D5DA0" w:rsidP="00125759">
            <w:pPr>
              <w:spacing w:line="360" w:lineRule="auto"/>
            </w:pPr>
          </w:p>
        </w:tc>
        <w:tc>
          <w:tcPr>
            <w:tcW w:w="561" w:type="dxa"/>
            <w:tcBorders>
              <w:top w:val="single" w:sz="4" w:space="0" w:color="auto"/>
              <w:bottom w:val="single" w:sz="4" w:space="0" w:color="auto"/>
            </w:tcBorders>
            <w:shd w:val="clear" w:color="auto" w:fill="auto"/>
          </w:tcPr>
          <w:p w14:paraId="5A02A592" w14:textId="2DF5C732" w:rsidR="005D5DA0" w:rsidRPr="00DE1156" w:rsidRDefault="00DC4116" w:rsidP="00125759">
            <w:pPr>
              <w:spacing w:line="360" w:lineRule="auto"/>
            </w:pPr>
            <w:r w:rsidRPr="00DE1156">
              <w:t xml:space="preserve">   </w:t>
            </w:r>
            <w:r w:rsidR="00DC3811">
              <w:t>7</w:t>
            </w:r>
          </w:p>
        </w:tc>
      </w:tr>
      <w:tr w:rsidR="005D5DA0" w:rsidRPr="00DE1156" w14:paraId="5F79D3A1" w14:textId="77777777" w:rsidTr="00C47E9D">
        <w:tc>
          <w:tcPr>
            <w:tcW w:w="7825" w:type="dxa"/>
            <w:tcBorders>
              <w:top w:val="single" w:sz="4" w:space="0" w:color="auto"/>
              <w:bottom w:val="single" w:sz="4" w:space="0" w:color="auto"/>
            </w:tcBorders>
            <w:shd w:val="clear" w:color="auto" w:fill="auto"/>
          </w:tcPr>
          <w:p w14:paraId="5AF33566" w14:textId="564F1EE0" w:rsidR="005D5DA0" w:rsidRPr="00DE1156" w:rsidRDefault="005D5DA0" w:rsidP="00125759">
            <w:pPr>
              <w:pStyle w:val="TableListParagraph"/>
              <w:spacing w:line="360" w:lineRule="auto"/>
            </w:pPr>
            <w:r w:rsidRPr="00DE1156">
              <w:t>TOR 1. Evaluate the data used in the assessments, specifically trawl survey estimates of biomass, and recommend how data should be treated within the assessment model</w:t>
            </w:r>
          </w:p>
        </w:tc>
        <w:tc>
          <w:tcPr>
            <w:tcW w:w="630" w:type="dxa"/>
            <w:tcBorders>
              <w:top w:val="single" w:sz="4" w:space="0" w:color="auto"/>
              <w:bottom w:val="single" w:sz="4" w:space="0" w:color="auto"/>
            </w:tcBorders>
            <w:shd w:val="clear" w:color="auto" w:fill="auto"/>
          </w:tcPr>
          <w:p w14:paraId="3F546B76" w14:textId="77777777" w:rsidR="005D5DA0" w:rsidRPr="00DE1156" w:rsidRDefault="005D5DA0" w:rsidP="00125759">
            <w:pPr>
              <w:spacing w:line="360" w:lineRule="auto"/>
            </w:pPr>
          </w:p>
        </w:tc>
        <w:tc>
          <w:tcPr>
            <w:tcW w:w="561" w:type="dxa"/>
            <w:tcBorders>
              <w:top w:val="single" w:sz="4" w:space="0" w:color="auto"/>
              <w:bottom w:val="single" w:sz="4" w:space="0" w:color="auto"/>
            </w:tcBorders>
            <w:shd w:val="clear" w:color="auto" w:fill="auto"/>
          </w:tcPr>
          <w:p w14:paraId="24AB6CCE" w14:textId="4E2E2A4A" w:rsidR="005D5DA0" w:rsidRPr="00DE1156" w:rsidRDefault="00FB25E5" w:rsidP="00125759">
            <w:pPr>
              <w:spacing w:line="360" w:lineRule="auto"/>
            </w:pPr>
            <w:r w:rsidRPr="00DE1156">
              <w:t xml:space="preserve">   </w:t>
            </w:r>
            <w:r w:rsidR="00670712">
              <w:t>7</w:t>
            </w:r>
          </w:p>
        </w:tc>
      </w:tr>
      <w:tr w:rsidR="005D5DA0" w:rsidRPr="00DE1156" w14:paraId="5D63A935" w14:textId="77777777" w:rsidTr="00C47E9D">
        <w:tc>
          <w:tcPr>
            <w:tcW w:w="7825" w:type="dxa"/>
            <w:tcBorders>
              <w:top w:val="single" w:sz="4" w:space="0" w:color="auto"/>
              <w:bottom w:val="single" w:sz="4" w:space="0" w:color="auto"/>
            </w:tcBorders>
            <w:shd w:val="clear" w:color="auto" w:fill="auto"/>
          </w:tcPr>
          <w:p w14:paraId="5FB8BB8D" w14:textId="4E7367D0" w:rsidR="005D5DA0" w:rsidRPr="00DE1156" w:rsidRDefault="00415520" w:rsidP="00125759">
            <w:pPr>
              <w:pStyle w:val="TableListParagraph"/>
              <w:spacing w:line="360" w:lineRule="auto"/>
            </w:pPr>
            <w:r w:rsidRPr="00DE1156">
              <w:t>TOR 2. Evaluate the stock assessment model for GOA Pacific ocean perch in general and comment on appropriateness of parameter estimates to assess stock status determinations</w:t>
            </w:r>
          </w:p>
        </w:tc>
        <w:tc>
          <w:tcPr>
            <w:tcW w:w="630" w:type="dxa"/>
            <w:tcBorders>
              <w:top w:val="single" w:sz="4" w:space="0" w:color="auto"/>
              <w:bottom w:val="single" w:sz="4" w:space="0" w:color="auto"/>
            </w:tcBorders>
            <w:shd w:val="clear" w:color="auto" w:fill="auto"/>
          </w:tcPr>
          <w:p w14:paraId="4CFFF7EC" w14:textId="77777777" w:rsidR="005D5DA0" w:rsidRPr="00DE1156" w:rsidRDefault="005D5DA0" w:rsidP="00125759">
            <w:pPr>
              <w:spacing w:line="360" w:lineRule="auto"/>
            </w:pPr>
          </w:p>
        </w:tc>
        <w:tc>
          <w:tcPr>
            <w:tcW w:w="561" w:type="dxa"/>
            <w:tcBorders>
              <w:top w:val="single" w:sz="4" w:space="0" w:color="auto"/>
              <w:bottom w:val="single" w:sz="4" w:space="0" w:color="auto"/>
            </w:tcBorders>
            <w:shd w:val="clear" w:color="auto" w:fill="auto"/>
          </w:tcPr>
          <w:p w14:paraId="12D70190" w14:textId="4C5D04A8" w:rsidR="005D5DA0" w:rsidRPr="00DE1156" w:rsidRDefault="00FB25E5" w:rsidP="00125759">
            <w:pPr>
              <w:spacing w:line="360" w:lineRule="auto"/>
            </w:pPr>
            <w:r w:rsidRPr="00DE1156">
              <w:t xml:space="preserve">   </w:t>
            </w:r>
            <w:r w:rsidR="00670712">
              <w:t>9</w:t>
            </w:r>
          </w:p>
        </w:tc>
      </w:tr>
      <w:tr w:rsidR="005D5DA0" w:rsidRPr="00DE1156" w14:paraId="6B4CC061" w14:textId="77777777" w:rsidTr="00C47E9D">
        <w:tc>
          <w:tcPr>
            <w:tcW w:w="7825" w:type="dxa"/>
            <w:tcBorders>
              <w:top w:val="single" w:sz="4" w:space="0" w:color="auto"/>
              <w:bottom w:val="single" w:sz="4" w:space="0" w:color="auto"/>
            </w:tcBorders>
            <w:shd w:val="clear" w:color="auto" w:fill="auto"/>
          </w:tcPr>
          <w:p w14:paraId="535F436C" w14:textId="1AC04D4D" w:rsidR="005D5DA0" w:rsidRPr="00DE1156" w:rsidRDefault="003500B1" w:rsidP="00125759">
            <w:pPr>
              <w:pStyle w:val="TableListParagraph"/>
              <w:spacing w:line="360" w:lineRule="auto"/>
            </w:pPr>
            <w:r w:rsidRPr="00DE1156">
              <w:t xml:space="preserve">TOR 3.  Evaluate the strengths and weaknesses in the stock assessment model for GOA Pacific ocean </w:t>
            </w:r>
            <w:proofErr w:type="gramStart"/>
            <w:r w:rsidRPr="00DE1156">
              <w:t>perch, and</w:t>
            </w:r>
            <w:proofErr w:type="gramEnd"/>
            <w:r w:rsidRPr="00DE1156">
              <w:t xml:space="preserve"> recommend any improvements to the assessment model.</w:t>
            </w:r>
          </w:p>
        </w:tc>
        <w:tc>
          <w:tcPr>
            <w:tcW w:w="630" w:type="dxa"/>
            <w:tcBorders>
              <w:top w:val="single" w:sz="4" w:space="0" w:color="auto"/>
              <w:bottom w:val="single" w:sz="4" w:space="0" w:color="auto"/>
            </w:tcBorders>
            <w:shd w:val="clear" w:color="auto" w:fill="auto"/>
          </w:tcPr>
          <w:p w14:paraId="08AA7907" w14:textId="77777777" w:rsidR="005D5DA0" w:rsidRPr="00DE1156" w:rsidRDefault="005D5DA0" w:rsidP="00125759">
            <w:pPr>
              <w:spacing w:line="360" w:lineRule="auto"/>
            </w:pPr>
          </w:p>
        </w:tc>
        <w:tc>
          <w:tcPr>
            <w:tcW w:w="561" w:type="dxa"/>
            <w:tcBorders>
              <w:top w:val="single" w:sz="4" w:space="0" w:color="auto"/>
              <w:bottom w:val="single" w:sz="4" w:space="0" w:color="auto"/>
            </w:tcBorders>
            <w:shd w:val="clear" w:color="auto" w:fill="auto"/>
          </w:tcPr>
          <w:p w14:paraId="0EF1BF83" w14:textId="3A68887A" w:rsidR="005D5DA0" w:rsidRPr="00DE1156" w:rsidRDefault="00FB25E5" w:rsidP="00125759">
            <w:pPr>
              <w:spacing w:line="360" w:lineRule="auto"/>
            </w:pPr>
            <w:r w:rsidRPr="00DE1156">
              <w:t xml:space="preserve"> 1</w:t>
            </w:r>
            <w:r w:rsidR="00670712">
              <w:t>3</w:t>
            </w:r>
          </w:p>
        </w:tc>
      </w:tr>
      <w:tr w:rsidR="005D5DA0" w:rsidRPr="00DE1156" w14:paraId="08AC174D" w14:textId="77777777" w:rsidTr="00C47E9D">
        <w:tc>
          <w:tcPr>
            <w:tcW w:w="7825" w:type="dxa"/>
            <w:tcBorders>
              <w:top w:val="single" w:sz="4" w:space="0" w:color="auto"/>
              <w:bottom w:val="single" w:sz="4" w:space="0" w:color="auto"/>
            </w:tcBorders>
            <w:shd w:val="clear" w:color="auto" w:fill="auto"/>
          </w:tcPr>
          <w:p w14:paraId="7A7D477D" w14:textId="04111511" w:rsidR="005D5DA0" w:rsidRPr="00DE1156" w:rsidRDefault="003500B1" w:rsidP="00125759">
            <w:pPr>
              <w:pStyle w:val="TableListParagraph"/>
              <w:spacing w:line="360" w:lineRule="auto"/>
            </w:pPr>
            <w:r w:rsidRPr="00DE1156">
              <w:t>TOR 4.  Evaluate and recommend how survey data are used for biomass indices within the assessment.  Specifically, advise on trawl survey indices arising from design-based methods versus model-based approaches.</w:t>
            </w:r>
          </w:p>
        </w:tc>
        <w:tc>
          <w:tcPr>
            <w:tcW w:w="630" w:type="dxa"/>
            <w:tcBorders>
              <w:top w:val="single" w:sz="4" w:space="0" w:color="auto"/>
              <w:bottom w:val="single" w:sz="4" w:space="0" w:color="auto"/>
            </w:tcBorders>
            <w:shd w:val="clear" w:color="auto" w:fill="auto"/>
          </w:tcPr>
          <w:p w14:paraId="332C8929" w14:textId="77777777" w:rsidR="005D5DA0" w:rsidRPr="00DE1156" w:rsidRDefault="005D5DA0" w:rsidP="00125759">
            <w:pPr>
              <w:spacing w:line="360" w:lineRule="auto"/>
            </w:pPr>
          </w:p>
        </w:tc>
        <w:tc>
          <w:tcPr>
            <w:tcW w:w="561" w:type="dxa"/>
            <w:tcBorders>
              <w:top w:val="single" w:sz="4" w:space="0" w:color="auto"/>
              <w:bottom w:val="single" w:sz="4" w:space="0" w:color="auto"/>
            </w:tcBorders>
            <w:shd w:val="clear" w:color="auto" w:fill="auto"/>
          </w:tcPr>
          <w:p w14:paraId="4E96C262" w14:textId="13F1E3B1" w:rsidR="005D5DA0" w:rsidRPr="00DE1156" w:rsidRDefault="00FB25E5" w:rsidP="00125759">
            <w:pPr>
              <w:spacing w:line="360" w:lineRule="auto"/>
            </w:pPr>
            <w:r w:rsidRPr="00DE1156">
              <w:t xml:space="preserve"> 1</w:t>
            </w:r>
            <w:r w:rsidR="00670712">
              <w:t>5</w:t>
            </w:r>
          </w:p>
        </w:tc>
      </w:tr>
      <w:tr w:rsidR="005D5DA0" w:rsidRPr="00DE1156" w14:paraId="054485BD" w14:textId="77777777" w:rsidTr="00C47E9D">
        <w:tc>
          <w:tcPr>
            <w:tcW w:w="7825" w:type="dxa"/>
            <w:tcBorders>
              <w:top w:val="single" w:sz="4" w:space="0" w:color="auto"/>
              <w:bottom w:val="single" w:sz="4" w:space="0" w:color="auto"/>
            </w:tcBorders>
            <w:shd w:val="clear" w:color="auto" w:fill="auto"/>
          </w:tcPr>
          <w:p w14:paraId="4D069573" w14:textId="1821AF5F" w:rsidR="005D5DA0" w:rsidRPr="00DE1156" w:rsidRDefault="003500B1" w:rsidP="00125759">
            <w:pPr>
              <w:pStyle w:val="TableListParagraph"/>
              <w:spacing w:line="360" w:lineRule="auto"/>
            </w:pPr>
            <w:r w:rsidRPr="00DE1156">
              <w:t xml:space="preserve">TOR 5.  Evaluate abundance estimates from summer acoustic-trawl data, and recommend how it may be used within the assessment. </w:t>
            </w:r>
          </w:p>
        </w:tc>
        <w:tc>
          <w:tcPr>
            <w:tcW w:w="630" w:type="dxa"/>
            <w:tcBorders>
              <w:top w:val="single" w:sz="4" w:space="0" w:color="auto"/>
              <w:bottom w:val="single" w:sz="4" w:space="0" w:color="auto"/>
            </w:tcBorders>
            <w:shd w:val="clear" w:color="auto" w:fill="auto"/>
          </w:tcPr>
          <w:p w14:paraId="10A04AA0" w14:textId="77777777" w:rsidR="005D5DA0" w:rsidRPr="00DE1156" w:rsidRDefault="005D5DA0" w:rsidP="00125759">
            <w:pPr>
              <w:spacing w:line="360" w:lineRule="auto"/>
            </w:pPr>
          </w:p>
        </w:tc>
        <w:tc>
          <w:tcPr>
            <w:tcW w:w="561" w:type="dxa"/>
            <w:tcBorders>
              <w:top w:val="single" w:sz="4" w:space="0" w:color="auto"/>
              <w:bottom w:val="single" w:sz="4" w:space="0" w:color="auto"/>
            </w:tcBorders>
            <w:shd w:val="clear" w:color="auto" w:fill="auto"/>
          </w:tcPr>
          <w:p w14:paraId="705B9A8A" w14:textId="66B004F6" w:rsidR="005D5DA0" w:rsidRPr="00DE1156" w:rsidRDefault="00FB25E5" w:rsidP="00125759">
            <w:pPr>
              <w:spacing w:line="360" w:lineRule="auto"/>
            </w:pPr>
            <w:r w:rsidRPr="00DE1156">
              <w:t xml:space="preserve"> 1</w:t>
            </w:r>
            <w:r w:rsidR="00670712">
              <w:t>6</w:t>
            </w:r>
            <w:r w:rsidRPr="00DE1156">
              <w:t xml:space="preserve"> </w:t>
            </w:r>
          </w:p>
        </w:tc>
      </w:tr>
      <w:tr w:rsidR="005D5DA0" w:rsidRPr="00DE1156" w14:paraId="1E9326EB" w14:textId="77777777" w:rsidTr="00C47E9D">
        <w:tc>
          <w:tcPr>
            <w:tcW w:w="7825" w:type="dxa"/>
            <w:tcBorders>
              <w:top w:val="single" w:sz="4" w:space="0" w:color="auto"/>
              <w:bottom w:val="single" w:sz="4" w:space="0" w:color="auto"/>
            </w:tcBorders>
            <w:shd w:val="clear" w:color="auto" w:fill="auto"/>
          </w:tcPr>
          <w:p w14:paraId="30CB62D3" w14:textId="31A4CB2C" w:rsidR="005D5DA0" w:rsidRPr="00DE1156" w:rsidRDefault="003500B1" w:rsidP="00125759">
            <w:pPr>
              <w:spacing w:line="360" w:lineRule="auto"/>
            </w:pPr>
            <w:r w:rsidRPr="00DE1156">
              <w:t>Recommendations</w:t>
            </w:r>
          </w:p>
        </w:tc>
        <w:tc>
          <w:tcPr>
            <w:tcW w:w="630" w:type="dxa"/>
            <w:tcBorders>
              <w:top w:val="single" w:sz="4" w:space="0" w:color="auto"/>
              <w:bottom w:val="single" w:sz="4" w:space="0" w:color="auto"/>
            </w:tcBorders>
            <w:shd w:val="clear" w:color="auto" w:fill="auto"/>
          </w:tcPr>
          <w:p w14:paraId="059B1737" w14:textId="77777777" w:rsidR="005D5DA0" w:rsidRPr="00DE1156" w:rsidRDefault="005D5DA0" w:rsidP="00125759">
            <w:pPr>
              <w:spacing w:line="360" w:lineRule="auto"/>
            </w:pPr>
          </w:p>
        </w:tc>
        <w:tc>
          <w:tcPr>
            <w:tcW w:w="561" w:type="dxa"/>
            <w:tcBorders>
              <w:top w:val="single" w:sz="4" w:space="0" w:color="auto"/>
              <w:bottom w:val="single" w:sz="4" w:space="0" w:color="auto"/>
            </w:tcBorders>
            <w:shd w:val="clear" w:color="auto" w:fill="auto"/>
          </w:tcPr>
          <w:p w14:paraId="29D6554D" w14:textId="6F7D7F01" w:rsidR="005D5DA0" w:rsidRPr="00DE1156" w:rsidRDefault="00FB25E5" w:rsidP="00125759">
            <w:pPr>
              <w:spacing w:line="360" w:lineRule="auto"/>
            </w:pPr>
            <w:r w:rsidRPr="00DE1156">
              <w:t xml:space="preserve"> 1</w:t>
            </w:r>
            <w:r w:rsidR="00670712">
              <w:t>7</w:t>
            </w:r>
          </w:p>
        </w:tc>
      </w:tr>
      <w:tr w:rsidR="005D5DA0" w:rsidRPr="00DE1156" w14:paraId="0E3E61FB" w14:textId="77777777" w:rsidTr="00C47E9D">
        <w:tc>
          <w:tcPr>
            <w:tcW w:w="7825" w:type="dxa"/>
            <w:tcBorders>
              <w:top w:val="single" w:sz="4" w:space="0" w:color="auto"/>
              <w:bottom w:val="single" w:sz="4" w:space="0" w:color="auto"/>
            </w:tcBorders>
            <w:shd w:val="clear" w:color="auto" w:fill="auto"/>
          </w:tcPr>
          <w:p w14:paraId="103921E7" w14:textId="5962A7F4" w:rsidR="005D5DA0" w:rsidRPr="00DE1156" w:rsidRDefault="005C1BE5" w:rsidP="00125759">
            <w:pPr>
              <w:spacing w:line="360" w:lineRule="auto"/>
            </w:pPr>
            <w:r w:rsidRPr="00DE1156">
              <w:t>References</w:t>
            </w:r>
          </w:p>
        </w:tc>
        <w:tc>
          <w:tcPr>
            <w:tcW w:w="630" w:type="dxa"/>
            <w:tcBorders>
              <w:top w:val="single" w:sz="4" w:space="0" w:color="auto"/>
              <w:bottom w:val="single" w:sz="4" w:space="0" w:color="auto"/>
            </w:tcBorders>
            <w:shd w:val="clear" w:color="auto" w:fill="auto"/>
          </w:tcPr>
          <w:p w14:paraId="7AD642ED" w14:textId="77777777" w:rsidR="005D5DA0" w:rsidRPr="00DE1156" w:rsidRDefault="005D5DA0" w:rsidP="00125759">
            <w:pPr>
              <w:spacing w:line="360" w:lineRule="auto"/>
            </w:pPr>
          </w:p>
        </w:tc>
        <w:tc>
          <w:tcPr>
            <w:tcW w:w="561" w:type="dxa"/>
            <w:tcBorders>
              <w:top w:val="single" w:sz="4" w:space="0" w:color="auto"/>
              <w:bottom w:val="single" w:sz="4" w:space="0" w:color="auto"/>
            </w:tcBorders>
            <w:shd w:val="clear" w:color="auto" w:fill="auto"/>
          </w:tcPr>
          <w:p w14:paraId="08D27E27" w14:textId="53C21275" w:rsidR="005D5DA0" w:rsidRPr="00DE1156" w:rsidRDefault="00830BE0" w:rsidP="00125759">
            <w:pPr>
              <w:spacing w:line="360" w:lineRule="auto"/>
            </w:pPr>
            <w:r w:rsidRPr="00DE1156">
              <w:t xml:space="preserve"> 1</w:t>
            </w:r>
            <w:r w:rsidR="00670712">
              <w:t>9</w:t>
            </w:r>
          </w:p>
        </w:tc>
      </w:tr>
      <w:tr w:rsidR="005C1BE5" w:rsidRPr="00DE1156" w14:paraId="212A3ACF" w14:textId="77777777" w:rsidTr="00C47E9D">
        <w:tc>
          <w:tcPr>
            <w:tcW w:w="7825" w:type="dxa"/>
            <w:tcBorders>
              <w:top w:val="single" w:sz="4" w:space="0" w:color="auto"/>
              <w:bottom w:val="single" w:sz="4" w:space="0" w:color="auto"/>
            </w:tcBorders>
            <w:shd w:val="clear" w:color="auto" w:fill="auto"/>
          </w:tcPr>
          <w:p w14:paraId="749FEE2B" w14:textId="10C84464" w:rsidR="005C1BE5" w:rsidRPr="00DE1156" w:rsidRDefault="005C1BE5" w:rsidP="00125759">
            <w:pPr>
              <w:spacing w:line="360" w:lineRule="auto"/>
            </w:pPr>
            <w:r w:rsidRPr="00DE1156">
              <w:t>Appendix 1</w:t>
            </w:r>
            <w:r w:rsidR="00E46B62" w:rsidRPr="00DE1156">
              <w:t>.  Bi</w:t>
            </w:r>
            <w:r w:rsidR="0063788D" w:rsidRPr="00DE1156">
              <w:t>b</w:t>
            </w:r>
            <w:r w:rsidR="00E46B62" w:rsidRPr="00DE1156">
              <w:t>l</w:t>
            </w:r>
            <w:r w:rsidR="0063788D" w:rsidRPr="00DE1156">
              <w:t>iography of materials provided for review</w:t>
            </w:r>
          </w:p>
        </w:tc>
        <w:tc>
          <w:tcPr>
            <w:tcW w:w="630" w:type="dxa"/>
            <w:tcBorders>
              <w:top w:val="single" w:sz="4" w:space="0" w:color="auto"/>
              <w:bottom w:val="single" w:sz="4" w:space="0" w:color="auto"/>
            </w:tcBorders>
            <w:shd w:val="clear" w:color="auto" w:fill="auto"/>
          </w:tcPr>
          <w:p w14:paraId="3680D2FF" w14:textId="77777777" w:rsidR="005C1BE5" w:rsidRPr="00DE1156" w:rsidRDefault="005C1BE5" w:rsidP="00125759">
            <w:pPr>
              <w:spacing w:line="360" w:lineRule="auto"/>
            </w:pPr>
          </w:p>
        </w:tc>
        <w:tc>
          <w:tcPr>
            <w:tcW w:w="561" w:type="dxa"/>
            <w:tcBorders>
              <w:top w:val="single" w:sz="4" w:space="0" w:color="auto"/>
              <w:bottom w:val="single" w:sz="4" w:space="0" w:color="auto"/>
            </w:tcBorders>
            <w:shd w:val="clear" w:color="auto" w:fill="auto"/>
          </w:tcPr>
          <w:p w14:paraId="072B3F5B" w14:textId="6D174E11" w:rsidR="005C1BE5" w:rsidRPr="00DE1156" w:rsidRDefault="00830BE0" w:rsidP="00125759">
            <w:pPr>
              <w:spacing w:line="360" w:lineRule="auto"/>
            </w:pPr>
            <w:r w:rsidRPr="00DE1156">
              <w:t xml:space="preserve"> </w:t>
            </w:r>
            <w:r w:rsidR="00670712">
              <w:t>20</w:t>
            </w:r>
            <w:r w:rsidRPr="00DE1156">
              <w:t xml:space="preserve"> </w:t>
            </w:r>
          </w:p>
        </w:tc>
      </w:tr>
      <w:tr w:rsidR="005C1BE5" w:rsidRPr="00DE1156" w14:paraId="5C466704" w14:textId="77777777" w:rsidTr="00C47E9D">
        <w:tc>
          <w:tcPr>
            <w:tcW w:w="7825" w:type="dxa"/>
            <w:tcBorders>
              <w:top w:val="single" w:sz="4" w:space="0" w:color="auto"/>
              <w:bottom w:val="single" w:sz="4" w:space="0" w:color="auto"/>
            </w:tcBorders>
            <w:shd w:val="clear" w:color="auto" w:fill="auto"/>
          </w:tcPr>
          <w:p w14:paraId="6F4773A2" w14:textId="05D74FD1" w:rsidR="005C1BE5" w:rsidRPr="00DE1156" w:rsidRDefault="005C1BE5" w:rsidP="00125759">
            <w:pPr>
              <w:spacing w:line="360" w:lineRule="auto"/>
            </w:pPr>
            <w:r w:rsidRPr="00DE1156">
              <w:t>Appendix 2</w:t>
            </w:r>
            <w:r w:rsidR="0063788D" w:rsidRPr="00DE1156">
              <w:t>.  Performance Work Statement</w:t>
            </w:r>
          </w:p>
        </w:tc>
        <w:tc>
          <w:tcPr>
            <w:tcW w:w="630" w:type="dxa"/>
            <w:tcBorders>
              <w:top w:val="single" w:sz="4" w:space="0" w:color="auto"/>
              <w:bottom w:val="single" w:sz="4" w:space="0" w:color="auto"/>
            </w:tcBorders>
            <w:shd w:val="clear" w:color="auto" w:fill="auto"/>
          </w:tcPr>
          <w:p w14:paraId="232BF9E6" w14:textId="77777777" w:rsidR="005C1BE5" w:rsidRPr="00DE1156" w:rsidRDefault="005C1BE5" w:rsidP="00125759">
            <w:pPr>
              <w:spacing w:line="360" w:lineRule="auto"/>
            </w:pPr>
          </w:p>
        </w:tc>
        <w:tc>
          <w:tcPr>
            <w:tcW w:w="561" w:type="dxa"/>
            <w:tcBorders>
              <w:top w:val="single" w:sz="4" w:space="0" w:color="auto"/>
              <w:bottom w:val="single" w:sz="4" w:space="0" w:color="auto"/>
            </w:tcBorders>
            <w:shd w:val="clear" w:color="auto" w:fill="auto"/>
          </w:tcPr>
          <w:p w14:paraId="691EC3B2" w14:textId="65B0F6C6" w:rsidR="005C1BE5" w:rsidRPr="00DE1156" w:rsidRDefault="00830BE0" w:rsidP="00125759">
            <w:pPr>
              <w:spacing w:line="360" w:lineRule="auto"/>
            </w:pPr>
            <w:r w:rsidRPr="00DE1156">
              <w:t xml:space="preserve"> </w:t>
            </w:r>
            <w:r w:rsidR="00670712">
              <w:t>22</w:t>
            </w:r>
          </w:p>
        </w:tc>
      </w:tr>
      <w:tr w:rsidR="005C1BE5" w14:paraId="17D063E1" w14:textId="77777777" w:rsidTr="00C47E9D">
        <w:tc>
          <w:tcPr>
            <w:tcW w:w="7825" w:type="dxa"/>
            <w:tcBorders>
              <w:top w:val="single" w:sz="4" w:space="0" w:color="auto"/>
              <w:bottom w:val="single" w:sz="4" w:space="0" w:color="auto"/>
            </w:tcBorders>
            <w:shd w:val="clear" w:color="auto" w:fill="auto"/>
          </w:tcPr>
          <w:p w14:paraId="13EAFF1D" w14:textId="3A85A359" w:rsidR="005C1BE5" w:rsidRPr="00DE1156" w:rsidRDefault="005C1BE5" w:rsidP="00125759">
            <w:pPr>
              <w:spacing w:line="360" w:lineRule="auto"/>
            </w:pPr>
            <w:r w:rsidRPr="00DE1156">
              <w:t>Appendix 3</w:t>
            </w:r>
            <w:r w:rsidR="0063788D" w:rsidRPr="00DE1156">
              <w:t>.  Panel membership or other pertinent information</w:t>
            </w:r>
          </w:p>
        </w:tc>
        <w:tc>
          <w:tcPr>
            <w:tcW w:w="630" w:type="dxa"/>
            <w:tcBorders>
              <w:top w:val="single" w:sz="4" w:space="0" w:color="auto"/>
              <w:bottom w:val="single" w:sz="4" w:space="0" w:color="auto"/>
            </w:tcBorders>
            <w:shd w:val="clear" w:color="auto" w:fill="auto"/>
          </w:tcPr>
          <w:p w14:paraId="3949BC46" w14:textId="77777777" w:rsidR="005C1BE5" w:rsidRPr="00DE1156" w:rsidRDefault="005C1BE5" w:rsidP="00125759">
            <w:pPr>
              <w:spacing w:line="360" w:lineRule="auto"/>
            </w:pPr>
          </w:p>
        </w:tc>
        <w:tc>
          <w:tcPr>
            <w:tcW w:w="561" w:type="dxa"/>
            <w:tcBorders>
              <w:top w:val="single" w:sz="4" w:space="0" w:color="auto"/>
              <w:bottom w:val="single" w:sz="4" w:space="0" w:color="auto"/>
            </w:tcBorders>
            <w:shd w:val="clear" w:color="auto" w:fill="auto"/>
          </w:tcPr>
          <w:p w14:paraId="5CC8A0DF" w14:textId="543F87D4" w:rsidR="005C1BE5" w:rsidRPr="00DE1156" w:rsidRDefault="00830BE0" w:rsidP="00125759">
            <w:pPr>
              <w:spacing w:line="360" w:lineRule="auto"/>
            </w:pPr>
            <w:r w:rsidRPr="00DE1156">
              <w:t xml:space="preserve"> 2</w:t>
            </w:r>
            <w:r w:rsidR="00670712">
              <w:t>7</w:t>
            </w:r>
          </w:p>
        </w:tc>
      </w:tr>
    </w:tbl>
    <w:p w14:paraId="6306BDE5" w14:textId="4457F2CA" w:rsidR="005D5DA0" w:rsidRDefault="005D5DA0" w:rsidP="00125759">
      <w:pPr>
        <w:spacing w:line="360" w:lineRule="auto"/>
      </w:pPr>
    </w:p>
    <w:p w14:paraId="3C888701" w14:textId="5CAFFB04" w:rsidR="00650C4F" w:rsidRDefault="00650C4F" w:rsidP="00125759">
      <w:pPr>
        <w:spacing w:line="360" w:lineRule="auto"/>
      </w:pPr>
    </w:p>
    <w:p w14:paraId="663DB77F" w14:textId="68B56451" w:rsidR="00650C4F" w:rsidRDefault="00650C4F" w:rsidP="00125759">
      <w:pPr>
        <w:spacing w:line="360" w:lineRule="auto"/>
      </w:pPr>
    </w:p>
    <w:p w14:paraId="11D667D2" w14:textId="6959A872" w:rsidR="00650C4F" w:rsidRDefault="00650C4F" w:rsidP="00125759"/>
    <w:p w14:paraId="2FA0105B" w14:textId="77777777" w:rsidR="00650C4F" w:rsidRPr="00650C4F" w:rsidRDefault="00650C4F" w:rsidP="00125759"/>
    <w:p w14:paraId="1DEBAE8B" w14:textId="77777777" w:rsidR="000801D8" w:rsidRDefault="000801D8" w:rsidP="00125759">
      <w:pPr>
        <w:rPr>
          <w:rFonts w:asciiTheme="majorHAnsi" w:eastAsiaTheme="majorEastAsia" w:hAnsiTheme="majorHAnsi" w:cstheme="majorBidi"/>
          <w:b/>
          <w:sz w:val="32"/>
          <w:szCs w:val="26"/>
        </w:rPr>
      </w:pPr>
      <w:r>
        <w:br w:type="page"/>
      </w:r>
    </w:p>
    <w:p w14:paraId="65A45860" w14:textId="700F8199" w:rsidR="000A0B91" w:rsidRDefault="00650C4F" w:rsidP="0053747D">
      <w:pPr>
        <w:pStyle w:val="Heading2"/>
        <w:spacing w:line="360" w:lineRule="auto"/>
      </w:pPr>
      <w:r>
        <w:lastRenderedPageBreak/>
        <w:t xml:space="preserve">Executive </w:t>
      </w:r>
      <w:r w:rsidR="000A5EF2">
        <w:t xml:space="preserve">Summary </w:t>
      </w:r>
    </w:p>
    <w:p w14:paraId="4E53FF17" w14:textId="666BF468" w:rsidR="00697EE3" w:rsidRDefault="00D00FF1" w:rsidP="0053747D">
      <w:pPr>
        <w:pStyle w:val="BodyTextFirstIndent"/>
        <w:spacing w:line="360" w:lineRule="auto"/>
      </w:pPr>
      <w:r w:rsidRPr="00DC421E">
        <w:t xml:space="preserve">I accepted </w:t>
      </w:r>
      <w:r w:rsidR="00DC421E">
        <w:t>an</w:t>
      </w:r>
      <w:r w:rsidRPr="00DC421E">
        <w:t xml:space="preserve"> invitation from the Center for Independe</w:t>
      </w:r>
      <w:r w:rsidR="00FA6633">
        <w:t>nt</w:t>
      </w:r>
      <w:r w:rsidRPr="00DC421E">
        <w:t xml:space="preserve"> Experts (CIE) to a review of </w:t>
      </w:r>
      <w:r w:rsidR="00FA6633">
        <w:t xml:space="preserve">the </w:t>
      </w:r>
      <w:r w:rsidRPr="00DC421E">
        <w:t>assessment</w:t>
      </w:r>
      <w:r w:rsidR="00FA6633">
        <w:t>s</w:t>
      </w:r>
      <w:r w:rsidRPr="00DC421E">
        <w:t xml:space="preserve"> of Pacific ocean perch (POP) (</w:t>
      </w:r>
      <w:r w:rsidRPr="00DC421E">
        <w:rPr>
          <w:i/>
        </w:rPr>
        <w:t>Sebastes alutus</w:t>
      </w:r>
      <w:r w:rsidRPr="00DC421E">
        <w:t>), northern rockfish (</w:t>
      </w:r>
      <w:r w:rsidRPr="00DC421E">
        <w:rPr>
          <w:i/>
        </w:rPr>
        <w:t xml:space="preserve">Sebastes </w:t>
      </w:r>
      <w:proofErr w:type="spellStart"/>
      <w:r w:rsidRPr="00DC421E">
        <w:rPr>
          <w:i/>
        </w:rPr>
        <w:t>polysppinis</w:t>
      </w:r>
      <w:proofErr w:type="spellEnd"/>
      <w:r w:rsidRPr="00DC421E">
        <w:t>), and dusky rockfish (</w:t>
      </w:r>
      <w:r w:rsidRPr="00DC421E">
        <w:rPr>
          <w:i/>
        </w:rPr>
        <w:t>Sebastes ciliatus</w:t>
      </w:r>
      <w:r w:rsidRPr="00DC421E">
        <w:t xml:space="preserve">) stocks in the Gulf of Alaska (GOA).  The review meeting </w:t>
      </w:r>
      <w:r w:rsidR="00DC421E">
        <w:t>was</w:t>
      </w:r>
      <w:r w:rsidRPr="00DC421E">
        <w:t xml:space="preserve"> held</w:t>
      </w:r>
      <w:r w:rsidR="00DC421E">
        <w:t xml:space="preserve"> virtually</w:t>
      </w:r>
      <w:r w:rsidRPr="00DC421E">
        <w:t xml:space="preserve"> from 10 am to 5 pm during March 30 - April 1, 2021, Pacific Daylight Time (March 31 - April 2, Korea time, my location).  </w:t>
      </w:r>
      <w:r w:rsidR="00DC421E">
        <w:t>T</w:t>
      </w:r>
      <w:r w:rsidRPr="00DC421E">
        <w:t xml:space="preserve">hree CIE reviewers </w:t>
      </w:r>
      <w:r w:rsidR="00DC421E">
        <w:t>(</w:t>
      </w:r>
      <w:r w:rsidRPr="00DC421E">
        <w:t>Noel Cadigan, Geoff Tingley, and myself</w:t>
      </w:r>
      <w:r w:rsidR="00DC421E">
        <w:t>) participated in the virtual meeting</w:t>
      </w:r>
      <w:r w:rsidRPr="00DC421E">
        <w:t>.</w:t>
      </w:r>
      <w:r w:rsidR="002100AB" w:rsidRPr="00DC421E">
        <w:t xml:space="preserve"> </w:t>
      </w:r>
      <w:r w:rsidRPr="00DC421E">
        <w:t xml:space="preserve"> </w:t>
      </w:r>
      <w:r w:rsidR="004A7FDE" w:rsidRPr="00DC421E">
        <w:t>The assessment team</w:t>
      </w:r>
      <w:r w:rsidR="00C470C2" w:rsidRPr="00DC421E">
        <w:t xml:space="preserve"> (“they”, hereafter)</w:t>
      </w:r>
      <w:r w:rsidR="004A7FDE" w:rsidRPr="00DC421E">
        <w:t xml:space="preserve"> </w:t>
      </w:r>
      <w:r w:rsidR="00BA0169" w:rsidRPr="00DC421E">
        <w:t>in</w:t>
      </w:r>
      <w:r w:rsidR="008C2B00">
        <w:t xml:space="preserve"> the</w:t>
      </w:r>
      <w:r w:rsidR="004A7FDE" w:rsidRPr="00DC421E">
        <w:t xml:space="preserve"> Alaska Fisheries Science Center </w:t>
      </w:r>
      <w:r w:rsidR="00DC421E">
        <w:t>responded well</w:t>
      </w:r>
      <w:r w:rsidR="004A7FDE" w:rsidRPr="00DC421E">
        <w:t xml:space="preserve"> to CIE reviewers’ questions and requests during the virtual meeting.  The meeting agenda </w:t>
      </w:r>
      <w:r w:rsidR="00DC421E">
        <w:t>were</w:t>
      </w:r>
      <w:r w:rsidR="004A7FDE" w:rsidRPr="00DC421E">
        <w:t xml:space="preserve"> presented </w:t>
      </w:r>
      <w:r w:rsidR="0001463A">
        <w:t xml:space="preserve">well </w:t>
      </w:r>
      <w:r w:rsidR="004A7FDE" w:rsidRPr="00DC421E">
        <w:t>as planned.</w:t>
      </w:r>
      <w:r w:rsidR="004A7FDE">
        <w:t xml:space="preserve">  </w:t>
      </w:r>
    </w:p>
    <w:p w14:paraId="1E09B8A4" w14:textId="4A63E27E" w:rsidR="00B24038" w:rsidRDefault="001507EB" w:rsidP="0053747D">
      <w:pPr>
        <w:pStyle w:val="Heading3"/>
        <w:spacing w:line="360" w:lineRule="auto"/>
      </w:pPr>
      <w:r>
        <w:t>Findings by Term Of Reference (TOR)</w:t>
      </w:r>
    </w:p>
    <w:p w14:paraId="0D1E30EC" w14:textId="558D7970" w:rsidR="00B24038" w:rsidRDefault="001507EB" w:rsidP="0053747D">
      <w:pPr>
        <w:pStyle w:val="Heading3"/>
        <w:spacing w:line="360" w:lineRule="auto"/>
      </w:pPr>
      <w:r>
        <w:t xml:space="preserve">TOR 1. </w:t>
      </w:r>
      <w:r w:rsidRPr="00C96E2F">
        <w:t>Evaluate the data used in the assessments, specifically trawl survey estimates of biomass, and recommend how data should be treated within the assessment model</w:t>
      </w:r>
    </w:p>
    <w:p w14:paraId="45FAD588" w14:textId="5FD7650B" w:rsidR="001C682D" w:rsidRDefault="001C682D" w:rsidP="0053747D">
      <w:pPr>
        <w:pStyle w:val="BodyTextFirstIndent"/>
        <w:spacing w:line="360" w:lineRule="auto"/>
      </w:pPr>
      <w:r>
        <w:t>POP were sampled with other groundfish by the NMFS bottom trawl survey, which had been deployed triennially during 1990-1999, and biennially during 2001-2019.  NMFS used a stratified sampling design for the bottom trawl survey, where 59 strata were defined and at least two stations (sampling units) per stratum were allocated.  Overall their calculation of a survey index (a relative population size in number or weight) and the likelihood function for the annual survey indices were not different from the universal practice.  I raise two issues here: (</w:t>
      </w:r>
      <w:proofErr w:type="spellStart"/>
      <w:r>
        <w:t>i</w:t>
      </w:r>
      <w:proofErr w:type="spellEnd"/>
      <w:r>
        <w:t xml:space="preserve">) whether the current trawlable area was sufficient, and (ii) the uncertainty of the survey indices. </w:t>
      </w:r>
    </w:p>
    <w:p w14:paraId="15A338F0" w14:textId="2CA1605F" w:rsidR="00A85221" w:rsidRDefault="00A85221" w:rsidP="0053747D">
      <w:pPr>
        <w:pStyle w:val="Heading3"/>
        <w:spacing w:line="360" w:lineRule="auto"/>
      </w:pPr>
      <w:r>
        <w:t>TOR 2. Evaluate the stock assessment model for GOA Pacific ocean perch in general and comment on appropriateness of parameter estimates to assess stock status determinations</w:t>
      </w:r>
    </w:p>
    <w:p w14:paraId="129605E7" w14:textId="565BC750" w:rsidR="00822102" w:rsidRDefault="003B4DBF" w:rsidP="00B748DA">
      <w:pPr>
        <w:pStyle w:val="BodyTextFirstIndent"/>
        <w:spacing w:line="360" w:lineRule="auto"/>
      </w:pPr>
      <w:r>
        <w:t xml:space="preserve">Their age-structured assessment model was rooted in the </w:t>
      </w:r>
      <w:r w:rsidRPr="00697EE3">
        <w:t>traditional</w:t>
      </w:r>
      <w:r>
        <w:t xml:space="preserve"> statistical catch at </w:t>
      </w:r>
      <w:r w:rsidR="00877586">
        <w:t xml:space="preserve">age </w:t>
      </w:r>
      <w:r>
        <w:t xml:space="preserve">analysis (SCAA).  Some features of their assessment model different from the traditional SCAA included using data about lengths of fish caught by the commercial fishery.  They estimated a total of 164 free parameters.  They have six likelihood functions, given data about the fishery catches, age and length compositions in the fishery catches, survey indices, and maturity-at-age.  Further they have five penalized likelihood functions for annual recruitment deviations, annual fishing mortality deviations, recruitment variability, natural mortality, and </w:t>
      </w:r>
      <w:r>
        <w:lastRenderedPageBreak/>
        <w:t xml:space="preserve">survey catchability.  Those penalized likelihood functions could be viewed as priors in Bayesian statistics.  They used software ADMB </w:t>
      </w:r>
      <w:r>
        <w:fldChar w:fldCharType="begin"/>
      </w:r>
      <w:r>
        <w:instrText xml:space="preserve"> ADDIN EN.CITE &lt;EndNote&gt;&lt;Cite&gt;&lt;Author&gt;Fournier&lt;/Author&gt;&lt;Year&gt;2012&lt;/Year&gt;&lt;RecNum&gt;5527&lt;/RecNum&gt;&lt;DisplayText&gt;(Fournier et al. 2012)&lt;/DisplayText&gt;&lt;record&gt;&lt;rec-number&gt;5527&lt;/rec-number&gt;&lt;foreign-keys&gt;&lt;key app="EN" db-id="dwsesefros9expews50pvtt1satw2psxpts9" timestamp="1380321171"&gt;5527&lt;/key&gt;&lt;/foreign-keys&gt;&lt;ref-type name="Journal Article"&gt;17&lt;/ref-type&gt;&lt;contributors&gt;&lt;authors&gt;&lt;author&gt;Fournier, David A.&lt;/author&gt;&lt;author&gt;Skaug, Hans J.&lt;/author&gt;&lt;author&gt;Ancheta, Johnoel&lt;/author&gt;&lt;author&gt;Ianelli, James&lt;/author&gt;&lt;author&gt;Magnusson, Arni&lt;/author&gt;&lt;author&gt;Maunder, Mark N.&lt;/author&gt;&lt;author&gt;Nielsen, Anders&lt;/author&gt;&lt;author&gt;Sibert, John&lt;/author&gt;&lt;/authors&gt;&lt;/contributors&gt;&lt;titles&gt;&lt;title&gt;AD Model Builder: using automatic differentiation for statistical inference of highly parameterized complex nonlinear models&lt;/title&gt;&lt;secondary-title&gt;Optimization Methods and Software&lt;/secondary-title&gt;&lt;/titles&gt;&lt;periodical&gt;&lt;full-title&gt;Optimization Methods and Software&lt;/full-title&gt;&lt;/periodical&gt;&lt;pages&gt;233-249&lt;/pages&gt;&lt;volume&gt;27&lt;/volume&gt;&lt;number&gt;2&lt;/number&gt;&lt;dates&gt;&lt;year&gt;2012&lt;/year&gt;&lt;pub-dates&gt;&lt;date&gt;2012/04/01&lt;/date&gt;&lt;/pub-dates&gt;&lt;/dates&gt;&lt;publisher&gt;Taylor &amp;amp; Francis&lt;/publisher&gt;&lt;isbn&gt;1055-6788&amp;#xD;1029-4937&lt;/isbn&gt;&lt;urls&gt;&lt;related-urls&gt;&lt;url&gt;http://dx.doi.org/10.1080/10556788.2011.597854&lt;/url&gt;&lt;/related-urls&gt;&lt;/urls&gt;&lt;electronic-resource-num&gt;10.1080/10556788.2011.597854&lt;/electronic-resource-num&gt;&lt;access-date&gt;2013/09/27&lt;/access-date&gt;&lt;/record&gt;&lt;/Cite&gt;&lt;/EndNote&gt;</w:instrText>
      </w:r>
      <w:r>
        <w:fldChar w:fldCharType="separate"/>
      </w:r>
      <w:r>
        <w:rPr>
          <w:noProof/>
        </w:rPr>
        <w:t>(Fournier et al. 2012)</w:t>
      </w:r>
      <w:r>
        <w:fldChar w:fldCharType="end"/>
      </w:r>
      <w:r>
        <w:t xml:space="preserve"> for numerical optimization where they estimated not only parameters but also the uncertainties of parameter estimates.  </w:t>
      </w:r>
      <w:r w:rsidR="00A85221" w:rsidRPr="003B4DBF">
        <w:t>I acknowledge and support their stock assessment model, making a few suggestions: (</w:t>
      </w:r>
      <w:proofErr w:type="spellStart"/>
      <w:r w:rsidR="00A85221" w:rsidRPr="003B4DBF">
        <w:t>i</w:t>
      </w:r>
      <w:proofErr w:type="spellEnd"/>
      <w:r w:rsidR="00A85221" w:rsidRPr="003B4DBF">
        <w:t xml:space="preserve">) </w:t>
      </w:r>
      <w:r w:rsidR="00C30DB7" w:rsidRPr="003B4DBF">
        <w:t>p</w:t>
      </w:r>
      <w:r w:rsidR="00A85221" w:rsidRPr="003B4DBF">
        <w:t>riors; (ii)</w:t>
      </w:r>
      <w:r w:rsidR="00F7112A" w:rsidRPr="003B4DBF">
        <w:t xml:space="preserve"> </w:t>
      </w:r>
      <w:r w:rsidR="00B748DA">
        <w:t>t</w:t>
      </w:r>
      <w:r w:rsidR="0033491A" w:rsidRPr="00B748DA">
        <w:t>ypos in all penalized likelihood functions in the assessment report</w:t>
      </w:r>
      <w:r w:rsidR="00B748DA">
        <w:t>;</w:t>
      </w:r>
      <w:r w:rsidRPr="003B4DBF">
        <w:t xml:space="preserve"> (i</w:t>
      </w:r>
      <w:r w:rsidR="00822102">
        <w:t>ii</w:t>
      </w:r>
      <w:r w:rsidRPr="003B4DBF">
        <w:t>) the prior form is questionable even after the typo is corrected</w:t>
      </w:r>
      <w:r w:rsidR="00822102">
        <w:t xml:space="preserve">; and (iv) model goodness-of-fit and unnecessary/confusing expressions. </w:t>
      </w:r>
    </w:p>
    <w:p w14:paraId="153BE386" w14:textId="61891F02" w:rsidR="00925B14" w:rsidRPr="00E0136B" w:rsidRDefault="004551BC" w:rsidP="0053747D">
      <w:pPr>
        <w:pStyle w:val="Heading3"/>
        <w:spacing w:line="360" w:lineRule="auto"/>
      </w:pPr>
      <w:r>
        <w:t xml:space="preserve">TOR 3.  Evaluate the strengths and weaknesses in the stock assessment model for GOA Pacific ocean </w:t>
      </w:r>
      <w:proofErr w:type="gramStart"/>
      <w:r>
        <w:t>perch, and</w:t>
      </w:r>
      <w:proofErr w:type="gramEnd"/>
      <w:r>
        <w:t xml:space="preserve"> recommend any improvements to the assessment model.</w:t>
      </w:r>
    </w:p>
    <w:p w14:paraId="4AA8002D" w14:textId="01A28FE3" w:rsidR="00241863" w:rsidRDefault="00925B14" w:rsidP="0053747D">
      <w:pPr>
        <w:pStyle w:val="BodyTextFirstIndent"/>
        <w:spacing w:line="360" w:lineRule="auto"/>
      </w:pPr>
      <w:r>
        <w:t>Overall</w:t>
      </w:r>
      <w:r w:rsidR="004F6D81">
        <w:t>,</w:t>
      </w:r>
      <w:r>
        <w:t xml:space="preserve"> their methodology was thorough</w:t>
      </w:r>
      <w:r w:rsidR="004F6D81">
        <w:t>,</w:t>
      </w:r>
      <w:r>
        <w:t xml:space="preserve"> and they have continued to improve their assessment with state-of-the-art methods, adding new features such as length-to-age transition information.  The process of determining ages of fish is laborious and costly, extracting otoliths, breaking-burning them, and reading their annuli.  For these reasons, it is appropriate that they determined fish ages every other year instead of every year.  When actual age composition data were not available in years, they (internally in the model framework) inferred age compositions of a population using the length-to-age transition information in those years.  They used ADMB as optimization software.  ADMB and TMB are sophisticated software</w:t>
      </w:r>
      <w:r w:rsidR="004F6D81">
        <w:t>,</w:t>
      </w:r>
      <w:r>
        <w:t xml:space="preserve"> but users of the software are required to be proficient in computer language syntax as well as mathematical statistics used in the stock assessment model.  They should be praised for this high proficiency.  However,</w:t>
      </w:r>
      <w:r w:rsidR="00697EE3">
        <w:t xml:space="preserve"> the assessment report lacked </w:t>
      </w:r>
      <w:r>
        <w:t>formal model validation</w:t>
      </w:r>
      <w:r w:rsidR="00697EE3">
        <w:t xml:space="preserve">, and they did not incorporate the fishery </w:t>
      </w:r>
      <w:proofErr w:type="spellStart"/>
      <w:r w:rsidR="00697EE3">
        <w:t>cpue</w:t>
      </w:r>
      <w:proofErr w:type="spellEnd"/>
      <w:r w:rsidR="00697EE3">
        <w:t xml:space="preserve"> data.  I also suggest they should do </w:t>
      </w:r>
      <w:r w:rsidR="00430C15">
        <w:t xml:space="preserve">a retrospective error analysis for estimates of annual fishing mortality as well. </w:t>
      </w:r>
      <w:r w:rsidR="00697EE3">
        <w:t xml:space="preserve"> </w:t>
      </w:r>
      <w:r>
        <w:t xml:space="preserve"> </w:t>
      </w:r>
    </w:p>
    <w:p w14:paraId="17BDE1E0" w14:textId="02325F92" w:rsidR="00913D25" w:rsidRPr="00E0136B" w:rsidRDefault="00F55008" w:rsidP="0053747D">
      <w:pPr>
        <w:pStyle w:val="Heading3"/>
        <w:spacing w:line="360" w:lineRule="auto"/>
      </w:pPr>
      <w:r>
        <w:t>TOR 4.  Evaluate and recommend how survey data are used for biomass indices within the assessment.  Specifically, advise on trawl survey indices arising from design-based methods versus model-based approaches.</w:t>
      </w:r>
    </w:p>
    <w:p w14:paraId="1E47731A" w14:textId="517BBACC" w:rsidR="00196A9A" w:rsidRPr="00F55008" w:rsidRDefault="00913D25" w:rsidP="0053747D">
      <w:pPr>
        <w:pStyle w:val="BodyTextFirstIndent"/>
        <w:spacing w:line="360" w:lineRule="auto"/>
      </w:pPr>
      <w:r w:rsidRPr="000F025C">
        <w:t xml:space="preserve">Survey data used in the </w:t>
      </w:r>
      <w:r>
        <w:t xml:space="preserve">POP </w:t>
      </w:r>
      <w:r w:rsidRPr="000F025C">
        <w:t xml:space="preserve">assessment </w:t>
      </w:r>
      <w:r w:rsidRPr="000F025C">
        <w:fldChar w:fldCharType="begin"/>
      </w:r>
      <w:r w:rsidRPr="000F025C">
        <w:instrText xml:space="preserve"> ADDIN EN.CITE &lt;EndNote&gt;&lt;Cite&gt;&lt;Author&gt;Hulson&lt;/Author&gt;&lt;Year&gt;2020&lt;/Year&gt;&lt;RecNum&gt;5745&lt;/RecNum&gt;&lt;DisplayText&gt;(Hulson et al. 2020)&lt;/DisplayText&gt;&lt;record&gt;&lt;rec-number&gt;5745&lt;/rec-number&gt;&lt;foreign-keys&gt;&lt;key app="EN" db-id="dwsesefros9expews50pvtt1satw2psxpts9" timestamp="1617862691"&gt;5745&lt;/key&gt;&lt;/foreign-keys&gt;&lt;ref-type name="Report"&gt;27&lt;/ref-type&gt;&lt;contributors&gt;&lt;authors&gt;&lt;author&gt;Hulson, Peter-John F&lt;/author&gt;&lt;author&gt;Lunsford, C R&lt;/author&gt;&lt;author&gt;Fissel, B&lt;/author&gt;&lt;author&gt;Jones, D&lt;/author&gt;&lt;/authors&gt;&lt;tertiary-authors&gt;&lt;author&gt;NPFMC Gulf of Alaska SAFE&lt;/author&gt;&lt;/tertiary-authors&gt;&lt;/contributors&gt;&lt;titles&gt;&lt;title&gt;Assessment of the Pacific ocean perch stock in the Gulf of Alaska&lt;/title&gt;&lt;/titles&gt;&lt;pages&gt;79&lt;/pages&gt;&lt;dates&gt;&lt;year&gt;2020&lt;/year&gt;&lt;/dates&gt;&lt;publisher&gt;NPFMC Gulf of Alaska SAFE&lt;/publisher&gt;&lt;urls&gt;&lt;/urls&gt;&lt;/record&gt;&lt;/Cite&gt;&lt;/EndNote&gt;</w:instrText>
      </w:r>
      <w:r w:rsidRPr="000F025C">
        <w:fldChar w:fldCharType="separate"/>
      </w:r>
      <w:r w:rsidRPr="000F025C">
        <w:rPr>
          <w:noProof/>
        </w:rPr>
        <w:t>(Hulson et al. 2020)</w:t>
      </w:r>
      <w:r w:rsidRPr="000F025C">
        <w:fldChar w:fldCharType="end"/>
      </w:r>
      <w:r w:rsidRPr="000F025C">
        <w:t xml:space="preserve"> were </w:t>
      </w:r>
      <w:r>
        <w:t xml:space="preserve">mainly </w:t>
      </w:r>
      <w:r w:rsidRPr="000F025C">
        <w:t xml:space="preserve">from the bottom trawling, which had been made </w:t>
      </w:r>
      <w:r>
        <w:t>under</w:t>
      </w:r>
      <w:r w:rsidRPr="000F025C">
        <w:t xml:space="preserve"> </w:t>
      </w:r>
      <w:r>
        <w:t>a</w:t>
      </w:r>
      <w:r w:rsidRPr="000F025C">
        <w:t xml:space="preserve"> stratified sampling design</w:t>
      </w:r>
      <w:r>
        <w:t xml:space="preserve">, triennially during 1990-1999, and biennially during 2001-2019 (Figure 1).  One of the major purposes of the survey was to detect a relative population size (a survey index) and to collect biological information such as body size- and age-compositions.  </w:t>
      </w:r>
      <w:r w:rsidRPr="000F025C">
        <w:t>There is room for improvement in the calculation of the survey index</w:t>
      </w:r>
      <w:r>
        <w:t xml:space="preserve"> because a considerable proportion of the population area was </w:t>
      </w:r>
      <w:r>
        <w:lastRenderedPageBreak/>
        <w:t xml:space="preserve">not trawled (see the above section, “Whether or not the current trawlable area was sufficient” under TOR 1) and the spatial distribution and density of POP were heterogeneous over the entire population area.  </w:t>
      </w:r>
    </w:p>
    <w:p w14:paraId="2CA0C860" w14:textId="2712401D" w:rsidR="00913D25" w:rsidRPr="00E0136B" w:rsidRDefault="00F55008" w:rsidP="0053747D">
      <w:pPr>
        <w:pStyle w:val="Heading3"/>
        <w:spacing w:line="360" w:lineRule="auto"/>
      </w:pPr>
      <w:r>
        <w:t xml:space="preserve">TOR 5.  Evaluate abundance estimates from summer acoustic-trawl data, and recommend how it may be used within the assessment. </w:t>
      </w:r>
    </w:p>
    <w:p w14:paraId="476391F5" w14:textId="2982EB1F" w:rsidR="00913D25" w:rsidRPr="00E0136B" w:rsidRDefault="00913D25" w:rsidP="0053747D">
      <w:pPr>
        <w:pStyle w:val="BodyTextFirstIndent"/>
        <w:spacing w:line="360" w:lineRule="auto"/>
        <w:rPr>
          <w:highlight w:val="yellow"/>
        </w:rPr>
      </w:pPr>
      <w:r>
        <w:t xml:space="preserve">Acoustics are an efficient technique for detecting the sizes of a fish school, but acoustic measurements are merely supplementary in the stock assessment framework for the following reasons.  Data from an acoustic survey without trawling provide limited information, because we cannot identify fish species, body sizes and ages.  An acoustic survey even with trawling still fails to scan </w:t>
      </w:r>
      <w:proofErr w:type="gramStart"/>
      <w:r>
        <w:t>in close proximity to</w:t>
      </w:r>
      <w:proofErr w:type="gramEnd"/>
      <w:r>
        <w:t xml:space="preserve"> untrawlable seabed, and thus such </w:t>
      </w:r>
      <w:r w:rsidR="004F6D81">
        <w:t xml:space="preserve">an </w:t>
      </w:r>
      <w:r>
        <w:t xml:space="preserve">operation is not appropriate for detecting groundfish populations such as GOA POP.  This problem could be relieved with an aid, deployment of lowered stereo camera </w:t>
      </w:r>
      <w:r>
        <w:fldChar w:fldCharType="begin"/>
      </w:r>
      <w:r>
        <w:instrText xml:space="preserve"> ADDIN EN.CITE &lt;EndNote&gt;&lt;Cite&gt;&lt;Author&gt;Jones&lt;/Author&gt;&lt;Year&gt;2021&lt;/Year&gt;&lt;RecNum&gt;5748&lt;/RecNum&gt;&lt;DisplayText&gt;(Jones et al. 2021)&lt;/DisplayText&gt;&lt;record&gt;&lt;rec-number&gt;5748&lt;/rec-number&gt;&lt;foreign-keys&gt;&lt;key app="EN" db-id="dwsesefros9expews50pvtt1satw2psxpts9" timestamp="1618478232"&gt;5748&lt;/key&gt;&lt;/foreign-keys&gt;&lt;ref-type name="Journal Article"&gt;17&lt;/ref-type&gt;&lt;contributors&gt;&lt;authors&gt;&lt;author&gt;Jones, Darin T.&lt;/author&gt;&lt;author&gt;Rooper, Christopher N.&lt;/author&gt;&lt;author&gt;Wilson, Christopher D.&lt;/author&gt;&lt;author&gt;Spencer, Paul D.&lt;/author&gt;&lt;author&gt;Hanselman, Dana H.&lt;/author&gt;&lt;author&gt;Wilborn, Rachel E.&lt;/author&gt;&lt;/authors&gt;&lt;/contributors&gt;&lt;titles&gt;&lt;title&gt;Estimates of availability and catchability for select rockfish species based on acoustic-optic surveys in the Gulf of Alaska&lt;/title&gt;&lt;secondary-title&gt;Fisheries Research&lt;/secondary-title&gt;&lt;/titles&gt;&lt;periodical&gt;&lt;full-title&gt;Fisheries Research&lt;/full-title&gt;&lt;/periodical&gt;&lt;pages&gt;105848&lt;/pages&gt;&lt;volume&gt;236&lt;/volume&gt;&lt;keywords&gt;&lt;keyword&gt;Catchability&lt;/keyword&gt;&lt;keyword&gt;Availability&lt;/keyword&gt;&lt;keyword&gt;Rockfish&lt;/keyword&gt;&lt;keyword&gt;Lowered stereo camera&lt;/keyword&gt;&lt;keyword&gt;Trawlable&lt;/keyword&gt;&lt;keyword&gt;Untrawlable&lt;/keyword&gt;&lt;/keywords&gt;&lt;dates&gt;&lt;year&gt;2021&lt;/year&gt;&lt;pub-dates&gt;&lt;date&gt;2021/04/01/&lt;/date&gt;&lt;/pub-dates&gt;&lt;/dates&gt;&lt;isbn&gt;0165-7836&lt;/isbn&gt;&lt;urls&gt;&lt;related-urls&gt;&lt;url&gt;https://www.sciencedirect.com/science/article/pii/S0165783620303659&lt;/url&gt;&lt;/related-urls&gt;&lt;/urls&gt;&lt;electronic-resource-num&gt;https://doi.org/10.1016/j.fishres.2020.105848&lt;/electronic-resource-num&gt;&lt;/record&gt;&lt;/Cite&gt;&lt;/EndNote&gt;</w:instrText>
      </w:r>
      <w:r>
        <w:fldChar w:fldCharType="separate"/>
      </w:r>
      <w:r>
        <w:rPr>
          <w:noProof/>
        </w:rPr>
        <w:t>(Jones et al. 2021)</w:t>
      </w:r>
      <w:r>
        <w:fldChar w:fldCharType="end"/>
      </w:r>
      <w:r>
        <w:t xml:space="preserve">.  </w:t>
      </w:r>
    </w:p>
    <w:p w14:paraId="1B939851" w14:textId="2D8B921F" w:rsidR="00AC774C" w:rsidRDefault="00AC774C" w:rsidP="0053747D">
      <w:pPr>
        <w:pStyle w:val="Heading3"/>
        <w:spacing w:line="360" w:lineRule="auto"/>
      </w:pPr>
      <w:r>
        <w:t xml:space="preserve">Recommendations </w:t>
      </w:r>
    </w:p>
    <w:p w14:paraId="5E716BBA" w14:textId="1A9B52CF" w:rsidR="00AC774C" w:rsidRPr="00AC774C" w:rsidRDefault="00AC774C" w:rsidP="0053747D">
      <w:pPr>
        <w:pStyle w:val="BodyTextFirstIndent"/>
        <w:spacing w:line="360" w:lineRule="auto"/>
      </w:pPr>
      <w:r>
        <w:t>I provide a list of recommendations</w:t>
      </w:r>
      <w:r w:rsidR="008C2B00">
        <w:t>.</w:t>
      </w:r>
    </w:p>
    <w:p w14:paraId="5D0FFB36" w14:textId="77777777" w:rsidR="00431497" w:rsidRDefault="00431497" w:rsidP="00125759">
      <w:pPr>
        <w:rPr>
          <w:rFonts w:eastAsiaTheme="majorEastAsia" w:cstheme="majorBidi"/>
          <w:b/>
          <w:sz w:val="28"/>
          <w:szCs w:val="26"/>
        </w:rPr>
      </w:pPr>
      <w:r>
        <w:br w:type="page"/>
      </w:r>
    </w:p>
    <w:p w14:paraId="29B9A049" w14:textId="25482DC1" w:rsidR="008551B6" w:rsidRDefault="008551B6" w:rsidP="00E97489">
      <w:pPr>
        <w:pStyle w:val="Heading2"/>
        <w:spacing w:line="360" w:lineRule="auto"/>
      </w:pPr>
      <w:r>
        <w:lastRenderedPageBreak/>
        <w:t>Background</w:t>
      </w:r>
    </w:p>
    <w:p w14:paraId="3B608211" w14:textId="568C1ABD" w:rsidR="00F7391A" w:rsidRDefault="00403CBB" w:rsidP="00E97489">
      <w:pPr>
        <w:pStyle w:val="BodyTextFirstIndent"/>
        <w:spacing w:line="360" w:lineRule="auto"/>
      </w:pPr>
      <w:r>
        <w:t xml:space="preserve">I </w:t>
      </w:r>
      <w:r w:rsidR="004D5D68">
        <w:t xml:space="preserve">accepted </w:t>
      </w:r>
      <w:r w:rsidR="00824DD2">
        <w:t>an</w:t>
      </w:r>
      <w:r w:rsidR="00F7391A">
        <w:t xml:space="preserve"> invitation from the Center for Independen</w:t>
      </w:r>
      <w:r w:rsidR="004F6D81">
        <w:t>t</w:t>
      </w:r>
      <w:r w:rsidR="00F7391A">
        <w:t xml:space="preserve"> Experts (CIE) to a review of </w:t>
      </w:r>
      <w:r w:rsidR="00CB0578">
        <w:t xml:space="preserve">the </w:t>
      </w:r>
      <w:r w:rsidR="00F7391A">
        <w:t>assessment</w:t>
      </w:r>
      <w:r w:rsidR="00CB0578">
        <w:t>s</w:t>
      </w:r>
      <w:r w:rsidR="00F7391A">
        <w:t xml:space="preserve"> of Pacific ocean perch (POP) (</w:t>
      </w:r>
      <w:r w:rsidR="00FB7256" w:rsidRPr="00FB7256">
        <w:rPr>
          <w:i/>
        </w:rPr>
        <w:t>Sebastes alutus</w:t>
      </w:r>
      <w:r w:rsidR="00F7391A">
        <w:t>), northern rockfish (</w:t>
      </w:r>
      <w:r w:rsidR="00FB7256" w:rsidRPr="00FB7256">
        <w:rPr>
          <w:i/>
        </w:rPr>
        <w:t xml:space="preserve">Sebastes </w:t>
      </w:r>
      <w:proofErr w:type="spellStart"/>
      <w:r w:rsidR="00FB7256" w:rsidRPr="00FB7256">
        <w:rPr>
          <w:i/>
        </w:rPr>
        <w:t>polysppinis</w:t>
      </w:r>
      <w:proofErr w:type="spellEnd"/>
      <w:r w:rsidR="00F7391A">
        <w:t>), and dusky rockfish (</w:t>
      </w:r>
      <w:r w:rsidR="00FB7256" w:rsidRPr="00FB7256">
        <w:rPr>
          <w:i/>
        </w:rPr>
        <w:t>Sebastes ciliatus</w:t>
      </w:r>
      <w:r w:rsidR="00F7391A">
        <w:t>) stocks in the Gulf of Alaska</w:t>
      </w:r>
      <w:r w:rsidR="004E0C29">
        <w:t xml:space="preserve"> (GOA)</w:t>
      </w:r>
      <w:r w:rsidR="00F7391A">
        <w:t xml:space="preserve">.  The review meeting </w:t>
      </w:r>
      <w:r w:rsidR="00824DD2">
        <w:t>was</w:t>
      </w:r>
      <w:r w:rsidR="00F7391A">
        <w:t xml:space="preserve"> held</w:t>
      </w:r>
      <w:r w:rsidR="00824DD2">
        <w:t xml:space="preserve"> virtually</w:t>
      </w:r>
      <w:r w:rsidR="00F7391A">
        <w:t xml:space="preserve"> from 10 am to 5 pm during March 30 - April 1, 2021, Pacific Daylight Time</w:t>
      </w:r>
      <w:r w:rsidR="00EA3052">
        <w:t xml:space="preserve"> (</w:t>
      </w:r>
      <w:r w:rsidR="00F7391A">
        <w:t>2 am to 9 am, Marc</w:t>
      </w:r>
      <w:r w:rsidR="004E0C29">
        <w:t>h 31</w:t>
      </w:r>
      <w:r w:rsidR="00DC59EA">
        <w:t xml:space="preserve"> -</w:t>
      </w:r>
      <w:r w:rsidR="004E0C29">
        <w:t xml:space="preserve"> April 2, Korea time</w:t>
      </w:r>
      <w:r w:rsidR="00EA3052">
        <w:t xml:space="preserve">, </w:t>
      </w:r>
      <w:r w:rsidR="004E0C29">
        <w:t>my location)</w:t>
      </w:r>
      <w:r w:rsidR="00F7391A">
        <w:t>.  The virtual</w:t>
      </w:r>
      <w:r w:rsidR="00824DD2">
        <w:t xml:space="preserve"> nature of the</w:t>
      </w:r>
      <w:r w:rsidR="00F7391A">
        <w:t xml:space="preserve"> meeting was due to the </w:t>
      </w:r>
      <w:r w:rsidR="00824DD2">
        <w:t>C</w:t>
      </w:r>
      <w:r w:rsidR="00F7391A">
        <w:t>orona</w:t>
      </w:r>
      <w:r w:rsidR="00824DD2">
        <w:t>virus</w:t>
      </w:r>
      <w:r w:rsidR="00F7391A">
        <w:t xml:space="preserve"> pandemic.</w:t>
      </w:r>
      <w:r w:rsidR="003C6CE0">
        <w:t xml:space="preserve">  </w:t>
      </w:r>
      <w:r w:rsidR="00F818AC">
        <w:t>T</w:t>
      </w:r>
      <w:r w:rsidR="003C6CE0">
        <w:t xml:space="preserve">hree CIE reviewers </w:t>
      </w:r>
      <w:r w:rsidR="00F818AC">
        <w:t>(</w:t>
      </w:r>
      <w:r w:rsidR="003C6CE0">
        <w:t>Noel Cadigan, Geoff Tingley, and myself</w:t>
      </w:r>
      <w:r w:rsidR="00F818AC">
        <w:t>) participated in the virtual meeting</w:t>
      </w:r>
      <w:r w:rsidR="00EA3052">
        <w:t>.</w:t>
      </w:r>
      <w:r w:rsidR="003C6CE0">
        <w:t xml:space="preserve"> </w:t>
      </w:r>
      <w:r w:rsidR="00B00B20">
        <w:t xml:space="preserve"> </w:t>
      </w:r>
      <w:r w:rsidR="00070D47">
        <w:t xml:space="preserve">The assessment team </w:t>
      </w:r>
      <w:r w:rsidR="00E6291C">
        <w:t>(“they”, hereafter) in</w:t>
      </w:r>
      <w:r w:rsidR="00824DD2">
        <w:t xml:space="preserve"> the</w:t>
      </w:r>
      <w:r w:rsidR="00070D47">
        <w:t xml:space="preserve"> Alaska Fisheries Science Cente</w:t>
      </w:r>
      <w:r w:rsidR="00824DD2">
        <w:t>r</w:t>
      </w:r>
      <w:r w:rsidR="00070D47">
        <w:t xml:space="preserve"> respon</w:t>
      </w:r>
      <w:r w:rsidR="00824DD2">
        <w:t>ded well</w:t>
      </w:r>
      <w:r w:rsidR="00070D47">
        <w:t xml:space="preserve"> to</w:t>
      </w:r>
      <w:r w:rsidR="00824DD2">
        <w:t xml:space="preserve"> the</w:t>
      </w:r>
      <w:r w:rsidR="00070D47">
        <w:t xml:space="preserve"> CIE reviewers’ questions and requests</w:t>
      </w:r>
      <w:r w:rsidR="00EA3052">
        <w:t xml:space="preserve"> during the virtual meeting</w:t>
      </w:r>
      <w:r w:rsidR="00070D47">
        <w:t>.</w:t>
      </w:r>
      <w:r w:rsidR="00824DD2">
        <w:t xml:space="preserve"> </w:t>
      </w:r>
      <w:r w:rsidR="00070D47">
        <w:t xml:space="preserve"> </w:t>
      </w:r>
      <w:r w:rsidR="00824DD2">
        <w:t>Of</w:t>
      </w:r>
      <w:r w:rsidR="00070D47">
        <w:t xml:space="preserve"> the assessment team members, </w:t>
      </w:r>
      <w:r w:rsidR="00C35080">
        <w:t>Paul Spencer as the meeting chair, Pete Hulson as the assessment report’s senior author</w:t>
      </w:r>
      <w:r w:rsidR="003B4B6C">
        <w:t>, and Jim Ianelli</w:t>
      </w:r>
      <w:r w:rsidR="00664BA5">
        <w:t xml:space="preserve"> attend</w:t>
      </w:r>
      <w:r w:rsidR="00070D47">
        <w:t>ed</w:t>
      </w:r>
      <w:r w:rsidR="00824DD2">
        <w:t xml:space="preserve"> all</w:t>
      </w:r>
      <w:r w:rsidR="00664BA5">
        <w:t xml:space="preserve"> meeting</w:t>
      </w:r>
      <w:r w:rsidR="00824DD2">
        <w:t>s</w:t>
      </w:r>
      <w:r w:rsidR="00070D47">
        <w:t xml:space="preserve">.  </w:t>
      </w:r>
      <w:r w:rsidR="003B4B6C">
        <w:t>The other participants are listed in Appendix 3.</w:t>
      </w:r>
      <w:r w:rsidR="00B00B20">
        <w:t xml:space="preserve">  </w:t>
      </w:r>
      <w:r w:rsidR="00824DD2">
        <w:t xml:space="preserve">The </w:t>
      </w:r>
      <w:r w:rsidR="00D57A63">
        <w:t>CIE reviewers were provided</w:t>
      </w:r>
      <w:r w:rsidR="00824DD2">
        <w:t xml:space="preserve"> with</w:t>
      </w:r>
      <w:r w:rsidR="00D57A63">
        <w:t xml:space="preserve"> materials about assessment of GOA POP and other rockfish a few days before the virtual meeting.  Those materials included the GOA POP assessment report, </w:t>
      </w:r>
      <w:r w:rsidR="00E6291C">
        <w:t xml:space="preserve">ADMB files (TPL, DAT, CTL files), </w:t>
      </w:r>
      <w:r w:rsidR="00D57A63">
        <w:t>and Power Point files about data collection, biology, bottom trawl survey</w:t>
      </w:r>
      <w:r w:rsidR="00824DD2">
        <w:t>s</w:t>
      </w:r>
      <w:r w:rsidR="00D57A63">
        <w:t>, and acoustic survey</w:t>
      </w:r>
      <w:r w:rsidR="00824DD2">
        <w:t>s</w:t>
      </w:r>
      <w:r w:rsidR="00D57A63">
        <w:t xml:space="preserve">.  </w:t>
      </w:r>
      <w:r w:rsidR="00824DD2">
        <w:t xml:space="preserve">The </w:t>
      </w:r>
      <w:r w:rsidR="00D57A63">
        <w:t xml:space="preserve">CIE reviewers had been also given oral presentations during the virtual meeting (see Appendix 1 for </w:t>
      </w:r>
      <w:r w:rsidR="00812070">
        <w:t>presentation</w:t>
      </w:r>
      <w:r w:rsidR="00D57A63">
        <w:t xml:space="preserve"> titles and presenters).   </w:t>
      </w:r>
    </w:p>
    <w:p w14:paraId="50C66B2A" w14:textId="77777777" w:rsidR="008551B6" w:rsidRPr="008551B6" w:rsidRDefault="008551B6" w:rsidP="00E97489">
      <w:pPr>
        <w:spacing w:line="360" w:lineRule="auto"/>
      </w:pPr>
    </w:p>
    <w:p w14:paraId="0843891D" w14:textId="3EDC18F8" w:rsidR="00070D47" w:rsidRPr="00070D47" w:rsidRDefault="008551B6" w:rsidP="00E97489">
      <w:pPr>
        <w:pStyle w:val="Heading2"/>
        <w:spacing w:line="360" w:lineRule="auto"/>
      </w:pPr>
      <w:r>
        <w:t>Review activities</w:t>
      </w:r>
    </w:p>
    <w:p w14:paraId="595F84ED" w14:textId="1EC35047" w:rsidR="008D5FB0" w:rsidRDefault="004F6D81" w:rsidP="00E97489">
      <w:pPr>
        <w:pStyle w:val="BodyTextFirstIndent"/>
        <w:spacing w:line="360" w:lineRule="auto"/>
      </w:pPr>
      <w:r>
        <w:t xml:space="preserve">The </w:t>
      </w:r>
      <w:r w:rsidR="003C6CE0">
        <w:t>CIE request</w:t>
      </w:r>
      <w:r w:rsidR="00CB0578">
        <w:t>ed</w:t>
      </w:r>
      <w:r w:rsidR="003C6CE0">
        <w:t xml:space="preserve"> a review of </w:t>
      </w:r>
      <w:r w:rsidR="00CB0578">
        <w:t xml:space="preserve">the </w:t>
      </w:r>
      <w:r w:rsidR="003C6CE0">
        <w:t>assessment</w:t>
      </w:r>
      <w:r w:rsidR="00CB0578">
        <w:t>s</w:t>
      </w:r>
      <w:r w:rsidR="003C6CE0">
        <w:t xml:space="preserve"> of POP, northern rockfish, and dusky rockfish stocks in the GOA</w:t>
      </w:r>
      <w:r w:rsidR="00C46AFB">
        <w:t xml:space="preserve">. </w:t>
      </w:r>
      <w:r w:rsidR="003C6CE0">
        <w:t xml:space="preserve"> </w:t>
      </w:r>
      <w:r w:rsidR="00C46AFB">
        <w:t>However, t</w:t>
      </w:r>
      <w:r w:rsidR="003C6CE0">
        <w:t>he review meeting’s focus was on</w:t>
      </w:r>
      <w:r w:rsidR="00C46AFB">
        <w:t xml:space="preserve"> </w:t>
      </w:r>
      <w:r w:rsidR="003C6CE0">
        <w:t xml:space="preserve">the GOA POP stock assessment.  </w:t>
      </w:r>
      <w:r w:rsidR="00C249E6">
        <w:t xml:space="preserve">The meeting agenda </w:t>
      </w:r>
      <w:r w:rsidR="00C46AFB">
        <w:t>was</w:t>
      </w:r>
      <w:r w:rsidR="00C249E6">
        <w:t xml:space="preserve"> presented </w:t>
      </w:r>
      <w:r w:rsidR="008D5FB0">
        <w:t xml:space="preserve">as planned (see “Annex 3” under “Appendix 2.  Performance Work Statement”).  A glitch occurred </w:t>
      </w:r>
      <w:r w:rsidR="00C46AFB">
        <w:t>during</w:t>
      </w:r>
      <w:r w:rsidR="008D5FB0">
        <w:t xml:space="preserve"> the 1</w:t>
      </w:r>
      <w:r w:rsidR="008D5FB0" w:rsidRPr="008D5FB0">
        <w:rPr>
          <w:vertAlign w:val="superscript"/>
        </w:rPr>
        <w:t>st</w:t>
      </w:r>
      <w:r w:rsidR="008D5FB0">
        <w:t xml:space="preserve"> day of the</w:t>
      </w:r>
      <w:r w:rsidR="006B28C8">
        <w:t xml:space="preserve"> virtual</w:t>
      </w:r>
      <w:r w:rsidR="008D5FB0">
        <w:t xml:space="preserve"> meeting because </w:t>
      </w:r>
      <w:r w:rsidR="006B28C8">
        <w:t>I was unfamiliar with</w:t>
      </w:r>
      <w:r w:rsidR="008D5FB0">
        <w:t xml:space="preserve"> software, “Cisco Webex”</w:t>
      </w:r>
      <w:r w:rsidR="00AA79D6">
        <w:t>,</w:t>
      </w:r>
      <w:r w:rsidR="00C46AFB">
        <w:t xml:space="preserve"> used</w:t>
      </w:r>
      <w:r w:rsidR="008D5FB0">
        <w:t xml:space="preserve"> </w:t>
      </w:r>
      <w:r w:rsidR="00C46AFB">
        <w:t>for the virtual meeting</w:t>
      </w:r>
      <w:r w:rsidR="008D5FB0">
        <w:t xml:space="preserve">.  </w:t>
      </w:r>
      <w:r w:rsidR="00770059">
        <w:t xml:space="preserve">Except </w:t>
      </w:r>
      <w:r w:rsidR="00C46AFB">
        <w:t xml:space="preserve">for </w:t>
      </w:r>
      <w:r w:rsidR="00770059">
        <w:t xml:space="preserve">the glitch moments, I </w:t>
      </w:r>
      <w:r w:rsidR="00C46AFB">
        <w:t>was</w:t>
      </w:r>
      <w:r w:rsidR="00770059">
        <w:t xml:space="preserve"> able to listen to and speak to participants a</w:t>
      </w:r>
      <w:r w:rsidR="00C46AFB">
        <w:t>nd</w:t>
      </w:r>
      <w:r w:rsidR="00770059">
        <w:t xml:space="preserve"> watch presentation materials through the software.  The meeting was open to the public, but participants were limited to CIE reviewers and the assessment team.</w:t>
      </w:r>
      <w:r w:rsidR="008D5FB0">
        <w:t xml:space="preserve">  </w:t>
      </w:r>
    </w:p>
    <w:p w14:paraId="38EBCE23" w14:textId="2A7C19EE" w:rsidR="00060EE2" w:rsidRPr="00060EE2" w:rsidRDefault="00C249E6" w:rsidP="00E97489">
      <w:pPr>
        <w:pStyle w:val="BodyTextFirstIndent"/>
        <w:spacing w:line="360" w:lineRule="auto"/>
      </w:pPr>
      <w:r>
        <w:t xml:space="preserve"> </w:t>
      </w:r>
    </w:p>
    <w:p w14:paraId="4CA600E1" w14:textId="40E3E4E7" w:rsidR="00650C4F" w:rsidRPr="00650C4F" w:rsidRDefault="008551B6" w:rsidP="00E97489">
      <w:pPr>
        <w:pStyle w:val="Heading2"/>
        <w:spacing w:line="360" w:lineRule="auto"/>
      </w:pPr>
      <w:r>
        <w:lastRenderedPageBreak/>
        <w:t xml:space="preserve">Findings by </w:t>
      </w:r>
      <w:r w:rsidR="00196A9A">
        <w:t>T</w:t>
      </w:r>
      <w:r>
        <w:t xml:space="preserve">erms </w:t>
      </w:r>
      <w:r w:rsidR="00196A9A">
        <w:t>O</w:t>
      </w:r>
      <w:r>
        <w:t xml:space="preserve">f </w:t>
      </w:r>
      <w:r w:rsidR="00196A9A">
        <w:t>R</w:t>
      </w:r>
      <w:r>
        <w:t xml:space="preserve">eference </w:t>
      </w:r>
    </w:p>
    <w:p w14:paraId="7FE46CB1" w14:textId="17C9B778" w:rsidR="00AA47D0" w:rsidRPr="00C96E2F" w:rsidRDefault="00DD5461" w:rsidP="00E97489">
      <w:pPr>
        <w:pStyle w:val="Heading3"/>
        <w:spacing w:line="360" w:lineRule="auto"/>
      </w:pPr>
      <w:r>
        <w:t xml:space="preserve">TOR 1. </w:t>
      </w:r>
      <w:r w:rsidR="00AA47D0" w:rsidRPr="00C96E2F">
        <w:t>Evaluate the data used in the assessments, specifically trawl survey estimates of biomass, and recommend how data should be treated within the assessment model</w:t>
      </w:r>
    </w:p>
    <w:p w14:paraId="3D61B600" w14:textId="45EB82B1" w:rsidR="00AF0800" w:rsidRDefault="000513B8" w:rsidP="00E97489">
      <w:pPr>
        <w:pStyle w:val="BodyTextFirstIndent"/>
        <w:spacing w:line="360" w:lineRule="auto"/>
      </w:pPr>
      <w:r>
        <w:t xml:space="preserve">POP were sampled with other groundfish by the NMFS bottom trawl survey, which had been deployed triennially during 1990-1999, and biennially during 2001-2019.  NMFS used a stratified sampling design for the bottom trawl survey, where 59 strata were defined and at least two stations (sampling units) per stratum were allocated.  </w:t>
      </w:r>
      <w:r w:rsidR="004D5F9E">
        <w:t>Overall</w:t>
      </w:r>
      <w:r w:rsidR="00AA79D6">
        <w:t>,</w:t>
      </w:r>
      <w:r w:rsidR="004D5F9E">
        <w:t xml:space="preserve"> thei</w:t>
      </w:r>
      <w:r w:rsidR="00AF0800">
        <w:t xml:space="preserve">r calculation of a survey index (a relative population size in number or weight) and the likelihood function for </w:t>
      </w:r>
      <w:r w:rsidR="004B71A4">
        <w:t xml:space="preserve">the </w:t>
      </w:r>
      <w:r w:rsidR="00AF0800">
        <w:t xml:space="preserve">annual survey indices </w:t>
      </w:r>
      <w:r w:rsidR="006B28C8">
        <w:t>we</w:t>
      </w:r>
      <w:r w:rsidR="00AF0800">
        <w:t>re not different from the universal practice.  I raise two issues here: (</w:t>
      </w:r>
      <w:proofErr w:type="spellStart"/>
      <w:r w:rsidR="00AF0800">
        <w:t>i</w:t>
      </w:r>
      <w:proofErr w:type="spellEnd"/>
      <w:r w:rsidR="00AF0800">
        <w:t xml:space="preserve">) whether the current trawlable area </w:t>
      </w:r>
      <w:r w:rsidR="00273A5D">
        <w:t>wa</w:t>
      </w:r>
      <w:r w:rsidR="00AF0800">
        <w:t xml:space="preserve">s sufficient, and (ii) </w:t>
      </w:r>
      <w:bookmarkStart w:id="0" w:name="_Hlk69566672"/>
      <w:r w:rsidR="004B71A4">
        <w:t xml:space="preserve">the </w:t>
      </w:r>
      <w:r w:rsidR="00AF0800">
        <w:t xml:space="preserve">uncertainty of the survey indices. </w:t>
      </w:r>
    </w:p>
    <w:bookmarkEnd w:id="0"/>
    <w:p w14:paraId="072259EA" w14:textId="700F035E" w:rsidR="00AF0800" w:rsidRDefault="00AF0800" w:rsidP="00E97489">
      <w:pPr>
        <w:pStyle w:val="Heading4"/>
        <w:numPr>
          <w:ilvl w:val="0"/>
          <w:numId w:val="35"/>
        </w:numPr>
        <w:spacing w:line="360" w:lineRule="auto"/>
      </w:pPr>
      <w:r>
        <w:t>Whether</w:t>
      </w:r>
      <w:r w:rsidR="00C1122A">
        <w:t xml:space="preserve"> or not</w:t>
      </w:r>
      <w:r>
        <w:t xml:space="preserve"> the current trawlable area </w:t>
      </w:r>
      <w:r w:rsidR="00273A5D">
        <w:t>wa</w:t>
      </w:r>
      <w:r>
        <w:t>s sufficient</w:t>
      </w:r>
    </w:p>
    <w:p w14:paraId="7F03C079" w14:textId="5C3C3287" w:rsidR="000513B8" w:rsidRDefault="009239E2" w:rsidP="00E97489">
      <w:pPr>
        <w:pStyle w:val="ListParagraph"/>
        <w:spacing w:line="360" w:lineRule="auto"/>
      </w:pPr>
      <w:r>
        <w:t>One of the major purposes of the</w:t>
      </w:r>
      <w:r w:rsidR="00AF0800">
        <w:t xml:space="preserve"> </w:t>
      </w:r>
      <w:r>
        <w:t xml:space="preserve">bottom </w:t>
      </w:r>
      <w:r w:rsidRPr="00FE127F">
        <w:t>trawl</w:t>
      </w:r>
      <w:r>
        <w:t xml:space="preserve"> survey </w:t>
      </w:r>
      <w:r w:rsidR="00273A5D">
        <w:t>wa</w:t>
      </w:r>
      <w:r>
        <w:t xml:space="preserve">s to sample POP </w:t>
      </w:r>
      <w:r w:rsidR="00D3089B">
        <w:t>(</w:t>
      </w:r>
      <w:r w:rsidR="000513B8">
        <w:t xml:space="preserve">known data) </w:t>
      </w:r>
      <w:r>
        <w:t xml:space="preserve">to infer </w:t>
      </w:r>
      <w:r w:rsidR="00824A14">
        <w:t>the</w:t>
      </w:r>
      <w:r>
        <w:t xml:space="preserve"> population</w:t>
      </w:r>
      <w:r w:rsidR="000513B8">
        <w:t xml:space="preserve"> (unknown parameter)</w:t>
      </w:r>
      <w:r>
        <w:t>.</w:t>
      </w:r>
      <w:r w:rsidR="00D3089B">
        <w:t xml:space="preserve">  Under a good sampling design</w:t>
      </w:r>
      <w:r w:rsidR="000513B8">
        <w:t xml:space="preserve"> (with a random sampling and </w:t>
      </w:r>
      <w:r w:rsidR="00824A14">
        <w:t>a large</w:t>
      </w:r>
      <w:r w:rsidR="000513B8">
        <w:t xml:space="preserve"> sample size)</w:t>
      </w:r>
      <w:r w:rsidR="00D3089B">
        <w:t xml:space="preserve">, </w:t>
      </w:r>
      <w:r w:rsidR="000513B8">
        <w:t xml:space="preserve">an estimate of the population size inferred </w:t>
      </w:r>
      <w:r w:rsidR="00E91154">
        <w:t>from</w:t>
      </w:r>
      <w:r w:rsidR="00704678">
        <w:t xml:space="preserve"> </w:t>
      </w:r>
      <w:r w:rsidR="00824A14">
        <w:t xml:space="preserve">the </w:t>
      </w:r>
      <w:r w:rsidR="000513B8">
        <w:t>samples (POP caught by the survey) would be close to</w:t>
      </w:r>
      <w:r w:rsidR="00824A14">
        <w:t xml:space="preserve"> the</w:t>
      </w:r>
      <w:r w:rsidR="000513B8">
        <w:t xml:space="preserve"> true </w:t>
      </w:r>
      <w:r w:rsidR="00704678">
        <w:t>(</w:t>
      </w:r>
      <w:r w:rsidR="000513B8">
        <w:t>unknown</w:t>
      </w:r>
      <w:r w:rsidR="00704678">
        <w:t>)</w:t>
      </w:r>
      <w:r w:rsidR="000513B8">
        <w:t xml:space="preserve"> population size.  </w:t>
      </w:r>
    </w:p>
    <w:p w14:paraId="4451C0BD" w14:textId="57EAA025" w:rsidR="00C1122A" w:rsidRDefault="000513B8" w:rsidP="00E97489">
      <w:pPr>
        <w:pStyle w:val="ListParagraph"/>
        <w:spacing w:line="360" w:lineRule="auto"/>
      </w:pPr>
      <w:r>
        <w:t>Unfortunately, ‘random’ sampling was impossible mainly because some areas such as high relief substrate</w:t>
      </w:r>
      <w:r w:rsidR="00824A14">
        <w:t>s</w:t>
      </w:r>
      <w:r>
        <w:t xml:space="preserve"> were not trawlable.  Their sampling unit was based on whether or not</w:t>
      </w:r>
      <w:r w:rsidR="00824A14">
        <w:t xml:space="preserve"> the area was</w:t>
      </w:r>
      <w:r>
        <w:t xml:space="preserve"> trawlable as well as on the other criteria (e.g., abundance, economic value).   In addition to</w:t>
      </w:r>
      <w:r w:rsidR="00824A14">
        <w:t xml:space="preserve"> the lack of</w:t>
      </w:r>
      <w:r>
        <w:t xml:space="preserve"> a random sampling, the assumption </w:t>
      </w:r>
      <w:r w:rsidR="00C1122A">
        <w:t>wa</w:t>
      </w:r>
      <w:r>
        <w:t xml:space="preserve">s </w:t>
      </w:r>
      <w:r w:rsidR="00C1122A">
        <w:t xml:space="preserve">weak </w:t>
      </w:r>
      <w:r>
        <w:t>that</w:t>
      </w:r>
      <w:r w:rsidR="00C1122A">
        <w:t xml:space="preserve"> the POP density would be the same between trawlable and untrawlable areas.  Although the assumption</w:t>
      </w:r>
      <w:r w:rsidR="00824A14">
        <w:t xml:space="preserve"> was not explicitly stated</w:t>
      </w:r>
      <w:r w:rsidR="00C1122A">
        <w:t xml:space="preserve">, </w:t>
      </w:r>
      <w:r w:rsidR="00824A14">
        <w:t xml:space="preserve">the </w:t>
      </w:r>
      <w:r w:rsidR="00C1122A">
        <w:t>extrapolation of a survey index from</w:t>
      </w:r>
      <w:r w:rsidR="00824A14">
        <w:t xml:space="preserve"> a</w:t>
      </w:r>
      <w:r w:rsidR="00C1122A">
        <w:t xml:space="preserve"> trawlable area to</w:t>
      </w:r>
      <w:r w:rsidR="00824A14">
        <w:t xml:space="preserve"> an</w:t>
      </w:r>
      <w:r w:rsidR="00C1122A">
        <w:t xml:space="preserve"> untrawlable area would not</w:t>
      </w:r>
      <w:r w:rsidR="00704678">
        <w:t xml:space="preserve"> have</w:t>
      </w:r>
      <w:r w:rsidR="00C1122A">
        <w:t xml:space="preserve"> be</w:t>
      </w:r>
      <w:r w:rsidR="00704678">
        <w:t>en</w:t>
      </w:r>
      <w:r w:rsidR="00C1122A">
        <w:t xml:space="preserve"> justified without the assumption. </w:t>
      </w:r>
    </w:p>
    <w:p w14:paraId="23BFE694" w14:textId="5F0EA353" w:rsidR="00031BB7" w:rsidRDefault="00C1122A" w:rsidP="00E97489">
      <w:pPr>
        <w:pStyle w:val="ListParagraph"/>
        <w:spacing w:line="360" w:lineRule="auto"/>
      </w:pPr>
      <w:r>
        <w:t>One of the ways to overcome these</w:t>
      </w:r>
      <w:r w:rsidR="00824A14">
        <w:t xml:space="preserve"> above</w:t>
      </w:r>
      <w:r>
        <w:t xml:space="preserve"> concerns would be to sample as much area as possible.  But</w:t>
      </w:r>
      <w:r w:rsidR="00500403">
        <w:t xml:space="preserve"> the </w:t>
      </w:r>
      <w:r w:rsidR="003C2DB8">
        <w:t xml:space="preserve">possible </w:t>
      </w:r>
      <w:r w:rsidR="00500403">
        <w:t>sampling area</w:t>
      </w:r>
      <w:r>
        <w:t xml:space="preserve"> in the latest survey year 2019</w:t>
      </w:r>
      <w:r w:rsidR="00500403">
        <w:t xml:space="preserve"> was </w:t>
      </w:r>
      <w:r w:rsidR="002F0B0F">
        <w:t>‘</w:t>
      </w:r>
      <w:r w:rsidR="003C2DB8">
        <w:t>at most</w:t>
      </w:r>
      <w:r w:rsidR="002F0B0F">
        <w:t>’</w:t>
      </w:r>
      <w:r w:rsidR="00500403">
        <w:t xml:space="preserve"> 40.</w:t>
      </w:r>
      <w:r w:rsidR="00C87B92">
        <w:t>9</w:t>
      </w:r>
      <w:r w:rsidR="00500403">
        <w:t xml:space="preserve">% of </w:t>
      </w:r>
      <w:r w:rsidR="00603BDB">
        <w:t>the</w:t>
      </w:r>
      <w:r w:rsidR="00C87B92">
        <w:t xml:space="preserve"> total </w:t>
      </w:r>
      <w:r w:rsidR="002F0B0F">
        <w:t xml:space="preserve">population </w:t>
      </w:r>
      <w:r w:rsidR="00C87B92">
        <w:t xml:space="preserve">area of the survey regions </w:t>
      </w:r>
      <w:r w:rsidR="00603BDB">
        <w:t>that</w:t>
      </w:r>
      <w:r w:rsidR="00C87B92">
        <w:t xml:space="preserve"> </w:t>
      </w:r>
      <w:r w:rsidR="003C2DB8">
        <w:t>was</w:t>
      </w:r>
      <w:r w:rsidR="00C87B92">
        <w:t xml:space="preserve"> 320,000 km</w:t>
      </w:r>
      <w:r w:rsidR="00C87B92" w:rsidRPr="00500403">
        <w:rPr>
          <w:vertAlign w:val="superscript"/>
        </w:rPr>
        <w:t>2</w:t>
      </w:r>
      <w:r w:rsidR="00C87B92">
        <w:t xml:space="preserve">, because </w:t>
      </w:r>
      <w:r w:rsidR="009D7206">
        <w:t xml:space="preserve">the known area was 50.1% and the trawlable area of the known area was 81.6%: i.e., 40.9% = (50.1/100) </w:t>
      </w:r>
      <w:r w:rsidR="009D7206">
        <w:rPr>
          <w:rFonts w:ascii="Arial" w:hAnsi="Arial" w:cs="Arial"/>
        </w:rPr>
        <w:t xml:space="preserve">x </w:t>
      </w:r>
      <w:r w:rsidR="009D7206">
        <w:t xml:space="preserve">(81.6/100).  </w:t>
      </w:r>
      <w:r w:rsidR="001A47BF">
        <w:t>It</w:t>
      </w:r>
      <w:r w:rsidR="003C2DB8">
        <w:t xml:space="preserve"> </w:t>
      </w:r>
      <w:r w:rsidR="00C911F5">
        <w:t>w</w:t>
      </w:r>
      <w:r w:rsidR="001649DE">
        <w:t>ould have been</w:t>
      </w:r>
      <w:r w:rsidR="003C2DB8">
        <w:t xml:space="preserve"> </w:t>
      </w:r>
      <w:r w:rsidR="001A47BF">
        <w:t xml:space="preserve">practically </w:t>
      </w:r>
      <w:r w:rsidR="003C2DB8">
        <w:t xml:space="preserve">impossible to fully fill </w:t>
      </w:r>
      <w:r w:rsidR="003C2DB8">
        <w:lastRenderedPageBreak/>
        <w:t>stations (sampling units</w:t>
      </w:r>
      <w:r w:rsidR="00D811DF">
        <w:t>)</w:t>
      </w:r>
      <w:r w:rsidR="003C2DB8">
        <w:t xml:space="preserve"> in the possible sampling area, and thus the sampled area was </w:t>
      </w:r>
      <w:r w:rsidR="002F0B0F">
        <w:t>‘</w:t>
      </w:r>
      <w:r w:rsidR="003C2DB8">
        <w:t>much less than</w:t>
      </w:r>
      <w:r w:rsidR="002F0B0F">
        <w:t>’</w:t>
      </w:r>
      <w:r w:rsidR="003C2DB8">
        <w:t xml:space="preserve"> 40.9% of </w:t>
      </w:r>
      <w:r w:rsidR="00603BDB">
        <w:t>the</w:t>
      </w:r>
      <w:r w:rsidR="003C2DB8">
        <w:t xml:space="preserve"> total area. </w:t>
      </w:r>
    </w:p>
    <w:p w14:paraId="15105890" w14:textId="6A53103D" w:rsidR="002F0B0F" w:rsidRDefault="002F0B0F" w:rsidP="00E97489">
      <w:pPr>
        <w:pStyle w:val="Heading4"/>
        <w:numPr>
          <w:ilvl w:val="0"/>
          <w:numId w:val="35"/>
        </w:numPr>
        <w:spacing w:line="360" w:lineRule="auto"/>
      </w:pPr>
      <w:r>
        <w:t xml:space="preserve">Uncertainty of the survey indices. </w:t>
      </w:r>
    </w:p>
    <w:p w14:paraId="4E6330FD" w14:textId="0C27D427" w:rsidR="00EB373C" w:rsidRDefault="00C911F5" w:rsidP="00E97489">
      <w:pPr>
        <w:pStyle w:val="ListParagraph"/>
        <w:spacing w:line="360" w:lineRule="auto"/>
      </w:pPr>
      <w:r>
        <w:t>It was reasonable to</w:t>
      </w:r>
      <w:r w:rsidR="00667498">
        <w:t xml:space="preserve"> conside</w:t>
      </w:r>
      <w:r>
        <w:t>r</w:t>
      </w:r>
      <w:r w:rsidR="00667498">
        <w:t xml:space="preserve"> heteroscedasticity in</w:t>
      </w:r>
      <w:r w:rsidR="00EB373C">
        <w:t xml:space="preserve"> the likelihood for</w:t>
      </w:r>
      <w:r w:rsidR="00667498">
        <w:t xml:space="preserve"> the</w:t>
      </w:r>
      <w:r w:rsidR="00EB373C">
        <w:t xml:space="preserve"> annual</w:t>
      </w:r>
      <w:r w:rsidR="00667498">
        <w:t xml:space="preserve"> survey ind</w:t>
      </w:r>
      <w:r w:rsidR="00EB373C">
        <w:t>ices</w:t>
      </w:r>
      <w:r w:rsidR="00667498">
        <w:t xml:space="preserve"> (</w:t>
      </w:r>
      <w:r w:rsidR="00EB373C">
        <w:t xml:space="preserve">annual </w:t>
      </w:r>
      <w:r w:rsidR="00667498">
        <w:t>relative population size</w:t>
      </w:r>
      <w:r w:rsidR="00EB373C">
        <w:t>s</w:t>
      </w:r>
      <w:r w:rsidR="00667498">
        <w:t xml:space="preserve">).  That is, they allowed </w:t>
      </w:r>
      <w:r w:rsidR="00EB373C">
        <w:t xml:space="preserve">the </w:t>
      </w:r>
      <w:r w:rsidR="00667498">
        <w:t xml:space="preserve">variance of </w:t>
      </w:r>
      <w:r w:rsidR="00EB373C">
        <w:t xml:space="preserve">a </w:t>
      </w:r>
      <w:r w:rsidR="00667498">
        <w:t>survey ind</w:t>
      </w:r>
      <w:r w:rsidR="00EB373C">
        <w:t>ex</w:t>
      </w:r>
      <w:r w:rsidR="00667498">
        <w:t xml:space="preserve"> </w:t>
      </w:r>
      <w:r w:rsidR="00EB373C">
        <w:t xml:space="preserve">to differ </w:t>
      </w:r>
      <w:r w:rsidR="00667498">
        <w:t>by year</w:t>
      </w:r>
      <w:r w:rsidR="00EB373C">
        <w:t xml:space="preserve"> instead of considering</w:t>
      </w:r>
      <w:r>
        <w:t xml:space="preserve"> </w:t>
      </w:r>
      <w:r w:rsidR="00EB373C">
        <w:t>its</w:t>
      </w:r>
      <w:r w:rsidR="00667498">
        <w:t xml:space="preserve"> constant variance over years.  Such</w:t>
      </w:r>
      <w:r w:rsidR="00BC7495">
        <w:t xml:space="preserve"> a</w:t>
      </w:r>
      <w:r w:rsidR="00667498">
        <w:t xml:space="preserve"> good implementation of heteroscedasticity was possible because they calculated time-varying uncertainty (e.g., annual coefficient of variation (CV)) of the survey ind</w:t>
      </w:r>
      <w:r w:rsidR="00AC78BB">
        <w:t>ices</w:t>
      </w:r>
      <w:r w:rsidR="00667498">
        <w:t xml:space="preserve">.  However, the CV’s of </w:t>
      </w:r>
      <w:r w:rsidR="00B7016D">
        <w:t xml:space="preserve">the </w:t>
      </w:r>
      <w:r w:rsidR="00667498">
        <w:t>annual survey indices are questionable</w:t>
      </w:r>
      <w:r w:rsidR="00EB373C">
        <w:t xml:space="preserve"> because</w:t>
      </w:r>
      <w:r w:rsidR="00667498">
        <w:t xml:space="preserve"> they did not consider the covariances of </w:t>
      </w:r>
      <w:r>
        <w:t>survey indices</w:t>
      </w:r>
      <w:r w:rsidR="00667498">
        <w:t xml:space="preserve"> from neighbor strata </w:t>
      </w:r>
      <w:r w:rsidR="00EB373C">
        <w:t>when</w:t>
      </w:r>
      <w:r w:rsidR="00667498">
        <w:t xml:space="preserve"> calculating the variance of </w:t>
      </w:r>
      <w:r>
        <w:t xml:space="preserve">a total of survey indices </w:t>
      </w:r>
      <w:r w:rsidR="00667498">
        <w:t>over all strata</w:t>
      </w:r>
      <w:r w:rsidR="00EB373C">
        <w:t xml:space="preserve"> in a </w:t>
      </w:r>
      <w:r w:rsidR="00B7016D">
        <w:t xml:space="preserve">survey </w:t>
      </w:r>
      <w:r w:rsidR="00EB373C">
        <w:t>year</w:t>
      </w:r>
      <w:r w:rsidR="00667498">
        <w:t>.</w:t>
      </w:r>
      <w:r w:rsidR="00B7016D">
        <w:t xml:space="preserve">  T</w:t>
      </w:r>
      <w:r w:rsidR="00933F37">
        <w:t>h</w:t>
      </w:r>
      <w:r w:rsidR="00B7016D">
        <w:t>e</w:t>
      </w:r>
      <w:r w:rsidR="00933F37">
        <w:t xml:space="preserve">se CV values </w:t>
      </w:r>
      <w:r w:rsidR="009B26E0">
        <w:t>seemed</w:t>
      </w:r>
      <w:r w:rsidR="00933F37">
        <w:t xml:space="preserve"> too small (closed dots in Figure 1b, where all values were below 53% in 1999). </w:t>
      </w:r>
      <w:r w:rsidR="00EB373C">
        <w:t xml:space="preserve"> </w:t>
      </w:r>
      <w:r>
        <w:t>For th</w:t>
      </w:r>
      <w:r w:rsidR="00B7016D">
        <w:t>is</w:t>
      </w:r>
      <w:r>
        <w:t xml:space="preserve"> reason, I suggest they should revise the calculation of the CV’s of</w:t>
      </w:r>
      <w:r w:rsidR="00B7016D">
        <w:t xml:space="preserve"> the</w:t>
      </w:r>
      <w:r>
        <w:t xml:space="preserve"> annual survey indices</w:t>
      </w:r>
      <w:r w:rsidR="00EB373C">
        <w:t xml:space="preserve">.  </w:t>
      </w:r>
    </w:p>
    <w:p w14:paraId="333A2D38" w14:textId="129FE419" w:rsidR="002F0B0F" w:rsidRDefault="00EB373C" w:rsidP="00E97489">
      <w:pPr>
        <w:pStyle w:val="ListParagraph"/>
        <w:spacing w:line="360" w:lineRule="auto"/>
      </w:pPr>
      <w:r>
        <w:t xml:space="preserve">However, </w:t>
      </w:r>
      <w:r w:rsidR="00F04261">
        <w:t>if th</w:t>
      </w:r>
      <w:r w:rsidR="00B7016D">
        <w:t>is</w:t>
      </w:r>
      <w:r w:rsidR="00F04261">
        <w:t xml:space="preserve"> revision is difficult</w:t>
      </w:r>
      <w:r>
        <w:t xml:space="preserve"> for some reason, then they</w:t>
      </w:r>
      <w:r w:rsidR="00C911F5">
        <w:t xml:space="preserve"> </w:t>
      </w:r>
      <w:r>
        <w:t>may</w:t>
      </w:r>
      <w:r w:rsidR="00C911F5">
        <w:t xml:space="preserve"> return to the homoscedasticity </w:t>
      </w:r>
      <w:r w:rsidR="007D03A3">
        <w:t>likelihood for the survey data</w:t>
      </w:r>
      <w:r w:rsidR="00C911F5">
        <w:t>.</w:t>
      </w:r>
      <w:r w:rsidR="007D03A3">
        <w:t xml:space="preserve">  </w:t>
      </w:r>
      <w:r w:rsidR="00B85A1F">
        <w:t>Regardless of</w:t>
      </w:r>
      <w:r w:rsidR="007D03A3">
        <w:t xml:space="preserve"> </w:t>
      </w:r>
      <w:r w:rsidR="00B85A1F">
        <w:t>whether</w:t>
      </w:r>
      <w:r w:rsidR="00B7016D">
        <w:t xml:space="preserve"> </w:t>
      </w:r>
      <w:r w:rsidR="007D03A3">
        <w:t>time-varying variances</w:t>
      </w:r>
      <w:r w:rsidR="00F04261">
        <w:t>,</w:t>
      </w:r>
      <w:r w:rsidR="007D03A3">
        <w:t xml:space="preserve"> or time-constant variance</w:t>
      </w:r>
      <w:r w:rsidR="00B7016D">
        <w:t xml:space="preserve"> is considered</w:t>
      </w:r>
      <w:r w:rsidR="00B85A1F">
        <w:t>, the variance term</w:t>
      </w:r>
      <w:r w:rsidR="007D03A3">
        <w:t xml:space="preserve"> </w:t>
      </w:r>
      <w:r w:rsidR="00B85A1F">
        <w:t>would</w:t>
      </w:r>
      <w:r w:rsidR="007D03A3">
        <w:t xml:space="preserve"> </w:t>
      </w:r>
      <w:r w:rsidR="00F04261">
        <w:t>‘</w:t>
      </w:r>
      <w:r w:rsidR="007D03A3">
        <w:t>eventually</w:t>
      </w:r>
      <w:r w:rsidR="00F04261">
        <w:t>’</w:t>
      </w:r>
      <w:r w:rsidR="00B85A1F">
        <w:t xml:space="preserve"> become</w:t>
      </w:r>
      <w:r w:rsidR="007D03A3">
        <w:t xml:space="preserve"> part of the weight of the likelihood</w:t>
      </w:r>
      <w:r w:rsidR="00B85A1F">
        <w:t>,</w:t>
      </w:r>
      <w:r w:rsidR="007D03A3">
        <w:t xml:space="preserve"> although they separately express</w:t>
      </w:r>
      <w:r w:rsidR="00B85A1F">
        <w:t>ed</w:t>
      </w:r>
      <w:r w:rsidR="00615A2A">
        <w:t xml:space="preserve"> the weight and the variance as</w:t>
      </w:r>
      <w:r w:rsidR="007D03A3">
        <w:t xml:space="preserve"> </w:t>
      </w:r>
      <w:r w:rsidR="00B4254F" w:rsidRPr="007D03A3">
        <w:rPr>
          <w:noProof/>
          <w:position w:val="-14"/>
        </w:rPr>
        <w:object w:dxaOrig="279" w:dyaOrig="380" w14:anchorId="579157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alt="" style="width:13.85pt;height:18.7pt;mso-width-percent:0;mso-height-percent:0;mso-width-percent:0;mso-height-percent:0" o:ole="">
            <v:imagedata r:id="rId10" o:title=""/>
          </v:shape>
          <o:OLEObject Type="Embed" ProgID="Equation.DSMT4" ShapeID="_x0000_i1048" DrawAspect="Content" ObjectID="_1685473274" r:id="rId11"/>
        </w:object>
      </w:r>
      <w:r w:rsidR="007D03A3">
        <w:t xml:space="preserve">  and </w:t>
      </w:r>
      <w:r w:rsidR="00B4254F" w:rsidRPr="00615A2A">
        <w:rPr>
          <w:noProof/>
          <w:position w:val="-14"/>
        </w:rPr>
        <w:object w:dxaOrig="420" w:dyaOrig="400" w14:anchorId="05AC190F">
          <v:shape id="_x0000_i1047" type="#_x0000_t75" alt="" style="width:20.75pt;height:20.1pt;mso-width-percent:0;mso-height-percent:0;mso-width-percent:0;mso-height-percent:0" o:ole="">
            <v:imagedata r:id="rId12" o:title=""/>
          </v:shape>
          <o:OLEObject Type="Embed" ProgID="Equation.DSMT4" ShapeID="_x0000_i1047" DrawAspect="Content" ObjectID="_1685473275" r:id="rId13"/>
        </w:object>
      </w:r>
      <w:r w:rsidR="00B85A1F">
        <w:t xml:space="preserve"> respectively</w:t>
      </w:r>
      <w:r w:rsidR="00F04261">
        <w:t xml:space="preserve"> in their report (Table 9-13 of </w:t>
      </w:r>
      <w:r w:rsidR="00F04261">
        <w:fldChar w:fldCharType="begin"/>
      </w:r>
      <w:r w:rsidR="00F04261">
        <w:instrText xml:space="preserve"> ADDIN EN.CITE &lt;EndNote&gt;&lt;Cite AuthorYear="1"&gt;&lt;Author&gt;Hulson&lt;/Author&gt;&lt;Year&gt;2020&lt;/Year&gt;&lt;RecNum&gt;5745&lt;/RecNum&gt;&lt;DisplayText&gt;Hulson et al. (2020)&lt;/DisplayText&gt;&lt;record&gt;&lt;rec-number&gt;5745&lt;/rec-number&gt;&lt;foreign-keys&gt;&lt;key app="EN" db-id="dwsesefros9expews50pvtt1satw2psxpts9" timestamp="1617862691"&gt;5745&lt;/key&gt;&lt;/foreign-keys&gt;&lt;ref-type name="Report"&gt;27&lt;/ref-type&gt;&lt;contributors&gt;&lt;authors&gt;&lt;author&gt;Hulson, Peter-John F&lt;/author&gt;&lt;author&gt;Lunsford, C R&lt;/author&gt;&lt;author&gt;Fissel, B&lt;/author&gt;&lt;author&gt;Jones, D&lt;/author&gt;&lt;/authors&gt;&lt;tertiary-authors&gt;&lt;author&gt;NPFMC Gulf of Alaska SAFE&lt;/author&gt;&lt;/tertiary-authors&gt;&lt;/contributors&gt;&lt;titles&gt;&lt;title&gt;Assessment of the Pacific ocean perch stock in the Gulf of Alaska&lt;/title&gt;&lt;/titles&gt;&lt;pages&gt;79&lt;/pages&gt;&lt;dates&gt;&lt;year&gt;2020&lt;/year&gt;&lt;/dates&gt;&lt;publisher&gt;NPFMC Gulf of Alaska SAFE&lt;/publisher&gt;&lt;urls&gt;&lt;/urls&gt;&lt;/record&gt;&lt;/Cite&gt;&lt;/EndNote&gt;</w:instrText>
      </w:r>
      <w:r w:rsidR="00F04261">
        <w:fldChar w:fldCharType="separate"/>
      </w:r>
      <w:r w:rsidR="00F04261">
        <w:rPr>
          <w:noProof/>
        </w:rPr>
        <w:t>Hulson et al. (2020)</w:t>
      </w:r>
      <w:r w:rsidR="00F04261">
        <w:fldChar w:fldCharType="end"/>
      </w:r>
      <w:r w:rsidR="00F04261">
        <w:t>)</w:t>
      </w:r>
      <w:r w:rsidR="00B85A1F">
        <w:t>.</w:t>
      </w:r>
      <w:r>
        <w:t xml:space="preserve"> </w:t>
      </w:r>
      <w:r w:rsidR="00B85A1F">
        <w:t xml:space="preserve"> </w:t>
      </w:r>
      <w:r>
        <w:t xml:space="preserve">In other words, </w:t>
      </w:r>
      <w:r w:rsidR="00E046F4">
        <w:t>either</w:t>
      </w:r>
      <w:r>
        <w:t xml:space="preserve"> heteroscedasticity</w:t>
      </w:r>
      <w:r w:rsidR="00E046F4">
        <w:t xml:space="preserve"> or homoscedasticity</w:t>
      </w:r>
      <w:r>
        <w:t xml:space="preserve"> </w:t>
      </w:r>
      <w:r w:rsidR="00E046F4">
        <w:t>is</w:t>
      </w:r>
      <w:r>
        <w:t xml:space="preserve"> masked by the likelihood weight.  </w:t>
      </w:r>
      <w:r w:rsidR="00F04261">
        <w:t xml:space="preserve">    </w:t>
      </w:r>
    </w:p>
    <w:p w14:paraId="568427A7" w14:textId="77777777" w:rsidR="002F0B0F" w:rsidRDefault="002F0B0F" w:rsidP="00E97489">
      <w:pPr>
        <w:pStyle w:val="ListParagraph"/>
        <w:spacing w:line="360" w:lineRule="auto"/>
      </w:pPr>
    </w:p>
    <w:p w14:paraId="262A4189" w14:textId="0C9E3337" w:rsidR="006341FA" w:rsidRDefault="00615831" w:rsidP="00E97489">
      <w:pPr>
        <w:pStyle w:val="BodyTextFirstIndent"/>
        <w:spacing w:line="360" w:lineRule="auto"/>
        <w:ind w:firstLine="0"/>
      </w:pPr>
      <w:r>
        <w:rPr>
          <w:noProof/>
        </w:rPr>
        <w:lastRenderedPageBreak/>
        <w:drawing>
          <wp:inline distT="0" distB="0" distL="0" distR="0" wp14:anchorId="2C1F79E2" wp14:editId="0E8CB53B">
            <wp:extent cx="5731510" cy="46704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ue_vs_surveyindex.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670425"/>
                    </a:xfrm>
                    <a:prstGeom prst="rect">
                      <a:avLst/>
                    </a:prstGeom>
                  </pic:spPr>
                </pic:pic>
              </a:graphicData>
            </a:graphic>
          </wp:inline>
        </w:drawing>
      </w:r>
    </w:p>
    <w:p w14:paraId="11D783BA" w14:textId="5471E4D4" w:rsidR="006341FA" w:rsidRDefault="00933F37" w:rsidP="009B45A4">
      <w:pPr>
        <w:pStyle w:val="BodyText"/>
        <w:spacing w:after="0" w:line="360" w:lineRule="auto"/>
      </w:pPr>
      <w:r>
        <w:t xml:space="preserve">Figure 1. </w:t>
      </w:r>
      <w:r w:rsidR="00BB6166">
        <w:t>Comparison in relative population sizes (panel a) and their CV</w:t>
      </w:r>
      <w:r w:rsidR="00B7016D">
        <w:t>s</w:t>
      </w:r>
      <w:r w:rsidR="00BB6166">
        <w:t xml:space="preserve"> (panel b) between the fishery </w:t>
      </w:r>
      <w:proofErr w:type="spellStart"/>
      <w:r w:rsidR="00BB6166">
        <w:t>cpue</w:t>
      </w:r>
      <w:proofErr w:type="spellEnd"/>
      <w:r w:rsidR="00BB6166">
        <w:t xml:space="preserve"> (t</w:t>
      </w:r>
      <w:r w:rsidR="00BB78EB">
        <w:t>on</w:t>
      </w:r>
      <w:r w:rsidR="00BB6166">
        <w:t>/min) (left y-axis) and</w:t>
      </w:r>
      <w:r w:rsidR="00B7016D">
        <w:t xml:space="preserve"> the</w:t>
      </w:r>
      <w:r w:rsidR="00BB6166">
        <w:t xml:space="preserve"> bottom trawl survey index (right y-axis).  Open circles represent the fishery </w:t>
      </w:r>
      <w:proofErr w:type="spellStart"/>
      <w:r w:rsidR="00BB6166">
        <w:t>cpue</w:t>
      </w:r>
      <w:proofErr w:type="spellEnd"/>
      <w:r w:rsidR="00BB6166">
        <w:t xml:space="preserve"> values and their CVs</w:t>
      </w:r>
      <w:r w:rsidR="00B7016D">
        <w:t>,</w:t>
      </w:r>
      <w:r w:rsidR="00BB6166">
        <w:t xml:space="preserve"> while closed dots indicate</w:t>
      </w:r>
      <w:r w:rsidR="00B7016D">
        <w:t xml:space="preserve"> the</w:t>
      </w:r>
      <w:r w:rsidR="00BB6166">
        <w:t xml:space="preserve"> bottom trawl survey indices and their CVs.  </w:t>
      </w:r>
    </w:p>
    <w:p w14:paraId="23DB8EC6" w14:textId="77777777" w:rsidR="001A47BF" w:rsidRDefault="001A47BF" w:rsidP="00E97489">
      <w:pPr>
        <w:pStyle w:val="BodyTextFirstIndent"/>
        <w:spacing w:line="360" w:lineRule="auto"/>
        <w:ind w:firstLine="0"/>
      </w:pPr>
    </w:p>
    <w:p w14:paraId="1ABC6E16" w14:textId="796A9410" w:rsidR="00573FDD" w:rsidRDefault="002F0B0F" w:rsidP="009B45A4">
      <w:pPr>
        <w:pStyle w:val="BodyTextFirstIndent"/>
        <w:spacing w:line="360" w:lineRule="auto"/>
        <w:ind w:firstLine="0"/>
      </w:pPr>
      <w:r>
        <w:t xml:space="preserve">On the other hand, I would appreciate their description of how they calculated the fishery </w:t>
      </w:r>
      <w:proofErr w:type="spellStart"/>
      <w:r>
        <w:t>cpue</w:t>
      </w:r>
      <w:proofErr w:type="spellEnd"/>
      <w:r>
        <w:t xml:space="preserve"> and its uncertainty (e.g., variance).  The CVs of the fishery </w:t>
      </w:r>
      <w:proofErr w:type="spellStart"/>
      <w:r>
        <w:t>cpue’s</w:t>
      </w:r>
      <w:proofErr w:type="spellEnd"/>
      <w:r>
        <w:t xml:space="preserve"> a</w:t>
      </w:r>
      <w:r w:rsidR="00E046F4">
        <w:t>ppeared</w:t>
      </w:r>
      <w:r>
        <w:t xml:space="preserve"> too large: e.g., the mean of 180%, ranging from 116% to 505% (open circles in Figure 1b). </w:t>
      </w:r>
    </w:p>
    <w:p w14:paraId="5ADF0C1B" w14:textId="77777777" w:rsidR="00573FDD" w:rsidRDefault="00573FDD" w:rsidP="00E97489">
      <w:pPr>
        <w:suppressAutoHyphens/>
        <w:spacing w:after="120" w:line="360" w:lineRule="auto"/>
        <w:ind w:left="360"/>
      </w:pPr>
    </w:p>
    <w:p w14:paraId="16F3C651" w14:textId="42AF4AB0" w:rsidR="001D4658" w:rsidRDefault="001E665F" w:rsidP="00E97489">
      <w:pPr>
        <w:pStyle w:val="Heading3"/>
        <w:spacing w:line="360" w:lineRule="auto"/>
      </w:pPr>
      <w:r>
        <w:t xml:space="preserve">TOR 2. </w:t>
      </w:r>
      <w:r w:rsidR="00AA47D0" w:rsidRPr="00C96E2F">
        <w:t>Evaluate the stock assessment model for GOA Pacific ocean perch in general and</w:t>
      </w:r>
      <w:r w:rsidR="0014715C">
        <w:t xml:space="preserve"> </w:t>
      </w:r>
      <w:r w:rsidR="00AA47D0" w:rsidRPr="00C96E2F">
        <w:t>comment on appropriateness of parameter estimates to assess stock status determinations</w:t>
      </w:r>
    </w:p>
    <w:p w14:paraId="461692DC" w14:textId="7CC83DA0" w:rsidR="007F694C" w:rsidRDefault="00704678" w:rsidP="00E97489">
      <w:pPr>
        <w:pStyle w:val="BodyTextFirstIndent"/>
        <w:spacing w:line="360" w:lineRule="auto"/>
      </w:pPr>
      <w:r>
        <w:t>T</w:t>
      </w:r>
      <w:r w:rsidR="001D4658">
        <w:t xml:space="preserve">heir age-structured assessment model </w:t>
      </w:r>
      <w:r w:rsidR="00402D63">
        <w:t xml:space="preserve">was rooted </w:t>
      </w:r>
      <w:r w:rsidR="00026F93">
        <w:t>in</w:t>
      </w:r>
      <w:r w:rsidR="001D4658">
        <w:t xml:space="preserve"> the </w:t>
      </w:r>
      <w:r w:rsidR="00402D63">
        <w:t xml:space="preserve">traditional </w:t>
      </w:r>
      <w:r w:rsidR="001D4658">
        <w:t>statistical catch at analysis (SCAA)</w:t>
      </w:r>
      <w:r w:rsidR="00402D63">
        <w:t>.  S</w:t>
      </w:r>
      <w:r w:rsidR="00E972A4">
        <w:t>ome</w:t>
      </w:r>
      <w:r w:rsidR="00402D63">
        <w:t xml:space="preserve"> features</w:t>
      </w:r>
      <w:r w:rsidR="00026F93">
        <w:t xml:space="preserve"> of their assessment model different</w:t>
      </w:r>
      <w:r w:rsidR="00402D63">
        <w:t xml:space="preserve"> from the traditional </w:t>
      </w:r>
      <w:r w:rsidR="00402D63">
        <w:lastRenderedPageBreak/>
        <w:t>SCAA</w:t>
      </w:r>
      <w:r w:rsidR="00E972A4">
        <w:t xml:space="preserve"> include</w:t>
      </w:r>
      <w:r w:rsidR="00402D63">
        <w:t>d</w:t>
      </w:r>
      <w:r w:rsidR="00E972A4">
        <w:t xml:space="preserve"> using</w:t>
      </w:r>
      <w:r w:rsidR="001D4658">
        <w:t xml:space="preserve"> data about lengths of fish caught by the commercial fishery.</w:t>
      </w:r>
      <w:r w:rsidR="00E972A4">
        <w:t xml:space="preserve">  They estimated a total of 164 free parameters.  They ha</w:t>
      </w:r>
      <w:r w:rsidR="002A188F">
        <w:t>d</w:t>
      </w:r>
      <w:r w:rsidR="00E972A4">
        <w:t xml:space="preserve"> six likelihood functions</w:t>
      </w:r>
      <w:r w:rsidR="00026F93">
        <w:t>,</w:t>
      </w:r>
      <w:r w:rsidR="00E972A4">
        <w:t xml:space="preserve"> given data about</w:t>
      </w:r>
      <w:r w:rsidR="0085755C">
        <w:t xml:space="preserve"> the</w:t>
      </w:r>
      <w:r w:rsidR="00E972A4">
        <w:t xml:space="preserve"> fishery catch</w:t>
      </w:r>
      <w:r w:rsidR="00CE1DD5">
        <w:t>es</w:t>
      </w:r>
      <w:r w:rsidR="00E972A4">
        <w:t xml:space="preserve">, </w:t>
      </w:r>
      <w:r w:rsidR="00CE1DD5">
        <w:t>age and length compositions in the fishery catches, survey indices, and maturity-at-age.  Further they ha</w:t>
      </w:r>
      <w:r w:rsidR="002A188F">
        <w:t>d</w:t>
      </w:r>
      <w:r w:rsidR="00CE1DD5">
        <w:t xml:space="preserve"> five penalized likelihood functions for </w:t>
      </w:r>
      <w:r w:rsidR="005275A6">
        <w:t xml:space="preserve">annual </w:t>
      </w:r>
      <w:r w:rsidR="00CE1DD5">
        <w:t>recruitment</w:t>
      </w:r>
      <w:r w:rsidR="005275A6">
        <w:t xml:space="preserve"> </w:t>
      </w:r>
      <w:r w:rsidR="00CE1DD5">
        <w:t xml:space="preserve">deviations, </w:t>
      </w:r>
      <w:r w:rsidR="005275A6">
        <w:t>annual fishing mortality deviations, recruitment variability, natural mortality, and survey catchability.  Those penalized likelihood functions could be viewed as priors in Bayesian statistics.</w:t>
      </w:r>
      <w:r w:rsidR="006F4A1D">
        <w:t xml:space="preserve">  They used software ADMB </w:t>
      </w:r>
      <w:r w:rsidR="006F4A1D">
        <w:fldChar w:fldCharType="begin"/>
      </w:r>
      <w:r w:rsidR="006F4A1D">
        <w:instrText xml:space="preserve"> ADDIN EN.CITE &lt;EndNote&gt;&lt;Cite&gt;&lt;Author&gt;Fournier&lt;/Author&gt;&lt;Year&gt;2012&lt;/Year&gt;&lt;RecNum&gt;5527&lt;/RecNum&gt;&lt;DisplayText&gt;(Fournier et al. 2012)&lt;/DisplayText&gt;&lt;record&gt;&lt;rec-number&gt;5527&lt;/rec-number&gt;&lt;foreign-keys&gt;&lt;key app="EN" db-id="dwsesefros9expews50pvtt1satw2psxpts9" timestamp="1380321171"&gt;5527&lt;/key&gt;&lt;/foreign-keys&gt;&lt;ref-type name="Journal Article"&gt;17&lt;/ref-type&gt;&lt;contributors&gt;&lt;authors&gt;&lt;author&gt;Fournier, David A.&lt;/author&gt;&lt;author&gt;Skaug, Hans J.&lt;/author&gt;&lt;author&gt;Ancheta, Johnoel&lt;/author&gt;&lt;author&gt;Ianelli, James&lt;/author&gt;&lt;author&gt;Magnusson, Arni&lt;/author&gt;&lt;author&gt;Maunder, Mark N.&lt;/author&gt;&lt;author&gt;Nielsen, Anders&lt;/author&gt;&lt;author&gt;Sibert, John&lt;/author&gt;&lt;/authors&gt;&lt;/contributors&gt;&lt;titles&gt;&lt;title&gt;AD Model Builder: using automatic differentiation for statistical inference of highly parameterized complex nonlinear models&lt;/title&gt;&lt;secondary-title&gt;Optimization Methods and Software&lt;/secondary-title&gt;&lt;/titles&gt;&lt;periodical&gt;&lt;full-title&gt;Optimization Methods and Software&lt;/full-title&gt;&lt;/periodical&gt;&lt;pages&gt;233-249&lt;/pages&gt;&lt;volume&gt;27&lt;/volume&gt;&lt;number&gt;2&lt;/number&gt;&lt;dates&gt;&lt;year&gt;2012&lt;/year&gt;&lt;pub-dates&gt;&lt;date&gt;2012/04/01&lt;/date&gt;&lt;/pub-dates&gt;&lt;/dates&gt;&lt;publisher&gt;Taylor &amp;amp; Francis&lt;/publisher&gt;&lt;isbn&gt;1055-6788&amp;#xD;1029-4937&lt;/isbn&gt;&lt;urls&gt;&lt;related-urls&gt;&lt;url&gt;http://dx.doi.org/10.1080/10556788.2011.597854&lt;/url&gt;&lt;/related-urls&gt;&lt;/urls&gt;&lt;electronic-resource-num&gt;10.1080/10556788.2011.597854&lt;/electronic-resource-num&gt;&lt;access-date&gt;2013/09/27&lt;/access-date&gt;&lt;/record&gt;&lt;/Cite&gt;&lt;/EndNote&gt;</w:instrText>
      </w:r>
      <w:r w:rsidR="006F4A1D">
        <w:fldChar w:fldCharType="separate"/>
      </w:r>
      <w:r w:rsidR="006F4A1D">
        <w:rPr>
          <w:noProof/>
        </w:rPr>
        <w:t>(Fournier et al. 2012)</w:t>
      </w:r>
      <w:r w:rsidR="006F4A1D">
        <w:fldChar w:fldCharType="end"/>
      </w:r>
      <w:r w:rsidR="006F4A1D">
        <w:t xml:space="preserve"> for numerical optimization where they estimated </w:t>
      </w:r>
      <w:r>
        <w:t xml:space="preserve">not only </w:t>
      </w:r>
      <w:r w:rsidR="006F4A1D">
        <w:t>parameters but also</w:t>
      </w:r>
      <w:r w:rsidR="00026F93">
        <w:t xml:space="preserve"> the</w:t>
      </w:r>
      <w:r w:rsidR="006F4A1D">
        <w:t xml:space="preserve"> uncertainties of </w:t>
      </w:r>
      <w:r>
        <w:t>parameter</w:t>
      </w:r>
      <w:r w:rsidR="006F4A1D">
        <w:t xml:space="preserve"> estimates. </w:t>
      </w:r>
    </w:p>
    <w:p w14:paraId="15B30BB5" w14:textId="4ECD0625" w:rsidR="00E052E2" w:rsidRDefault="00654811" w:rsidP="00E97489">
      <w:pPr>
        <w:pStyle w:val="BodyTextFirstIndent"/>
        <w:spacing w:line="360" w:lineRule="auto"/>
      </w:pPr>
      <w:r>
        <w:t>However</w:t>
      </w:r>
      <w:r w:rsidR="001A47BF">
        <w:t>,</w:t>
      </w:r>
      <w:r>
        <w:t xml:space="preserve"> they did not simultaneously estimate all parameters associated with </w:t>
      </w:r>
      <w:r w:rsidR="006D4639">
        <w:t>the assessment</w:t>
      </w:r>
      <w:r>
        <w:t xml:space="preserve"> within</w:t>
      </w:r>
      <w:r w:rsidR="006D4639">
        <w:t xml:space="preserve"> the model framework.  Instead, t</w:t>
      </w:r>
      <w:r>
        <w:t xml:space="preserve">hey </w:t>
      </w:r>
      <w:r w:rsidR="006D5B64">
        <w:t>externally</w:t>
      </w:r>
      <w:r>
        <w:t xml:space="preserve"> </w:t>
      </w:r>
      <w:r w:rsidR="006D5B64">
        <w:t>estimated body growth</w:t>
      </w:r>
      <w:r>
        <w:t xml:space="preserve"> parameters</w:t>
      </w:r>
      <w:r w:rsidR="006D5B64">
        <w:t>, which were used for the calculation of</w:t>
      </w:r>
      <w:r w:rsidR="005A4E03">
        <w:t xml:space="preserve"> a</w:t>
      </w:r>
      <w:r w:rsidR="006D5B64">
        <w:t xml:space="preserve"> size (length or weight)-to-age transition.  </w:t>
      </w:r>
      <w:r w:rsidR="00B87152">
        <w:t>The</w:t>
      </w:r>
      <w:r w:rsidR="006D5B64">
        <w:t xml:space="preserve"> practice</w:t>
      </w:r>
      <w:r w:rsidR="004E0939">
        <w:t xml:space="preserve"> is not rare though</w:t>
      </w:r>
      <w:r w:rsidR="00B87152">
        <w:t>,</w:t>
      </w:r>
      <w:r w:rsidR="004E0939">
        <w:t xml:space="preserve"> </w:t>
      </w:r>
      <w:r w:rsidR="00B87152">
        <w:t>where</w:t>
      </w:r>
      <w:r w:rsidR="004E0939">
        <w:t xml:space="preserve"> all parameters are not estimated at the same time within the model framework.  Although some fastidious reviewers could criticize the practice as underestimating </w:t>
      </w:r>
      <w:r w:rsidR="00B87152">
        <w:t xml:space="preserve">the </w:t>
      </w:r>
      <w:r w:rsidR="004E0939">
        <w:t>uncertainties of parameter estimates (e.g., a previous</w:t>
      </w:r>
      <w:r w:rsidR="00402D63">
        <w:t xml:space="preserve"> CIE</w:t>
      </w:r>
      <w:r w:rsidR="004E0939">
        <w:t xml:space="preserve"> reviewer),</w:t>
      </w:r>
      <w:r w:rsidR="009D2B29">
        <w:t xml:space="preserve"> I </w:t>
      </w:r>
      <w:r w:rsidR="00B87152">
        <w:t>find it acceptable,</w:t>
      </w:r>
      <w:r w:rsidR="009D2B29">
        <w:t xml:space="preserve"> because</w:t>
      </w:r>
      <w:r w:rsidR="004E0939">
        <w:t xml:space="preserve"> it would be extremely difficult to carry all uncertainties of parameter estimates in a complicated model such as the GOA POP assessment model.</w:t>
      </w:r>
      <w:r w:rsidR="00371CA4">
        <w:t xml:space="preserve">  </w:t>
      </w:r>
      <w:r w:rsidR="00B87152">
        <w:t>A practical solution</w:t>
      </w:r>
      <w:r w:rsidR="00EA5757">
        <w:t xml:space="preserve"> to the problem would be to consider additional uncertainty </w:t>
      </w:r>
      <w:r w:rsidR="00B87152">
        <w:t>as a</w:t>
      </w:r>
      <w:r w:rsidR="00EA5757">
        <w:t xml:space="preserve"> buffer </w:t>
      </w:r>
      <w:r w:rsidR="009D2B29">
        <w:t>for</w:t>
      </w:r>
      <w:r w:rsidR="00EA5757">
        <w:t xml:space="preserve"> parameter estimates, especially uncertainties</w:t>
      </w:r>
      <w:r w:rsidR="00B87152">
        <w:t xml:space="preserve"> in</w:t>
      </w:r>
      <w:r w:rsidR="00EA5757">
        <w:t xml:space="preserve"> harvest management references.</w:t>
      </w:r>
      <w:r w:rsidR="00B87152">
        <w:t xml:space="preserve">  M</w:t>
      </w:r>
      <w:r w:rsidR="00CE7D82">
        <w:t>ost</w:t>
      </w:r>
      <w:r w:rsidR="009D2B29">
        <w:t xml:space="preserve"> managers already apply th</w:t>
      </w:r>
      <w:r w:rsidR="00B87152">
        <w:t>is</w:t>
      </w:r>
      <w:r w:rsidR="009D2B29">
        <w:t xml:space="preserve"> idea by</w:t>
      </w:r>
      <w:r w:rsidR="00DC1C25">
        <w:t xml:space="preserve"> having</w:t>
      </w:r>
      <w:r w:rsidR="009D2B29">
        <w:t xml:space="preserve"> </w:t>
      </w:r>
      <w:r w:rsidR="00B87152">
        <w:t xml:space="preserve">the </w:t>
      </w:r>
      <w:r w:rsidR="009D2B29">
        <w:t>allowable biological catch (ABC)</w:t>
      </w:r>
      <w:r w:rsidR="00DC1C25">
        <w:t xml:space="preserve"> be lower </w:t>
      </w:r>
      <w:r w:rsidR="009D2B29">
        <w:t xml:space="preserve">than </w:t>
      </w:r>
      <w:r w:rsidR="00DC1C25">
        <w:t>but not equal to</w:t>
      </w:r>
      <w:r w:rsidR="00B87152">
        <w:t xml:space="preserve"> the</w:t>
      </w:r>
      <w:r w:rsidR="00DC1C25">
        <w:t xml:space="preserve"> </w:t>
      </w:r>
      <w:r w:rsidR="009D2B29">
        <w:t xml:space="preserve">maximum sustainable yield (MSY): i.e., ABC &lt; MSY rather than ABC </w:t>
      </w:r>
      <w:r w:rsidR="00B4254F" w:rsidRPr="00E041C6">
        <w:rPr>
          <w:noProof/>
          <w:position w:val="-4"/>
        </w:rPr>
        <w:object w:dxaOrig="200" w:dyaOrig="240" w14:anchorId="02757950">
          <v:shape id="_x0000_i1046" type="#_x0000_t75" alt="" style="width:10.4pt;height:12.45pt;mso-width-percent:0;mso-height-percent:0;mso-width-percent:0;mso-height-percent:0" o:ole="">
            <v:imagedata r:id="rId15" o:title=""/>
          </v:shape>
          <o:OLEObject Type="Embed" ProgID="Equation.DSMT4" ShapeID="_x0000_i1046" DrawAspect="Content" ObjectID="_1685473276" r:id="rId16"/>
        </w:object>
      </w:r>
      <w:r w:rsidR="00E041C6">
        <w:t xml:space="preserve"> </w:t>
      </w:r>
      <w:r w:rsidR="009D2B29">
        <w:t>MSY.</w:t>
      </w:r>
    </w:p>
    <w:p w14:paraId="31761572" w14:textId="6A746EF8" w:rsidR="006545F1" w:rsidRDefault="002A34D3" w:rsidP="00E97489">
      <w:pPr>
        <w:pStyle w:val="BodyTextFirstIndent"/>
        <w:spacing w:line="360" w:lineRule="auto"/>
      </w:pPr>
      <w:r>
        <w:t xml:space="preserve">I </w:t>
      </w:r>
      <w:r w:rsidR="00291895">
        <w:t>acknowledge</w:t>
      </w:r>
      <w:r w:rsidR="00E06676">
        <w:t xml:space="preserve"> and support</w:t>
      </w:r>
      <w:r>
        <w:t xml:space="preserve"> their stock assessment model</w:t>
      </w:r>
      <w:r w:rsidR="006545F1">
        <w:t xml:space="preserve">, </w:t>
      </w:r>
      <w:r w:rsidR="00FF7AE6">
        <w:t>making a few suggestions</w:t>
      </w:r>
      <w:r w:rsidR="006545F1">
        <w:t xml:space="preserve">. </w:t>
      </w:r>
    </w:p>
    <w:p w14:paraId="508B2E8D" w14:textId="41A63B54" w:rsidR="00693A27" w:rsidRDefault="00011CE2" w:rsidP="00E97489">
      <w:pPr>
        <w:pStyle w:val="Heading4"/>
        <w:numPr>
          <w:ilvl w:val="0"/>
          <w:numId w:val="34"/>
        </w:numPr>
        <w:spacing w:line="360" w:lineRule="auto"/>
      </w:pPr>
      <w:r>
        <w:t>P</w:t>
      </w:r>
      <w:r w:rsidR="002B4F1B">
        <w:t>rior</w:t>
      </w:r>
      <w:r>
        <w:t>s</w:t>
      </w:r>
    </w:p>
    <w:p w14:paraId="4D56CD4A" w14:textId="3E306384" w:rsidR="007A70F3" w:rsidRDefault="00011CE2" w:rsidP="00E97489">
      <w:pPr>
        <w:pStyle w:val="ListParagraph"/>
        <w:spacing w:line="360" w:lineRule="auto"/>
      </w:pPr>
      <w:r>
        <w:t xml:space="preserve">They applied </w:t>
      </w:r>
      <w:r w:rsidR="009274B1">
        <w:t xml:space="preserve">priors </w:t>
      </w:r>
      <w:r>
        <w:t>of natural mortality (M), catchability of the bottom trawl survey (q), and recruitment variability (</w:t>
      </w:r>
      <w:bookmarkStart w:id="1" w:name="_Hlk69900823"/>
      <w:r w:rsidR="00B4254F" w:rsidRPr="002B4F1B">
        <w:rPr>
          <w:noProof/>
          <w:position w:val="-12"/>
        </w:rPr>
        <w:object w:dxaOrig="300" w:dyaOrig="360" w14:anchorId="1174E16C">
          <v:shape id="_x0000_i1045" type="#_x0000_t75" alt="" style="width:15.25pt;height:18pt;mso-width-percent:0;mso-height-percent:0;mso-width-percent:0;mso-height-percent:0" o:ole="">
            <v:imagedata r:id="rId17" o:title=""/>
          </v:shape>
          <o:OLEObject Type="Embed" ProgID="Equation.DSMT4" ShapeID="_x0000_i1045" DrawAspect="Content" ObjectID="_1685473277" r:id="rId18"/>
        </w:object>
      </w:r>
      <w:bookmarkEnd w:id="1"/>
      <w:r>
        <w:t>), respectively</w:t>
      </w:r>
      <w:r w:rsidR="009274B1">
        <w:t xml:space="preserve"> for the assessment.  The prior point value and CV for M, q, and </w:t>
      </w:r>
      <w:r w:rsidR="00B4254F" w:rsidRPr="002B4F1B">
        <w:rPr>
          <w:noProof/>
          <w:position w:val="-12"/>
        </w:rPr>
        <w:object w:dxaOrig="300" w:dyaOrig="360" w14:anchorId="20DCDF04">
          <v:shape id="_x0000_i1044" type="#_x0000_t75" alt="" style="width:15.25pt;height:18pt;mso-width-percent:0;mso-height-percent:0;mso-width-percent:0;mso-height-percent:0" o:ole="">
            <v:imagedata r:id="rId17" o:title=""/>
          </v:shape>
          <o:OLEObject Type="Embed" ProgID="Equation.DSMT4" ShapeID="_x0000_i1044" DrawAspect="Content" ObjectID="_1685473278" r:id="rId19"/>
        </w:object>
      </w:r>
      <w:r w:rsidR="009274B1">
        <w:t xml:space="preserve"> were as follows: 0.0614/year with CV of 10%, 1.15 with CV of 45%, and 1.7 with CV of 20%, respectively. </w:t>
      </w:r>
      <w:r w:rsidR="0055046A">
        <w:t xml:space="preserve"> </w:t>
      </w:r>
      <w:r w:rsidR="009274B1">
        <w:t xml:space="preserve">I am a bit surprised that </w:t>
      </w:r>
      <w:r w:rsidR="007517CA">
        <w:t>the larger</w:t>
      </w:r>
      <w:r w:rsidR="009274B1">
        <w:t xml:space="preserve"> weight (i.e., </w:t>
      </w:r>
      <w:r w:rsidR="007517CA">
        <w:t xml:space="preserve">the </w:t>
      </w:r>
      <w:r w:rsidR="009274B1">
        <w:t xml:space="preserve">lower CV) was given to M while the smaller weight (i.e., the higher CV) was assigned to q.  Recalling that natural mortality (M) cannot be controlled to any degree and varies by year as well as by age while catchability (q) </w:t>
      </w:r>
      <w:r w:rsidR="009274B1">
        <w:lastRenderedPageBreak/>
        <w:t xml:space="preserve">could be somewhat controlled and the survey gear has been standardized over time, I wonder about </w:t>
      </w:r>
      <w:r w:rsidR="0055046A">
        <w:t xml:space="preserve">their </w:t>
      </w:r>
      <w:r w:rsidR="009274B1">
        <w:t>reasoning behind the strong belief given to the prior of M vs. the weak belief assigned to the prior of q.</w:t>
      </w:r>
      <w:r w:rsidR="0055046A">
        <w:t xml:space="preserve">  Also the prior value of</w:t>
      </w:r>
      <w:r w:rsidR="009274B1">
        <w:t xml:space="preserve"> </w:t>
      </w:r>
      <w:r w:rsidR="00B4254F" w:rsidRPr="002B4F1B">
        <w:rPr>
          <w:noProof/>
          <w:position w:val="-12"/>
        </w:rPr>
        <w:object w:dxaOrig="300" w:dyaOrig="360" w14:anchorId="13D6600F">
          <v:shape id="_x0000_i1043" type="#_x0000_t75" alt="" style="width:15.25pt;height:18pt;mso-width-percent:0;mso-height-percent:0;mso-width-percent:0;mso-height-percent:0" o:ole="">
            <v:imagedata r:id="rId17" o:title=""/>
          </v:shape>
          <o:OLEObject Type="Embed" ProgID="Equation.DSMT4" ShapeID="_x0000_i1043" DrawAspect="Content" ObjectID="_1685473279" r:id="rId20"/>
        </w:object>
      </w:r>
      <w:r w:rsidR="0055046A">
        <w:t xml:space="preserve">, 1.7 seemed to be too large because it </w:t>
      </w:r>
      <w:r w:rsidR="00704678">
        <w:t>wa</w:t>
      </w:r>
      <w:r w:rsidR="0055046A">
        <w:t xml:space="preserve">s in </w:t>
      </w:r>
      <w:r w:rsidR="007A70F3">
        <w:t xml:space="preserve">the natural </w:t>
      </w:r>
      <w:r w:rsidR="0055046A">
        <w:t xml:space="preserve">logarithm: e.g., </w:t>
      </w:r>
      <w:r w:rsidR="00B4254F" w:rsidRPr="007A70F3">
        <w:rPr>
          <w:noProof/>
          <w:position w:val="-14"/>
        </w:rPr>
        <w:object w:dxaOrig="1740" w:dyaOrig="400" w14:anchorId="5298F7A5">
          <v:shape id="_x0000_i1042" type="#_x0000_t75" alt="" style="width:87.25pt;height:20.1pt;mso-width-percent:0;mso-height-percent:0;mso-width-percent:0;mso-height-percent:0" o:ole="">
            <v:imagedata r:id="rId21" o:title=""/>
          </v:shape>
          <o:OLEObject Type="Embed" ProgID="Equation.DSMT4" ShapeID="_x0000_i1042" DrawAspect="Content" ObjectID="_1685473280" r:id="rId22"/>
        </w:object>
      </w:r>
      <w:r w:rsidR="007A70F3">
        <w:t xml:space="preserve">, where </w:t>
      </w:r>
      <w:r w:rsidR="00B4254F" w:rsidRPr="007A70F3">
        <w:rPr>
          <w:noProof/>
          <w:position w:val="-6"/>
        </w:rPr>
        <w:object w:dxaOrig="279" w:dyaOrig="320" w14:anchorId="3B6D1305">
          <v:shape id="_x0000_i1041" type="#_x0000_t75" alt="" style="width:13.85pt;height:16.6pt;mso-width-percent:0;mso-height-percent:0;mso-width-percent:0;mso-height-percent:0" o:ole="">
            <v:imagedata r:id="rId23" o:title=""/>
          </v:shape>
          <o:OLEObject Type="Embed" ProgID="Equation.DSMT4" ShapeID="_x0000_i1041" DrawAspect="Content" ObjectID="_1685473281" r:id="rId24"/>
        </w:object>
      </w:r>
      <w:r w:rsidR="007A70F3">
        <w:t xml:space="preserve">~ N(0, </w:t>
      </w:r>
      <w:r w:rsidR="00B4254F" w:rsidRPr="002B4F1B">
        <w:rPr>
          <w:noProof/>
          <w:position w:val="-12"/>
        </w:rPr>
        <w:object w:dxaOrig="380" w:dyaOrig="380" w14:anchorId="17213D7B">
          <v:shape id="_x0000_i1040" type="#_x0000_t75" alt="" style="width:18.7pt;height:19.4pt;mso-width-percent:0;mso-height-percent:0;mso-width-percent:0;mso-height-percent:0" o:ole="">
            <v:imagedata r:id="rId25" o:title=""/>
          </v:shape>
          <o:OLEObject Type="Embed" ProgID="Equation.DSMT4" ShapeID="_x0000_i1040" DrawAspect="Content" ObjectID="_1685473282" r:id="rId26"/>
        </w:object>
      </w:r>
      <w:r w:rsidR="007A70F3">
        <w:t xml:space="preserve">).  </w:t>
      </w:r>
    </w:p>
    <w:p w14:paraId="484AACF6" w14:textId="3461CDE8" w:rsidR="00011CE2" w:rsidRDefault="009274B1" w:rsidP="00E97489">
      <w:pPr>
        <w:pStyle w:val="ListParagraph"/>
        <w:spacing w:line="360" w:lineRule="auto"/>
      </w:pPr>
      <w:r>
        <w:t xml:space="preserve">More importantly I suggest </w:t>
      </w:r>
      <w:r w:rsidR="007A70F3">
        <w:t>they</w:t>
      </w:r>
      <w:r>
        <w:t xml:space="preserve"> should try to estimate M without adding its prior, treating it as a free parameter</w:t>
      </w:r>
      <w:r w:rsidR="007A70F3">
        <w:t xml:space="preserve"> under a state-space framework.</w:t>
      </w:r>
      <w:r>
        <w:t xml:space="preserve">  Natural mortality is one of the key parameters that derive the population dynamics.  One of the merits of a state-space model framework lies in </w:t>
      </w:r>
      <w:r w:rsidR="007517CA">
        <w:t xml:space="preserve">the </w:t>
      </w:r>
      <w:r>
        <w:t xml:space="preserve">estimability of M without incorporating its prior information.   </w:t>
      </w:r>
    </w:p>
    <w:p w14:paraId="166C7899" w14:textId="7AB8BAB3" w:rsidR="00011CE2" w:rsidRPr="002D555C" w:rsidRDefault="00ED240C" w:rsidP="00E97489">
      <w:pPr>
        <w:pStyle w:val="Heading4"/>
        <w:numPr>
          <w:ilvl w:val="0"/>
          <w:numId w:val="34"/>
        </w:numPr>
        <w:spacing w:line="360" w:lineRule="auto"/>
      </w:pPr>
      <w:r>
        <w:t xml:space="preserve">Typos </w:t>
      </w:r>
      <w:r w:rsidR="002C5DB2">
        <w:t>in</w:t>
      </w:r>
      <w:r>
        <w:t xml:space="preserve"> all p</w:t>
      </w:r>
      <w:r w:rsidR="0096620C">
        <w:t>enalized like</w:t>
      </w:r>
      <w:r w:rsidR="00426206">
        <w:t>l</w:t>
      </w:r>
      <w:r w:rsidR="0096620C">
        <w:t>ihood</w:t>
      </w:r>
      <w:r>
        <w:t xml:space="preserve"> functions</w:t>
      </w:r>
      <w:r w:rsidR="00D53F17">
        <w:t xml:space="preserve"> in the </w:t>
      </w:r>
      <w:r w:rsidR="00996C63">
        <w:t xml:space="preserve">assessment </w:t>
      </w:r>
      <w:r w:rsidR="00D53F17">
        <w:t xml:space="preserve">report </w:t>
      </w:r>
    </w:p>
    <w:p w14:paraId="04F2728C" w14:textId="4719F834" w:rsidR="000C238B" w:rsidRPr="00EC48E6" w:rsidRDefault="00D53F17" w:rsidP="00E97489">
      <w:pPr>
        <w:pStyle w:val="ListParagraph"/>
        <w:spacing w:line="360" w:lineRule="auto"/>
      </w:pPr>
      <w:r>
        <w:t xml:space="preserve">Out of many typos in the assessment report </w:t>
      </w:r>
      <w:r>
        <w:fldChar w:fldCharType="begin"/>
      </w:r>
      <w:r>
        <w:instrText xml:space="preserve"> ADDIN EN.CITE &lt;EndNote&gt;&lt;Cite&gt;&lt;Author&gt;Hulson&lt;/Author&gt;&lt;Year&gt;2020&lt;/Year&gt;&lt;RecNum&gt;5745&lt;/RecNum&gt;&lt;DisplayText&gt;(Hulson et al. 2020)&lt;/DisplayText&gt;&lt;record&gt;&lt;rec-number&gt;5745&lt;/rec-number&gt;&lt;foreign-keys&gt;&lt;key app="EN" db-id="dwsesefros9expews50pvtt1satw2psxpts9" timestamp="1617862691"&gt;5745&lt;/key&gt;&lt;/foreign-keys&gt;&lt;ref-type name="Report"&gt;27&lt;/ref-type&gt;&lt;contributors&gt;&lt;authors&gt;&lt;author&gt;Hulson, Peter-John F&lt;/author&gt;&lt;author&gt;Lunsford, C R&lt;/author&gt;&lt;author&gt;Fissel, B&lt;/author&gt;&lt;author&gt;Jones, D&lt;/author&gt;&lt;/authors&gt;&lt;tertiary-authors&gt;&lt;author&gt;NPFMC Gulf of Alaska SAFE&lt;/author&gt;&lt;/tertiary-authors&gt;&lt;/contributors&gt;&lt;titles&gt;&lt;title&gt;Assessment of the Pacific ocean perch stock in the Gulf of Alaska&lt;/title&gt;&lt;/titles&gt;&lt;pages&gt;79&lt;/pages&gt;&lt;dates&gt;&lt;year&gt;2020&lt;/year&gt;&lt;/dates&gt;&lt;publisher&gt;NPFMC Gulf of Alaska SAFE&lt;/publisher&gt;&lt;urls&gt;&lt;/urls&gt;&lt;/record&gt;&lt;/Cite&gt;&lt;/EndNote&gt;</w:instrText>
      </w:r>
      <w:r>
        <w:fldChar w:fldCharType="separate"/>
      </w:r>
      <w:r>
        <w:rPr>
          <w:noProof/>
        </w:rPr>
        <w:t>(Hulson et al. 2020)</w:t>
      </w:r>
      <w:r>
        <w:fldChar w:fldCharType="end"/>
      </w:r>
      <w:r>
        <w:t xml:space="preserve"> that I found, I would like them to correct </w:t>
      </w:r>
      <w:r w:rsidR="007517CA">
        <w:t xml:space="preserve">the </w:t>
      </w:r>
      <w:r>
        <w:t>typos in all penalized likelihood functions</w:t>
      </w:r>
      <w:r w:rsidR="008D6D93">
        <w:t xml:space="preserve">.  </w:t>
      </w:r>
      <w:r w:rsidR="002C5DB2">
        <w:t xml:space="preserve">I </w:t>
      </w:r>
      <w:r w:rsidR="008D6D93">
        <w:t>had been confused by</w:t>
      </w:r>
      <w:r w:rsidR="007517CA">
        <w:t xml:space="preserve"> the</w:t>
      </w:r>
      <w:r w:rsidR="008D6D93">
        <w:t>m</w:t>
      </w:r>
      <w:r w:rsidR="002C5DB2">
        <w:t xml:space="preserve"> until </w:t>
      </w:r>
      <w:r w:rsidR="007517CA">
        <w:t xml:space="preserve">I </w:t>
      </w:r>
      <w:r w:rsidR="002C5DB2">
        <w:t>check</w:t>
      </w:r>
      <w:r w:rsidR="007517CA">
        <w:t>ed</w:t>
      </w:r>
      <w:r w:rsidR="002C5DB2">
        <w:t xml:space="preserve"> TPL </w:t>
      </w:r>
      <w:r w:rsidR="008D6D93">
        <w:t>file</w:t>
      </w:r>
      <w:r w:rsidR="009A0426">
        <w:t xml:space="preserve"> in ADMB (file name: </w:t>
      </w:r>
      <w:proofErr w:type="spellStart"/>
      <w:r w:rsidR="009A0426">
        <w:t>pop.tpl</w:t>
      </w:r>
      <w:proofErr w:type="spellEnd"/>
      <w:r w:rsidR="009A0426">
        <w:t>)</w:t>
      </w:r>
      <w:r w:rsidR="002C5DB2">
        <w:t>.</w:t>
      </w:r>
      <w:r w:rsidR="008D6D93">
        <w:t xml:space="preserve">  I show corrected equations below. </w:t>
      </w:r>
    </w:p>
    <w:p w14:paraId="79C1F63B" w14:textId="6C9B1ECB" w:rsidR="000C238B" w:rsidRDefault="009A337C" w:rsidP="00E97489">
      <w:pPr>
        <w:pStyle w:val="ListParagraph"/>
        <w:spacing w:line="360" w:lineRule="auto"/>
      </w:pPr>
      <w:r>
        <w:t xml:space="preserve">             </w:t>
      </w:r>
      <w:r w:rsidR="000C238B">
        <w:t>The left column (</w:t>
      </w:r>
      <w:r w:rsidR="00257209">
        <w:t xml:space="preserve">with </w:t>
      </w:r>
      <w:proofErr w:type="gramStart"/>
      <w:r w:rsidR="000C238B">
        <w:t>typo</w:t>
      </w:r>
      <w:r w:rsidR="00257209">
        <w:t>s</w:t>
      </w:r>
      <w:r w:rsidR="000C238B">
        <w:t>)</w:t>
      </w:r>
      <w:r w:rsidR="003131C1">
        <w:t xml:space="preserve">   </w:t>
      </w:r>
      <w:proofErr w:type="gramEnd"/>
      <w:r w:rsidR="003131C1">
        <w:t xml:space="preserve"> </w:t>
      </w:r>
      <w:r w:rsidR="000C238B">
        <w:t xml:space="preserve"> </w:t>
      </w:r>
      <w:r w:rsidR="000C238B">
        <w:sym w:font="Wingdings" w:char="F0E8"/>
      </w:r>
      <w:r w:rsidR="000C238B">
        <w:t xml:space="preserve">   The right column (correct)</w:t>
      </w:r>
    </w:p>
    <w:p w14:paraId="0920699B" w14:textId="689F7AAF" w:rsidR="00D53F17" w:rsidRDefault="00D53F17" w:rsidP="00E97489">
      <w:pPr>
        <w:pStyle w:val="ListParagraph"/>
        <w:spacing w:line="360" w:lineRule="auto"/>
        <w:jc w:val="center"/>
      </w:pPr>
    </w:p>
    <w:p w14:paraId="06F711B1" w14:textId="3C95030B" w:rsidR="009A337C" w:rsidRDefault="00B4254F" w:rsidP="00E97489">
      <w:pPr>
        <w:pStyle w:val="ListParagraph"/>
        <w:spacing w:line="360" w:lineRule="auto"/>
        <w:jc w:val="right"/>
      </w:pPr>
      <w:r w:rsidRPr="005B192C">
        <w:rPr>
          <w:noProof/>
          <w:position w:val="-36"/>
        </w:rPr>
        <w:object w:dxaOrig="2480" w:dyaOrig="900" w14:anchorId="0B94C81A">
          <v:shape id="_x0000_i1039" type="#_x0000_t75" alt="" style="width:123.9pt;height:45pt;mso-width-percent:0;mso-height-percent:0;mso-width-percent:0;mso-height-percent:0" o:ole="">
            <v:imagedata r:id="rId27" o:title=""/>
          </v:shape>
          <o:OLEObject Type="Embed" ProgID="Equation.DSMT4" ShapeID="_x0000_i1039" DrawAspect="Content" ObjectID="_1685473283" r:id="rId28"/>
        </w:object>
      </w:r>
      <w:r w:rsidR="00C11008">
        <w:t xml:space="preserve">  </w:t>
      </w:r>
      <w:r w:rsidR="000C238B">
        <w:t xml:space="preserve">  </w:t>
      </w:r>
      <w:r w:rsidR="00C11008">
        <w:t xml:space="preserve"> </w:t>
      </w:r>
      <w:r w:rsidR="00C11008">
        <w:sym w:font="Wingdings" w:char="F0E8"/>
      </w:r>
      <w:r w:rsidR="000C238B">
        <w:t xml:space="preserve"> </w:t>
      </w:r>
      <w:r w:rsidR="00C11008">
        <w:t xml:space="preserve"> </w:t>
      </w:r>
      <w:r w:rsidR="000C238B">
        <w:t xml:space="preserve">  </w:t>
      </w:r>
      <w:r w:rsidRPr="001D721F">
        <w:rPr>
          <w:noProof/>
          <w:position w:val="-38"/>
        </w:rPr>
        <w:object w:dxaOrig="3220" w:dyaOrig="940" w14:anchorId="38550EDE">
          <v:shape id="_x0000_i1038" type="#_x0000_t75" alt="" style="width:161.3pt;height:47.75pt;mso-width-percent:0;mso-height-percent:0;mso-width-percent:0;mso-height-percent:0" o:ole="">
            <v:imagedata r:id="rId29" o:title=""/>
          </v:shape>
          <o:OLEObject Type="Embed" ProgID="Equation.DSMT4" ShapeID="_x0000_i1038" DrawAspect="Content" ObjectID="_1685473284" r:id="rId30"/>
        </w:object>
      </w:r>
      <w:r w:rsidR="009A337C">
        <w:t xml:space="preserve">     </w:t>
      </w:r>
      <w:r w:rsidR="009A337C">
        <w:tab/>
      </w:r>
      <w:r w:rsidR="003E7616">
        <w:t>(</w:t>
      </w:r>
      <w:bookmarkStart w:id="2" w:name="_Hlk70011931"/>
      <w:r w:rsidR="009A337C">
        <w:fldChar w:fldCharType="begin"/>
      </w:r>
      <w:r w:rsidR="009A337C">
        <w:instrText xml:space="preserve"> MACROBUTTON MTPlaceRef \* MERGEFORMAT </w:instrText>
      </w:r>
      <w:r w:rsidR="009A337C">
        <w:fldChar w:fldCharType="begin"/>
      </w:r>
      <w:r w:rsidR="009A337C">
        <w:instrText xml:space="preserve"> SEQ MTEqn \h \* MERGEFORMAT </w:instrText>
      </w:r>
      <w:r w:rsidR="009A337C">
        <w:fldChar w:fldCharType="end"/>
      </w:r>
      <w:bookmarkStart w:id="3" w:name="ZEqnNum416169"/>
      <w:r w:rsidR="009A337C">
        <w:fldChar w:fldCharType="begin"/>
      </w:r>
      <w:r w:rsidR="009A337C">
        <w:instrText xml:space="preserve"> SEQ MTEqn \c \* Arabic \* MERGEFORMAT </w:instrText>
      </w:r>
      <w:r w:rsidR="009A337C">
        <w:fldChar w:fldCharType="separate"/>
      </w:r>
      <w:r w:rsidR="0088027D">
        <w:rPr>
          <w:noProof/>
        </w:rPr>
        <w:instrText>1</w:instrText>
      </w:r>
      <w:r w:rsidR="009A337C">
        <w:fldChar w:fldCharType="end"/>
      </w:r>
      <w:bookmarkEnd w:id="3"/>
      <w:r w:rsidR="009A337C">
        <w:fldChar w:fldCharType="end"/>
      </w:r>
      <w:bookmarkEnd w:id="2"/>
      <w:r w:rsidR="003E7616">
        <w:t>)</w:t>
      </w:r>
    </w:p>
    <w:p w14:paraId="328C9C64" w14:textId="57586B50" w:rsidR="002C5DB2" w:rsidRDefault="002C5DB2" w:rsidP="00E97489">
      <w:pPr>
        <w:pStyle w:val="ListParagraph"/>
        <w:spacing w:line="360" w:lineRule="auto"/>
        <w:jc w:val="center"/>
      </w:pPr>
    </w:p>
    <w:p w14:paraId="3834CA20" w14:textId="1A15E299" w:rsidR="0062344A" w:rsidRDefault="00B4254F" w:rsidP="00E97489">
      <w:pPr>
        <w:pStyle w:val="ListParagraph"/>
        <w:spacing w:line="360" w:lineRule="auto"/>
        <w:jc w:val="right"/>
      </w:pPr>
      <w:r w:rsidRPr="00426206">
        <w:rPr>
          <w:noProof/>
          <w:position w:val="-34"/>
        </w:rPr>
        <w:object w:dxaOrig="3379" w:dyaOrig="800" w14:anchorId="12F95322">
          <v:shape id="_x0000_i1037" type="#_x0000_t75" alt="" style="width:168.25pt;height:40.15pt;mso-width-percent:0;mso-height-percent:0;mso-width-percent:0;mso-height-percent:0" o:ole="">
            <v:imagedata r:id="rId31" o:title=""/>
          </v:shape>
          <o:OLEObject Type="Embed" ProgID="Equation.DSMT4" ShapeID="_x0000_i1037" DrawAspect="Content" ObjectID="_1685473285" r:id="rId32"/>
        </w:object>
      </w:r>
      <w:r w:rsidR="000C238B">
        <w:t xml:space="preserve">   </w:t>
      </w:r>
      <w:r w:rsidR="000C238B">
        <w:sym w:font="Wingdings" w:char="F0E8"/>
      </w:r>
      <w:r w:rsidR="000C238B">
        <w:t xml:space="preserve">  </w:t>
      </w:r>
      <w:r w:rsidR="0062344A">
        <w:t xml:space="preserve">  </w:t>
      </w:r>
      <w:r w:rsidRPr="00426206">
        <w:rPr>
          <w:noProof/>
          <w:position w:val="-34"/>
        </w:rPr>
        <w:object w:dxaOrig="3680" w:dyaOrig="800" w14:anchorId="35C2E75D">
          <v:shape id="_x0000_i1036" type="#_x0000_t75" alt="" style="width:184.85pt;height:40.15pt;mso-width-percent:0;mso-height-percent:0;mso-width-percent:0;mso-height-percent:0" o:ole="">
            <v:imagedata r:id="rId33" o:title=""/>
          </v:shape>
          <o:OLEObject Type="Embed" ProgID="Equation.DSMT4" ShapeID="_x0000_i1036" DrawAspect="Content" ObjectID="_1685473286" r:id="rId34"/>
        </w:object>
      </w:r>
      <w:r w:rsidR="0062344A">
        <w:t xml:space="preserve">  </w:t>
      </w:r>
      <w:r w:rsidR="003E7616">
        <w:t>(</w:t>
      </w:r>
      <w:r w:rsidR="003E7616">
        <w:fldChar w:fldCharType="begin"/>
      </w:r>
      <w:r w:rsidR="003E7616">
        <w:instrText xml:space="preserve"> MACROBUTTON MTPlaceRef \* MERGEFORMAT </w:instrText>
      </w:r>
      <w:r w:rsidR="003E7616">
        <w:fldChar w:fldCharType="begin"/>
      </w:r>
      <w:r w:rsidR="003E7616">
        <w:instrText xml:space="preserve"> SEQ MTEqn \h \* MERGEFORMAT </w:instrText>
      </w:r>
      <w:r w:rsidR="003E7616">
        <w:fldChar w:fldCharType="end"/>
      </w:r>
      <w:fldSimple w:instr=" SEQ MTEqn \c \* Arabic \* MERGEFORMAT ">
        <w:r w:rsidR="0088027D">
          <w:rPr>
            <w:noProof/>
          </w:rPr>
          <w:instrText>2</w:instrText>
        </w:r>
      </w:fldSimple>
      <w:r w:rsidR="003E7616">
        <w:fldChar w:fldCharType="end"/>
      </w:r>
      <w:r w:rsidR="003E7616">
        <w:t>)</w:t>
      </w:r>
    </w:p>
    <w:p w14:paraId="34872B32" w14:textId="4090FCC6" w:rsidR="000C238B" w:rsidRDefault="000C238B" w:rsidP="00E97489">
      <w:pPr>
        <w:spacing w:line="360" w:lineRule="auto"/>
      </w:pPr>
    </w:p>
    <w:p w14:paraId="405A195F" w14:textId="44632C9F" w:rsidR="00CA178E" w:rsidRPr="00CB2C9A" w:rsidRDefault="00B4254F" w:rsidP="00E97489">
      <w:pPr>
        <w:pStyle w:val="ListParagraph"/>
        <w:spacing w:line="360" w:lineRule="auto"/>
        <w:jc w:val="right"/>
      </w:pPr>
      <w:r w:rsidRPr="003A7F5C">
        <w:rPr>
          <w:noProof/>
          <w:position w:val="-32"/>
        </w:rPr>
        <w:object w:dxaOrig="1719" w:dyaOrig="620" w14:anchorId="4236B979">
          <v:shape id="_x0000_i1035" type="#_x0000_t75" alt="" style="width:85.85pt;height:31.15pt;mso-width-percent:0;mso-height-percent:0;mso-width-percent:0;mso-height-percent:0" o:ole="">
            <v:imagedata r:id="rId35" o:title=""/>
          </v:shape>
          <o:OLEObject Type="Embed" ProgID="Equation.DSMT4" ShapeID="_x0000_i1035" DrawAspect="Content" ObjectID="_1685473287" r:id="rId36"/>
        </w:object>
      </w:r>
      <w:r w:rsidR="003131C1">
        <w:t xml:space="preserve">    </w:t>
      </w:r>
      <w:r w:rsidR="003131C1">
        <w:sym w:font="Wingdings" w:char="F0E8"/>
      </w:r>
      <w:r w:rsidR="003131C1">
        <w:t xml:space="preserve">    </w:t>
      </w:r>
      <w:r w:rsidRPr="003A7F5C">
        <w:rPr>
          <w:noProof/>
          <w:position w:val="-32"/>
        </w:rPr>
        <w:object w:dxaOrig="1840" w:dyaOrig="620" w14:anchorId="6903FA3B">
          <v:shape id="_x0000_i1034" type="#_x0000_t75" alt="" style="width:92.1pt;height:31.15pt;mso-width-percent:0;mso-height-percent:0;mso-width-percent:0;mso-height-percent:0" o:ole="">
            <v:imagedata r:id="rId37" o:title=""/>
          </v:shape>
          <o:OLEObject Type="Embed" ProgID="Equation.DSMT4" ShapeID="_x0000_i1034" DrawAspect="Content" ObjectID="_1685473288" r:id="rId38"/>
        </w:object>
      </w:r>
      <w:r w:rsidR="00CA178E">
        <w:t xml:space="preserve">                                   </w:t>
      </w:r>
      <w:r w:rsidR="003E7616">
        <w:t>(</w:t>
      </w:r>
      <w:r w:rsidR="003E7616">
        <w:fldChar w:fldCharType="begin"/>
      </w:r>
      <w:r w:rsidR="003E7616">
        <w:instrText xml:space="preserve"> MACROBUTTON MTPlaceRef \* MERGEFORMAT </w:instrText>
      </w:r>
      <w:r w:rsidR="003E7616">
        <w:fldChar w:fldCharType="begin"/>
      </w:r>
      <w:r w:rsidR="003E7616">
        <w:instrText xml:space="preserve"> SEQ MTEqn \h \* MERGEFORMAT </w:instrText>
      </w:r>
      <w:r w:rsidR="003E7616">
        <w:fldChar w:fldCharType="end"/>
      </w:r>
      <w:fldSimple w:instr=" SEQ MTEqn \c \* Arabic \* MERGEFORMAT ">
        <w:r w:rsidR="0088027D">
          <w:rPr>
            <w:noProof/>
          </w:rPr>
          <w:instrText>3</w:instrText>
        </w:r>
      </w:fldSimple>
      <w:r w:rsidR="003E7616">
        <w:fldChar w:fldCharType="end"/>
      </w:r>
      <w:r w:rsidR="003E7616">
        <w:t>)</w:t>
      </w:r>
    </w:p>
    <w:p w14:paraId="3156024B" w14:textId="6BC4659E" w:rsidR="003E7616" w:rsidRPr="008E2F10" w:rsidRDefault="0027094C" w:rsidP="00E97489">
      <w:pPr>
        <w:pStyle w:val="Heading4"/>
        <w:numPr>
          <w:ilvl w:val="0"/>
          <w:numId w:val="34"/>
        </w:numPr>
        <w:spacing w:line="360" w:lineRule="auto"/>
      </w:pPr>
      <w:r w:rsidRPr="008E2F10">
        <w:lastRenderedPageBreak/>
        <w:t>T</w:t>
      </w:r>
      <w:r w:rsidR="003E7616" w:rsidRPr="008E2F10">
        <w:t xml:space="preserve">he prior form </w:t>
      </w:r>
      <w:r w:rsidRPr="008E2F10">
        <w:t xml:space="preserve">is still questionable </w:t>
      </w:r>
      <w:r w:rsidR="000327DB" w:rsidRPr="008E2F10">
        <w:t>even after the typo</w:t>
      </w:r>
      <w:r w:rsidRPr="008E2F10">
        <w:t xml:space="preserve"> is corrected</w:t>
      </w:r>
    </w:p>
    <w:p w14:paraId="3EAF681B" w14:textId="2A718A38" w:rsidR="0027094C" w:rsidRPr="00FA43CB" w:rsidRDefault="00586FC7" w:rsidP="00E97489">
      <w:pPr>
        <w:pStyle w:val="ListParagraph"/>
        <w:spacing w:line="360" w:lineRule="auto"/>
        <w:ind w:left="720"/>
      </w:pPr>
      <w:r w:rsidRPr="00FA43CB">
        <w:t>What they meant with the</w:t>
      </w:r>
      <w:r w:rsidR="003E7616" w:rsidRPr="00FA43CB">
        <w:t xml:space="preserve"> prior form for M, q, and </w:t>
      </w:r>
      <w:r w:rsidR="00B4254F" w:rsidRPr="00FA43CB">
        <w:rPr>
          <w:noProof/>
          <w:position w:val="-12"/>
        </w:rPr>
        <w:object w:dxaOrig="300" w:dyaOrig="360" w14:anchorId="401A3FD9">
          <v:shape id="_x0000_i1033" type="#_x0000_t75" alt="" style="width:15.25pt;height:18pt;mso-width-percent:0;mso-height-percent:0;mso-width-percent:0;mso-height-percent:0" o:ole="">
            <v:imagedata r:id="rId17" o:title=""/>
          </v:shape>
          <o:OLEObject Type="Embed" ProgID="Equation.DSMT4" ShapeID="_x0000_i1033" DrawAspect="Content" ObjectID="_1685473289" r:id="rId39"/>
        </w:object>
      </w:r>
      <w:r w:rsidR="00D532D5" w:rsidRPr="00FA43CB">
        <w:t xml:space="preserve"> </w:t>
      </w:r>
      <w:r w:rsidR="003E7616" w:rsidRPr="00FA43CB">
        <w:t>was</w:t>
      </w:r>
      <w:r w:rsidR="00FA43CB">
        <w:t xml:space="preserve"> at</w:t>
      </w:r>
      <w:r w:rsidR="003E7616" w:rsidRPr="00FA43CB">
        <w:t xml:space="preserve"> the right </w:t>
      </w:r>
      <w:r w:rsidR="00FA43CB">
        <w:t xml:space="preserve">side </w:t>
      </w:r>
      <w:r w:rsidR="003E7616" w:rsidRPr="00FA43CB">
        <w:t xml:space="preserve">in eq </w:t>
      </w:r>
      <w:r w:rsidR="003E7616" w:rsidRPr="00FA43CB">
        <w:fldChar w:fldCharType="begin"/>
      </w:r>
      <w:r w:rsidR="003E7616" w:rsidRPr="00FA43CB">
        <w:instrText xml:space="preserve"> GOTOBUTTON ZEqnNum416169  \* MERGEFORMAT </w:instrText>
      </w:r>
      <w:fldSimple w:instr=" REF ZEqnNum416169 \* Charformat \! \* MERGEFORMAT ">
        <w:r w:rsidR="0088027D">
          <w:instrText>1</w:instrText>
        </w:r>
      </w:fldSimple>
      <w:r w:rsidR="003E7616" w:rsidRPr="00FA43CB">
        <w:fldChar w:fldCharType="end"/>
      </w:r>
      <w:r w:rsidR="00922EB5" w:rsidRPr="00FA43CB">
        <w:t xml:space="preserve">.  If </w:t>
      </w:r>
      <w:r w:rsidR="00FA43CB">
        <w:t>they</w:t>
      </w:r>
      <w:r w:rsidR="00922EB5" w:rsidRPr="00FA43CB">
        <w:t xml:space="preserve"> don’t agree with me, then </w:t>
      </w:r>
      <w:r w:rsidR="00FA43CB">
        <w:t>they must</w:t>
      </w:r>
      <w:r w:rsidR="00922EB5" w:rsidRPr="00FA43CB">
        <w:t xml:space="preserve"> check TPL </w:t>
      </w:r>
      <w:r w:rsidR="00487965">
        <w:t>file</w:t>
      </w:r>
      <w:r w:rsidR="00922EB5" w:rsidRPr="00FA43CB">
        <w:t>: e.g., see line 943 – 952 in “</w:t>
      </w:r>
      <w:proofErr w:type="spellStart"/>
      <w:r w:rsidR="00922EB5" w:rsidRPr="00FA43CB">
        <w:t>pop.tpl</w:t>
      </w:r>
      <w:proofErr w:type="spellEnd"/>
      <w:r w:rsidR="00922EB5" w:rsidRPr="00FA43CB">
        <w:t>”.   Even after correct</w:t>
      </w:r>
      <w:r w:rsidRPr="00FA43CB">
        <w:t>ing</w:t>
      </w:r>
      <w:r w:rsidR="00922EB5" w:rsidRPr="00FA43CB">
        <w:t xml:space="preserve"> the typo, I still raise a question why they directly put </w:t>
      </w:r>
      <w:r w:rsidR="000327DB" w:rsidRPr="00FA43CB">
        <w:t>the “</w:t>
      </w:r>
      <w:r w:rsidR="00B4254F" w:rsidRPr="00FA43CB">
        <w:rPr>
          <w:noProof/>
          <w:position w:val="-14"/>
        </w:rPr>
        <w:object w:dxaOrig="960" w:dyaOrig="460" w14:anchorId="60361F0A">
          <v:shape id="_x0000_i1032" type="#_x0000_t75" alt="" style="width:48.45pt;height:22.85pt;mso-width-percent:0;mso-height-percent:0;mso-width-percent:0;mso-height-percent:0" o:ole="">
            <v:imagedata r:id="rId40" o:title=""/>
          </v:shape>
          <o:OLEObject Type="Embed" ProgID="Equation.DSMT4" ShapeID="_x0000_i1032" DrawAspect="Content" ObjectID="_1685473290" r:id="rId41"/>
        </w:object>
      </w:r>
      <w:r w:rsidR="000327DB" w:rsidRPr="00FA43CB">
        <w:t xml:space="preserve">” in the denominator.  The form, </w:t>
      </w:r>
      <w:r w:rsidR="000327DB" w:rsidRPr="00FA43CB">
        <w:rPr>
          <w:i/>
          <w:sz w:val="26"/>
          <w:szCs w:val="26"/>
        </w:rPr>
        <w:t>L</w:t>
      </w:r>
      <w:r w:rsidR="000327DB" w:rsidRPr="00FA43CB">
        <w:rPr>
          <w:rFonts w:ascii="Symbol" w:hAnsi="Symbol"/>
          <w:i/>
          <w:sz w:val="28"/>
          <w:szCs w:val="28"/>
          <w:vertAlign w:val="subscript"/>
        </w:rPr>
        <w:t></w:t>
      </w:r>
      <w:r w:rsidR="000327DB" w:rsidRPr="00FA43CB">
        <w:t xml:space="preserve">  in eq </w:t>
      </w:r>
      <w:r w:rsidR="000327DB" w:rsidRPr="00FA43CB">
        <w:fldChar w:fldCharType="begin"/>
      </w:r>
      <w:r w:rsidR="000327DB" w:rsidRPr="00FA43CB">
        <w:instrText xml:space="preserve"> GOTOBUTTON ZEqnNum416169  \* MERGEFORMAT </w:instrText>
      </w:r>
      <w:fldSimple w:instr=" REF ZEqnNum416169 \* Charformat \! \* MERGEFORMAT ">
        <w:r w:rsidR="0088027D">
          <w:instrText>1</w:instrText>
        </w:r>
      </w:fldSimple>
      <w:r w:rsidR="000327DB" w:rsidRPr="00FA43CB">
        <w:fldChar w:fldCharType="end"/>
      </w:r>
      <w:r w:rsidR="000327DB" w:rsidRPr="00FA43CB">
        <w:t xml:space="preserve"> </w:t>
      </w:r>
      <w:r w:rsidR="0092287D" w:rsidRPr="00FA43CB">
        <w:t>look</w:t>
      </w:r>
      <w:r w:rsidR="000327DB" w:rsidRPr="00FA43CB">
        <w:t xml:space="preserve">s </w:t>
      </w:r>
      <w:r w:rsidRPr="00FA43CB">
        <w:t>based on the likelihood with log(</w:t>
      </w:r>
      <w:r w:rsidRPr="00FA43CB">
        <w:rPr>
          <w:rFonts w:ascii="Symbol" w:hAnsi="Symbol"/>
        </w:rPr>
        <w:t></w:t>
      </w:r>
      <w:r w:rsidRPr="00FA43CB">
        <w:t>) being treated as a normal random variable</w:t>
      </w:r>
      <w:r w:rsidR="0092287D" w:rsidRPr="00FA43CB">
        <w:t xml:space="preserve"> and constants with respect to</w:t>
      </w:r>
      <w:r w:rsidR="0092287D" w:rsidRPr="00FA43CB">
        <w:rPr>
          <w:rFonts w:ascii="Symbol" w:hAnsi="Symbol"/>
        </w:rPr>
        <w:t></w:t>
      </w:r>
      <w:r w:rsidR="0092287D" w:rsidRPr="00FA43CB">
        <w:rPr>
          <w:rFonts w:ascii="Symbol" w:hAnsi="Symbol"/>
        </w:rPr>
        <w:t></w:t>
      </w:r>
      <w:r w:rsidR="0092287D" w:rsidRPr="00FA43CB">
        <w:t xml:space="preserve"> being ignored.  Then,</w:t>
      </w:r>
      <w:r w:rsidRPr="00FA43CB">
        <w:t xml:space="preserve"> </w:t>
      </w:r>
      <w:r w:rsidR="0092287D" w:rsidRPr="00FA43CB">
        <w:t>t</w:t>
      </w:r>
      <w:r w:rsidRPr="00FA43CB">
        <w:t xml:space="preserve">hey should have </w:t>
      </w:r>
      <w:r w:rsidR="00FA43CB">
        <w:t>substitute</w:t>
      </w:r>
      <w:r w:rsidR="001A47BF">
        <w:t>d</w:t>
      </w:r>
      <w:r w:rsidRPr="00FA43CB">
        <w:t xml:space="preserve"> </w:t>
      </w:r>
      <w:bookmarkStart w:id="4" w:name="_Hlk70013022"/>
      <w:r w:rsidR="008A63D8" w:rsidRPr="00FA43CB">
        <w:t>“</w:t>
      </w:r>
      <w:r w:rsidRPr="00FA43CB">
        <w:t xml:space="preserve">the variance of </w:t>
      </w:r>
      <w:proofErr w:type="gramStart"/>
      <w:r w:rsidRPr="00FA43CB">
        <w:t>log(</w:t>
      </w:r>
      <w:proofErr w:type="gramEnd"/>
      <w:r w:rsidRPr="00FA43CB">
        <w:rPr>
          <w:rFonts w:ascii="Symbol" w:hAnsi="Symbol"/>
        </w:rPr>
        <w:t></w:t>
      </w:r>
      <w:r w:rsidRPr="00FA43CB">
        <w:t>)</w:t>
      </w:r>
      <w:r w:rsidR="008A63D8" w:rsidRPr="00FA43CB">
        <w:t>”</w:t>
      </w:r>
      <w:r w:rsidRPr="00FA43CB">
        <w:t xml:space="preserve"> </w:t>
      </w:r>
      <w:bookmarkEnd w:id="4"/>
      <w:r w:rsidR="001A47BF">
        <w:t>in</w:t>
      </w:r>
      <w:r w:rsidR="00FA43CB">
        <w:t xml:space="preserve"> place</w:t>
      </w:r>
      <w:r w:rsidR="008A63D8" w:rsidRPr="00FA43CB">
        <w:t xml:space="preserve"> of “</w:t>
      </w:r>
      <w:r w:rsidRPr="00FA43CB">
        <w:t xml:space="preserve"> </w:t>
      </w:r>
      <w:r w:rsidR="00B4254F" w:rsidRPr="00FA43CB">
        <w:rPr>
          <w:noProof/>
          <w:position w:val="-14"/>
        </w:rPr>
        <w:object w:dxaOrig="960" w:dyaOrig="460" w14:anchorId="4E5F7F9E">
          <v:shape id="_x0000_i1031" type="#_x0000_t75" alt="" style="width:48.45pt;height:22.85pt;mso-width-percent:0;mso-height-percent:0;mso-width-percent:0;mso-height-percent:0" o:ole="">
            <v:imagedata r:id="rId40" o:title=""/>
          </v:shape>
          <o:OLEObject Type="Embed" ProgID="Equation.DSMT4" ShapeID="_x0000_i1031" DrawAspect="Content" ObjectID="_1685473291" r:id="rId42"/>
        </w:object>
      </w:r>
      <w:r w:rsidR="008A63D8" w:rsidRPr="00FA43CB">
        <w:t xml:space="preserve">”.   </w:t>
      </w:r>
    </w:p>
    <w:p w14:paraId="2F026BF8" w14:textId="1538942A" w:rsidR="00D6206A" w:rsidRPr="00607759" w:rsidRDefault="008D3DC5" w:rsidP="00E97489">
      <w:pPr>
        <w:pStyle w:val="ListParagraph"/>
        <w:spacing w:line="360" w:lineRule="auto"/>
        <w:ind w:left="720"/>
      </w:pPr>
      <w:r w:rsidRPr="00607759">
        <w:t>Th</w:t>
      </w:r>
      <w:r w:rsidR="00607759" w:rsidRPr="00607759">
        <w:t>e form</w:t>
      </w:r>
      <w:r w:rsidRPr="00607759">
        <w:t xml:space="preserve"> is wrong</w:t>
      </w:r>
      <w:r w:rsidR="00607759" w:rsidRPr="00607759">
        <w:t xml:space="preserve"> even if they might argue it is a non-parametric form</w:t>
      </w:r>
      <w:r w:rsidRPr="00607759">
        <w:t>.  First</w:t>
      </w:r>
      <w:r w:rsidR="0027094C" w:rsidRPr="00607759">
        <w:t>,</w:t>
      </w:r>
      <w:r w:rsidRPr="00607759">
        <w:t xml:space="preserve"> </w:t>
      </w:r>
      <w:r w:rsidR="0027094C" w:rsidRPr="00607759">
        <w:t xml:space="preserve">there is a dimension problem.  The variance of a random variable has its dimension and unit whereas the CV is dimensionless.  </w:t>
      </w:r>
      <w:r w:rsidR="0092287D" w:rsidRPr="00607759">
        <w:t xml:space="preserve">For example, </w:t>
      </w:r>
      <w:proofErr w:type="spellStart"/>
      <w:r w:rsidR="0092287D" w:rsidRPr="00607759">
        <w:rPr>
          <w:sz w:val="26"/>
          <w:szCs w:val="26"/>
        </w:rPr>
        <w:t>M</w:t>
      </w:r>
      <w:r w:rsidR="0092287D" w:rsidRPr="00607759">
        <w:rPr>
          <w:sz w:val="28"/>
          <w:szCs w:val="28"/>
          <w:vertAlign w:val="subscript"/>
        </w:rPr>
        <w:t>prior</w:t>
      </w:r>
      <w:proofErr w:type="spellEnd"/>
      <w:r w:rsidR="0092287D" w:rsidRPr="00607759">
        <w:t xml:space="preserve"> of 0.0614 is in </w:t>
      </w:r>
      <w:r w:rsidR="00607759" w:rsidRPr="00607759">
        <w:t>“</w:t>
      </w:r>
      <w:r w:rsidR="0092287D" w:rsidRPr="00607759">
        <w:t>per year</w:t>
      </w:r>
      <w:r w:rsidR="00607759" w:rsidRPr="00607759">
        <w:t>”</w:t>
      </w:r>
      <w:r w:rsidR="0092287D" w:rsidRPr="00607759">
        <w:t xml:space="preserve"> while </w:t>
      </w:r>
      <w:proofErr w:type="spellStart"/>
      <w:r w:rsidR="0092287D" w:rsidRPr="00607759">
        <w:rPr>
          <w:sz w:val="26"/>
          <w:szCs w:val="26"/>
        </w:rPr>
        <w:t>q</w:t>
      </w:r>
      <w:r w:rsidR="0092287D" w:rsidRPr="00607759">
        <w:rPr>
          <w:sz w:val="28"/>
          <w:szCs w:val="28"/>
          <w:vertAlign w:val="subscript"/>
        </w:rPr>
        <w:t>prior</w:t>
      </w:r>
      <w:proofErr w:type="spellEnd"/>
      <w:r w:rsidR="0092287D" w:rsidRPr="00607759">
        <w:t xml:space="preserve"> of 1.15 is dimensionless.  Thus</w:t>
      </w:r>
      <w:r w:rsidR="001A47BF">
        <w:t>,</w:t>
      </w:r>
      <w:r w:rsidR="0092287D" w:rsidRPr="00607759">
        <w:t xml:space="preserve"> the variance of </w:t>
      </w:r>
      <w:bookmarkStart w:id="5" w:name="_Hlk70013858"/>
      <w:proofErr w:type="spellStart"/>
      <w:r w:rsidR="0092287D" w:rsidRPr="00607759">
        <w:rPr>
          <w:sz w:val="26"/>
          <w:szCs w:val="26"/>
        </w:rPr>
        <w:t>M</w:t>
      </w:r>
      <w:r w:rsidR="0092287D" w:rsidRPr="00607759">
        <w:rPr>
          <w:sz w:val="28"/>
          <w:szCs w:val="28"/>
          <w:vertAlign w:val="subscript"/>
        </w:rPr>
        <w:t>prior</w:t>
      </w:r>
      <w:bookmarkEnd w:id="5"/>
      <w:proofErr w:type="spellEnd"/>
      <w:r w:rsidR="0092287D" w:rsidRPr="00607759">
        <w:t xml:space="preserve"> is in </w:t>
      </w:r>
      <w:r w:rsidR="00607759" w:rsidRPr="00607759">
        <w:t>“</w:t>
      </w:r>
      <w:r w:rsidR="0092287D" w:rsidRPr="00607759">
        <w:t>per year</w:t>
      </w:r>
      <w:r w:rsidR="0092287D" w:rsidRPr="00607759">
        <w:rPr>
          <w:vertAlign w:val="superscript"/>
        </w:rPr>
        <w:t>2</w:t>
      </w:r>
      <w:r w:rsidR="00607759" w:rsidRPr="00607759">
        <w:t xml:space="preserve">” </w:t>
      </w:r>
      <w:r w:rsidR="0092287D" w:rsidRPr="00607759">
        <w:t xml:space="preserve">while the variance of </w:t>
      </w:r>
      <w:proofErr w:type="spellStart"/>
      <w:r w:rsidR="0092287D" w:rsidRPr="00607759">
        <w:rPr>
          <w:sz w:val="26"/>
          <w:szCs w:val="26"/>
        </w:rPr>
        <w:t>q</w:t>
      </w:r>
      <w:r w:rsidR="0092287D" w:rsidRPr="00607759">
        <w:rPr>
          <w:sz w:val="28"/>
          <w:szCs w:val="28"/>
          <w:vertAlign w:val="subscript"/>
        </w:rPr>
        <w:t>prior</w:t>
      </w:r>
      <w:proofErr w:type="spellEnd"/>
      <w:r w:rsidR="0092287D" w:rsidRPr="00607759">
        <w:rPr>
          <w:sz w:val="28"/>
          <w:szCs w:val="28"/>
          <w:vertAlign w:val="subscript"/>
        </w:rPr>
        <w:t xml:space="preserve"> </w:t>
      </w:r>
      <w:r w:rsidR="0092287D" w:rsidRPr="00607759">
        <w:t xml:space="preserve">is dimensionless.  </w:t>
      </w:r>
      <w:r w:rsidR="0027094C" w:rsidRPr="00607759">
        <w:t>Second,</w:t>
      </w:r>
      <w:r w:rsidR="0092287D" w:rsidRPr="00607759">
        <w:t xml:space="preserve"> simply</w:t>
      </w:r>
      <w:r w:rsidR="0027094C" w:rsidRPr="00607759">
        <w:t xml:space="preserve"> the form </w:t>
      </w:r>
      <w:r w:rsidR="0092287D" w:rsidRPr="00607759">
        <w:t xml:space="preserve">does not make sense in terms of a parametric likelihood function.  </w:t>
      </w:r>
    </w:p>
    <w:p w14:paraId="2FA639BD" w14:textId="1DCA2D06" w:rsidR="00B8222E" w:rsidRPr="00F84BD5" w:rsidRDefault="00705922" w:rsidP="00E97489">
      <w:pPr>
        <w:pStyle w:val="ListParagraph"/>
        <w:spacing w:line="360" w:lineRule="auto"/>
        <w:ind w:left="720"/>
      </w:pPr>
      <w:r w:rsidRPr="000B72FD">
        <w:t xml:space="preserve">I suggest they should revise the prior form to be defensible. </w:t>
      </w:r>
      <w:r w:rsidR="00111667" w:rsidRPr="000B72FD">
        <w:t xml:space="preserve"> </w:t>
      </w:r>
      <w:r w:rsidR="00D6206A" w:rsidRPr="000B72FD">
        <w:t>One of the efficient revision methods would be to analytically derive E{</w:t>
      </w:r>
      <w:proofErr w:type="gramStart"/>
      <w:r w:rsidR="00D6206A" w:rsidRPr="000B72FD">
        <w:t>log(</w:t>
      </w:r>
      <w:proofErr w:type="gramEnd"/>
      <w:r w:rsidR="00D6206A" w:rsidRPr="000B72FD">
        <w:rPr>
          <w:rFonts w:ascii="Symbol" w:hAnsi="Symbol"/>
        </w:rPr>
        <w:t></w:t>
      </w:r>
      <w:r w:rsidR="00D6206A" w:rsidRPr="000B72FD">
        <w:t>)} and Var{log(</w:t>
      </w:r>
      <w:r w:rsidR="00D6206A" w:rsidRPr="000B72FD">
        <w:rPr>
          <w:rFonts w:ascii="Symbol" w:hAnsi="Symbol"/>
        </w:rPr>
        <w:t></w:t>
      </w:r>
      <w:r w:rsidR="00D6206A" w:rsidRPr="000B72FD">
        <w:t xml:space="preserve">)} by delta method.  </w:t>
      </w:r>
      <w:r w:rsidR="008230C1" w:rsidRPr="000B72FD">
        <w:t>T</w:t>
      </w:r>
      <w:r w:rsidR="00111667" w:rsidRPr="000B72FD">
        <w:t>hey assume</w:t>
      </w:r>
      <w:r w:rsidR="008230C1" w:rsidRPr="000B72FD">
        <w:t>d</w:t>
      </w:r>
      <w:r w:rsidR="00111667" w:rsidRPr="000B72FD">
        <w:t xml:space="preserve"> the prior value of </w:t>
      </w:r>
      <w:r w:rsidR="00111667" w:rsidRPr="000B72FD">
        <w:rPr>
          <w:rFonts w:ascii="Symbol" w:hAnsi="Symbol"/>
        </w:rPr>
        <w:t></w:t>
      </w:r>
      <w:r w:rsidR="00111667" w:rsidRPr="000B72FD">
        <w:rPr>
          <w:rFonts w:ascii="Symbol" w:hAnsi="Symbol"/>
        </w:rPr>
        <w:t></w:t>
      </w:r>
      <w:r w:rsidR="00111667" w:rsidRPr="000B72FD">
        <w:t>and its corresponding CV</w:t>
      </w:r>
      <w:r w:rsidR="008230C1" w:rsidRPr="000B72FD">
        <w:t xml:space="preserve">.  And </w:t>
      </w:r>
      <w:proofErr w:type="gramStart"/>
      <w:r w:rsidR="008230C1" w:rsidRPr="000B72FD">
        <w:t>thus</w:t>
      </w:r>
      <w:proofErr w:type="gramEnd"/>
      <w:r w:rsidR="008230C1" w:rsidRPr="000B72FD">
        <w:t xml:space="preserve"> it would be reasonable</w:t>
      </w:r>
      <w:r w:rsidR="00D079ED" w:rsidRPr="000B72FD">
        <w:t xml:space="preserve"> to</w:t>
      </w:r>
      <w:r w:rsidR="00DB78D9" w:rsidRPr="000B72FD">
        <w:t xml:space="preserve"> </w:t>
      </w:r>
      <w:r w:rsidR="00D079ED" w:rsidRPr="000B72FD">
        <w:t>t</w:t>
      </w:r>
      <w:r w:rsidR="00956727" w:rsidRPr="000B72FD">
        <w:t>reat</w:t>
      </w:r>
      <w:r w:rsidR="00956727" w:rsidRPr="000B72FD">
        <w:rPr>
          <w:sz w:val="26"/>
          <w:szCs w:val="26"/>
        </w:rPr>
        <w:t xml:space="preserve"> </w:t>
      </w:r>
      <w:r w:rsidR="00956727" w:rsidRPr="000B72FD">
        <w:rPr>
          <w:rFonts w:ascii="Symbol" w:hAnsi="Symbol"/>
          <w:sz w:val="26"/>
          <w:szCs w:val="26"/>
        </w:rPr>
        <w:t></w:t>
      </w:r>
      <w:r w:rsidR="00956727" w:rsidRPr="000B72FD">
        <w:rPr>
          <w:sz w:val="28"/>
          <w:szCs w:val="28"/>
          <w:vertAlign w:val="subscript"/>
        </w:rPr>
        <w:t xml:space="preserve">prior </w:t>
      </w:r>
      <w:r w:rsidR="00956727" w:rsidRPr="000B72FD">
        <w:t xml:space="preserve">as the mean </w:t>
      </w:r>
      <w:r w:rsidR="00D079ED" w:rsidRPr="000B72FD">
        <w:t xml:space="preserve">of </w:t>
      </w:r>
      <w:r w:rsidR="00D079ED" w:rsidRPr="000B72FD">
        <w:rPr>
          <w:rFonts w:ascii="Symbol" w:hAnsi="Symbol"/>
        </w:rPr>
        <w:t></w:t>
      </w:r>
      <w:r w:rsidR="00956727" w:rsidRPr="000B72FD">
        <w:t xml:space="preserve">, </w:t>
      </w:r>
      <w:r w:rsidR="00D079ED" w:rsidRPr="000B72FD">
        <w:t xml:space="preserve">and to calculate the variance of </w:t>
      </w:r>
      <w:r w:rsidR="00C0343D" w:rsidRPr="000B72FD">
        <w:rPr>
          <w:rFonts w:ascii="Symbol" w:hAnsi="Symbol"/>
        </w:rPr>
        <w:t></w:t>
      </w:r>
      <w:r w:rsidR="00C0343D" w:rsidRPr="000B72FD">
        <w:rPr>
          <w:rFonts w:ascii="Symbol" w:hAnsi="Symbol"/>
        </w:rPr>
        <w:t></w:t>
      </w:r>
      <w:r w:rsidR="00C34B53" w:rsidRPr="000B72FD">
        <w:t>using</w:t>
      </w:r>
      <w:r w:rsidR="00C0343D" w:rsidRPr="000B72FD">
        <w:t xml:space="preserve"> the given CV.</w:t>
      </w:r>
      <w:r w:rsidR="00647517">
        <w:t xml:space="preserve">  That is, we have</w:t>
      </w:r>
      <w:r w:rsidR="00322032">
        <w:t xml:space="preserve"> that</w:t>
      </w:r>
      <w:r w:rsidR="00647517">
        <w:t xml:space="preserve"> </w:t>
      </w:r>
      <w:proofErr w:type="gramStart"/>
      <w:r w:rsidR="00647517">
        <w:t>E{</w:t>
      </w:r>
      <w:proofErr w:type="gramEnd"/>
      <w:r w:rsidR="00647517" w:rsidRPr="00322032">
        <w:rPr>
          <w:rFonts w:ascii="Symbol" w:hAnsi="Symbol"/>
        </w:rPr>
        <w:t></w:t>
      </w:r>
      <w:r w:rsidR="00647517">
        <w:t>}</w:t>
      </w:r>
      <w:r w:rsidR="00322032">
        <w:t xml:space="preserve"> </w:t>
      </w:r>
      <w:r w:rsidR="00647517">
        <w:t>=</w:t>
      </w:r>
      <w:r w:rsidR="007613D8" w:rsidRPr="000B72FD">
        <w:t xml:space="preserve"> </w:t>
      </w:r>
      <w:r w:rsidR="00647517" w:rsidRPr="000B72FD">
        <w:rPr>
          <w:rFonts w:ascii="Symbol" w:hAnsi="Symbol"/>
          <w:sz w:val="26"/>
          <w:szCs w:val="26"/>
        </w:rPr>
        <w:t></w:t>
      </w:r>
      <w:r w:rsidR="00647517" w:rsidRPr="000B72FD">
        <w:rPr>
          <w:sz w:val="28"/>
          <w:szCs w:val="28"/>
          <w:vertAlign w:val="subscript"/>
        </w:rPr>
        <w:t>prior</w:t>
      </w:r>
      <w:r w:rsidR="00322032">
        <w:t xml:space="preserve"> and Var{</w:t>
      </w:r>
      <w:r w:rsidR="00322032" w:rsidRPr="00322032">
        <w:rPr>
          <w:rFonts w:ascii="Symbol" w:hAnsi="Symbol"/>
        </w:rPr>
        <w:t></w:t>
      </w:r>
      <w:r w:rsidR="00322032">
        <w:t>} = Var{</w:t>
      </w:r>
      <w:r w:rsidR="00322032" w:rsidRPr="000B72FD">
        <w:rPr>
          <w:rFonts w:ascii="Symbol" w:hAnsi="Symbol"/>
          <w:sz w:val="26"/>
          <w:szCs w:val="26"/>
        </w:rPr>
        <w:t></w:t>
      </w:r>
      <w:r w:rsidR="00322032" w:rsidRPr="000B72FD">
        <w:rPr>
          <w:sz w:val="28"/>
          <w:szCs w:val="28"/>
          <w:vertAlign w:val="subscript"/>
        </w:rPr>
        <w:t>prior</w:t>
      </w:r>
      <w:r w:rsidR="00322032">
        <w:t xml:space="preserve">}.  </w:t>
      </w:r>
      <w:r w:rsidR="007613D8" w:rsidRPr="000B72FD">
        <w:t>Then, assuming that</w:t>
      </w:r>
      <w:r w:rsidR="002B39C7" w:rsidRPr="000B72FD">
        <w:t xml:space="preserve"> </w:t>
      </w:r>
      <w:proofErr w:type="gramStart"/>
      <w:r w:rsidR="007613D8" w:rsidRPr="000B72FD">
        <w:t>log(</w:t>
      </w:r>
      <w:proofErr w:type="gramEnd"/>
      <w:r w:rsidR="002B39C7" w:rsidRPr="00322032">
        <w:rPr>
          <w:rFonts w:ascii="Symbol" w:hAnsi="Symbol"/>
          <w:sz w:val="26"/>
          <w:szCs w:val="26"/>
        </w:rPr>
        <w:t></w:t>
      </w:r>
      <w:r w:rsidR="007613D8" w:rsidRPr="00322032">
        <w:rPr>
          <w:rFonts w:ascii="Symbol" w:hAnsi="Symbol"/>
          <w:sz w:val="26"/>
          <w:szCs w:val="26"/>
        </w:rPr>
        <w:t></w:t>
      </w:r>
      <w:r w:rsidR="002B39C7" w:rsidRPr="00322032">
        <w:rPr>
          <w:sz w:val="28"/>
          <w:szCs w:val="28"/>
          <w:vertAlign w:val="subscript"/>
        </w:rPr>
        <w:t xml:space="preserve"> </w:t>
      </w:r>
      <w:r w:rsidR="002B39C7" w:rsidRPr="000B72FD">
        <w:t xml:space="preserve">~ </w:t>
      </w:r>
      <w:r w:rsidR="002B39C7" w:rsidRPr="00322032">
        <w:rPr>
          <w:i/>
        </w:rPr>
        <w:t>Norma</w:t>
      </w:r>
      <w:r w:rsidR="00B8222E" w:rsidRPr="00322032">
        <w:rPr>
          <w:i/>
        </w:rPr>
        <w:t>l</w:t>
      </w:r>
      <w:r w:rsidR="002B39C7" w:rsidRPr="000B72FD">
        <w:t>(</w:t>
      </w:r>
      <w:proofErr w:type="spellStart"/>
      <w:r w:rsidR="00DE2A23" w:rsidRPr="00322032">
        <w:rPr>
          <w:rFonts w:cs="Times New Roman"/>
          <w:sz w:val="26"/>
          <w:szCs w:val="26"/>
        </w:rPr>
        <w:t>E</w:t>
      </w:r>
      <w:r w:rsidR="007613D8" w:rsidRPr="00322032">
        <w:rPr>
          <w:rFonts w:ascii="Symbol" w:hAnsi="Symbol"/>
          <w:sz w:val="26"/>
          <w:szCs w:val="26"/>
        </w:rPr>
        <w:t></w:t>
      </w:r>
      <w:r w:rsidR="007613D8" w:rsidRPr="000B72FD">
        <w:t>log</w:t>
      </w:r>
      <w:proofErr w:type="spellEnd"/>
      <w:r w:rsidR="007613D8" w:rsidRPr="000B72FD">
        <w:t>(</w:t>
      </w:r>
      <w:r w:rsidR="007613D8" w:rsidRPr="00322032">
        <w:rPr>
          <w:rFonts w:ascii="Symbol" w:hAnsi="Symbol"/>
          <w:sz w:val="26"/>
          <w:szCs w:val="26"/>
        </w:rPr>
        <w:t></w:t>
      </w:r>
      <w:r w:rsidR="007613D8" w:rsidRPr="00322032">
        <w:rPr>
          <w:rFonts w:ascii="Symbol" w:hAnsi="Symbol"/>
          <w:sz w:val="26"/>
          <w:szCs w:val="26"/>
        </w:rPr>
        <w:t></w:t>
      </w:r>
      <w:r w:rsidR="007613D8" w:rsidRPr="00322032">
        <w:rPr>
          <w:rFonts w:ascii="Symbol" w:hAnsi="Symbol"/>
          <w:sz w:val="26"/>
          <w:szCs w:val="26"/>
        </w:rPr>
        <w:t></w:t>
      </w:r>
      <w:r w:rsidR="002B39C7" w:rsidRPr="000B72FD">
        <w:t>,</w:t>
      </w:r>
      <w:r w:rsidR="00C34B53" w:rsidRPr="000B72FD">
        <w:t xml:space="preserve"> </w:t>
      </w:r>
      <w:r w:rsidR="00B8222E" w:rsidRPr="000B72FD">
        <w:t>Var{</w:t>
      </w:r>
      <w:r w:rsidR="007613D8" w:rsidRPr="000B72FD">
        <w:t>log(</w:t>
      </w:r>
      <w:r w:rsidR="007613D8" w:rsidRPr="00322032">
        <w:rPr>
          <w:rFonts w:ascii="Symbol" w:hAnsi="Symbol"/>
          <w:sz w:val="26"/>
          <w:szCs w:val="26"/>
        </w:rPr>
        <w:t></w:t>
      </w:r>
      <w:r w:rsidR="007613D8" w:rsidRPr="00322032">
        <w:rPr>
          <w:rFonts w:ascii="Symbol" w:hAnsi="Symbol"/>
          <w:sz w:val="26"/>
          <w:szCs w:val="26"/>
        </w:rPr>
        <w:t></w:t>
      </w:r>
      <w:r w:rsidR="007613D8" w:rsidRPr="00322032">
        <w:rPr>
          <w:rFonts w:ascii="Symbol" w:hAnsi="Symbol"/>
          <w:sz w:val="26"/>
          <w:szCs w:val="26"/>
        </w:rPr>
        <w:t></w:t>
      </w:r>
      <w:r w:rsidR="00B8222E" w:rsidRPr="000B72FD">
        <w:t>)</w:t>
      </w:r>
      <w:r w:rsidR="007613D8" w:rsidRPr="000B72FD">
        <w:t>,</w:t>
      </w:r>
      <w:r w:rsidR="00322032">
        <w:t xml:space="preserve"> </w:t>
      </w:r>
      <w:r w:rsidR="00522D35" w:rsidRPr="00F84BD5">
        <w:t xml:space="preserve">it </w:t>
      </w:r>
      <w:r w:rsidR="000B72FD" w:rsidRPr="00F84BD5">
        <w:t>is straightforward</w:t>
      </w:r>
      <w:r w:rsidR="00522D35" w:rsidRPr="00F84BD5">
        <w:t xml:space="preserve"> </w:t>
      </w:r>
      <w:r w:rsidR="007613D8" w:rsidRPr="00F84BD5">
        <w:t>to identify th</w:t>
      </w:r>
      <w:r w:rsidR="00522D35" w:rsidRPr="00F84BD5">
        <w:t>e</w:t>
      </w:r>
      <w:r w:rsidR="007613D8" w:rsidRPr="00F84BD5">
        <w:t xml:space="preserve">se first and second moments by delta method: i.e., </w:t>
      </w:r>
      <w:r w:rsidR="00B8222E" w:rsidRPr="00F84BD5">
        <w:t xml:space="preserve"> </w:t>
      </w:r>
    </w:p>
    <w:p w14:paraId="3F306434" w14:textId="3343CF97" w:rsidR="00096B24" w:rsidRPr="00F84BD5" w:rsidRDefault="00B4254F" w:rsidP="00E97489">
      <w:pPr>
        <w:pStyle w:val="ListParagraph"/>
        <w:spacing w:line="360" w:lineRule="auto"/>
        <w:ind w:left="720"/>
        <w:jc w:val="right"/>
      </w:pPr>
      <w:r w:rsidRPr="00F84BD5">
        <w:rPr>
          <w:noProof/>
          <w:position w:val="-92"/>
        </w:rPr>
        <w:object w:dxaOrig="3620" w:dyaOrig="2040" w14:anchorId="63CCD74C">
          <v:shape id="_x0000_i1030" type="#_x0000_t75" alt="" style="width:180.7pt;height:101.75pt;mso-width-percent:0;mso-height-percent:0;mso-width-percent:0;mso-height-percent:0" o:ole="">
            <v:imagedata r:id="rId43" o:title=""/>
          </v:shape>
          <o:OLEObject Type="Embed" ProgID="Equation.DSMT4" ShapeID="_x0000_i1030" DrawAspect="Content" ObjectID="_1685473292" r:id="rId44"/>
        </w:object>
      </w:r>
      <w:r w:rsidR="008B2E66" w:rsidRPr="00F84BD5">
        <w:t xml:space="preserve">                                       (</w:t>
      </w:r>
      <w:r w:rsidR="008B2E66" w:rsidRPr="00F84BD5">
        <w:fldChar w:fldCharType="begin"/>
      </w:r>
      <w:r w:rsidR="008B2E66" w:rsidRPr="00F84BD5">
        <w:instrText xml:space="preserve"> MACROBUTTON MTPlaceRef \* MERGEFORMAT </w:instrText>
      </w:r>
      <w:r w:rsidR="008B2E66" w:rsidRPr="00F84BD5">
        <w:fldChar w:fldCharType="begin"/>
      </w:r>
      <w:r w:rsidR="008B2E66" w:rsidRPr="00F84BD5">
        <w:instrText xml:space="preserve"> SEQ MTEqn \h \* MERGEFORMAT </w:instrText>
      </w:r>
      <w:r w:rsidR="008B2E66" w:rsidRPr="00F84BD5">
        <w:fldChar w:fldCharType="end"/>
      </w:r>
      <w:bookmarkStart w:id="6" w:name="ZEqnNum326421"/>
      <w:r w:rsidR="008B2E66" w:rsidRPr="00F84BD5">
        <w:fldChar w:fldCharType="begin"/>
      </w:r>
      <w:r w:rsidR="008B2E66" w:rsidRPr="00F84BD5">
        <w:instrText xml:space="preserve"> SEQ MTEqn \c \* Arabic \* MERGEFORMAT </w:instrText>
      </w:r>
      <w:r w:rsidR="008B2E66" w:rsidRPr="00F84BD5">
        <w:fldChar w:fldCharType="separate"/>
      </w:r>
      <w:r w:rsidR="0088027D">
        <w:rPr>
          <w:noProof/>
        </w:rPr>
        <w:instrText>4</w:instrText>
      </w:r>
      <w:r w:rsidR="008B2E66" w:rsidRPr="00F84BD5">
        <w:fldChar w:fldCharType="end"/>
      </w:r>
      <w:bookmarkEnd w:id="6"/>
      <w:r w:rsidR="008B2E66" w:rsidRPr="00F84BD5">
        <w:fldChar w:fldCharType="end"/>
      </w:r>
      <w:r w:rsidR="008B2E66" w:rsidRPr="00F84BD5">
        <w:t>)</w:t>
      </w:r>
    </w:p>
    <w:p w14:paraId="25216D7F" w14:textId="49EEA0C1" w:rsidR="007613D8" w:rsidRPr="00F84BD5" w:rsidRDefault="007613D8" w:rsidP="00E97489">
      <w:pPr>
        <w:pStyle w:val="ListParagraph"/>
        <w:spacing w:line="360" w:lineRule="auto"/>
      </w:pPr>
      <w:r w:rsidRPr="00F84BD5">
        <w:t>Finally the resultant revised prior form</w:t>
      </w:r>
      <w:r w:rsidR="006F7F0C">
        <w:t xml:space="preserve"> is eq. </w:t>
      </w:r>
      <w:r w:rsidR="006F7F0C">
        <w:fldChar w:fldCharType="begin"/>
      </w:r>
      <w:r w:rsidR="006F7F0C">
        <w:instrText xml:space="preserve"> GOTOBUTTON ZEqnNum415010  \* MERGEFORMAT </w:instrText>
      </w:r>
      <w:fldSimple w:instr=" REF ZEqnNum415010 \* Charformat \! \* MERGEFORMAT ">
        <w:r w:rsidR="0088027D">
          <w:instrText>5</w:instrText>
        </w:r>
      </w:fldSimple>
      <w:r w:rsidR="006F7F0C">
        <w:fldChar w:fldCharType="end"/>
      </w:r>
      <w:r w:rsidRPr="00F84BD5">
        <w:t xml:space="preserve"> </w:t>
      </w:r>
      <w:r w:rsidR="008B2E66" w:rsidRPr="00F84BD5">
        <w:t xml:space="preserve">in terms of </w:t>
      </w:r>
      <w:r w:rsidR="00747973">
        <w:t>the</w:t>
      </w:r>
      <w:r w:rsidR="008B2E66" w:rsidRPr="00F84BD5">
        <w:t xml:space="preserve"> </w:t>
      </w:r>
      <w:r w:rsidR="000B72FD" w:rsidRPr="00F84BD5">
        <w:t>“</w:t>
      </w:r>
      <w:r w:rsidR="008B2E66" w:rsidRPr="00F84BD5">
        <w:t>negative</w:t>
      </w:r>
      <w:r w:rsidR="000B72FD" w:rsidRPr="00F84BD5">
        <w:t>”</w:t>
      </w:r>
      <w:r w:rsidR="008B2E66" w:rsidRPr="00F84BD5">
        <w:t xml:space="preserve"> </w:t>
      </w:r>
      <w:r w:rsidR="006F7F0C">
        <w:t>log-</w:t>
      </w:r>
      <w:r w:rsidR="008B2E66" w:rsidRPr="00F84BD5">
        <w:t>likelihood</w:t>
      </w:r>
      <w:r w:rsidR="00747973">
        <w:t xml:space="preserve"> function</w:t>
      </w:r>
      <w:r w:rsidR="008B2E66" w:rsidRPr="00F84BD5">
        <w:t xml:space="preserve"> </w:t>
      </w:r>
      <w:r w:rsidR="00D06E02" w:rsidRPr="00F84BD5">
        <w:t xml:space="preserve">with constants with respect to </w:t>
      </w:r>
      <w:r w:rsidR="00D06E02" w:rsidRPr="00F84BD5">
        <w:rPr>
          <w:rFonts w:ascii="Symbol" w:hAnsi="Symbol"/>
        </w:rPr>
        <w:t></w:t>
      </w:r>
      <w:r w:rsidR="00D06E02" w:rsidRPr="00F84BD5">
        <w:t xml:space="preserve"> being ignored:</w:t>
      </w:r>
      <w:r w:rsidRPr="00F84BD5">
        <w:t xml:space="preserve"> </w:t>
      </w:r>
    </w:p>
    <w:p w14:paraId="0494B4E2" w14:textId="52BF348B" w:rsidR="008B2E66" w:rsidRPr="00F84BD5" w:rsidRDefault="00B4254F" w:rsidP="00E97489">
      <w:pPr>
        <w:pStyle w:val="ListParagraph"/>
        <w:spacing w:line="360" w:lineRule="auto"/>
        <w:ind w:left="720"/>
        <w:jc w:val="right"/>
      </w:pPr>
      <w:r w:rsidRPr="00F84BD5">
        <w:rPr>
          <w:noProof/>
          <w:position w:val="-28"/>
        </w:rPr>
        <w:object w:dxaOrig="2560" w:dyaOrig="780" w14:anchorId="5564ECF2">
          <v:shape id="_x0000_i1029" type="#_x0000_t75" alt="" style="width:128.1pt;height:38.75pt;mso-width-percent:0;mso-height-percent:0;mso-width-percent:0;mso-height-percent:0" o:ole="">
            <v:imagedata r:id="rId45" o:title=""/>
          </v:shape>
          <o:OLEObject Type="Embed" ProgID="Equation.DSMT4" ShapeID="_x0000_i1029" DrawAspect="Content" ObjectID="_1685473293" r:id="rId46"/>
        </w:object>
      </w:r>
      <w:r w:rsidR="008B2E66" w:rsidRPr="00F84BD5">
        <w:t xml:space="preserve">                                              (</w:t>
      </w:r>
      <w:r w:rsidR="00DA1FF9" w:rsidRPr="00F84BD5">
        <w:fldChar w:fldCharType="begin"/>
      </w:r>
      <w:r w:rsidR="00DA1FF9" w:rsidRPr="00F84BD5">
        <w:instrText xml:space="preserve"> MACROBUTTON MTPlaceRef \* MERGEFORMAT </w:instrText>
      </w:r>
      <w:r w:rsidR="00DA1FF9" w:rsidRPr="00F84BD5">
        <w:fldChar w:fldCharType="begin"/>
      </w:r>
      <w:r w:rsidR="00DA1FF9" w:rsidRPr="00F84BD5">
        <w:instrText xml:space="preserve"> SEQ MTEqn \h \* MERGEFORMAT </w:instrText>
      </w:r>
      <w:r w:rsidR="00DA1FF9" w:rsidRPr="00F84BD5">
        <w:fldChar w:fldCharType="end"/>
      </w:r>
      <w:bookmarkStart w:id="7" w:name="ZEqnNum415010"/>
      <w:r w:rsidR="00DA1FF9" w:rsidRPr="00F84BD5">
        <w:fldChar w:fldCharType="begin"/>
      </w:r>
      <w:r w:rsidR="00DA1FF9" w:rsidRPr="00F84BD5">
        <w:instrText xml:space="preserve"> SEQ MTEqn \c \* Arabic \* MERGEFORMAT </w:instrText>
      </w:r>
      <w:r w:rsidR="00DA1FF9" w:rsidRPr="00F84BD5">
        <w:fldChar w:fldCharType="separate"/>
      </w:r>
      <w:r w:rsidR="0088027D">
        <w:rPr>
          <w:noProof/>
        </w:rPr>
        <w:instrText>5</w:instrText>
      </w:r>
      <w:r w:rsidR="00DA1FF9" w:rsidRPr="00F84BD5">
        <w:fldChar w:fldCharType="end"/>
      </w:r>
      <w:bookmarkEnd w:id="7"/>
      <w:r w:rsidR="00DA1FF9" w:rsidRPr="00F84BD5">
        <w:fldChar w:fldCharType="end"/>
      </w:r>
      <w:r w:rsidR="008B2E66" w:rsidRPr="00F84BD5">
        <w:t>)</w:t>
      </w:r>
    </w:p>
    <w:p w14:paraId="74E54771" w14:textId="411FC17F" w:rsidR="009940D4" w:rsidRDefault="000B08BA" w:rsidP="00E97489">
      <w:pPr>
        <w:pStyle w:val="ListParagraph"/>
        <w:spacing w:line="360" w:lineRule="auto"/>
      </w:pPr>
      <w:r w:rsidRPr="00F84BD5">
        <w:t xml:space="preserve">Needless to say, </w:t>
      </w:r>
      <w:r w:rsidR="00DA1FF9" w:rsidRPr="00F84BD5">
        <w:t xml:space="preserve">substitute </w:t>
      </w:r>
      <w:r w:rsidRPr="00F84BD5">
        <w:t>two moments in eq</w:t>
      </w:r>
      <w:r w:rsidR="00DA1FF9" w:rsidRPr="00F84BD5">
        <w:t>.</w:t>
      </w:r>
      <w:r w:rsidRPr="00F84BD5">
        <w:t xml:space="preserve"> </w:t>
      </w:r>
      <w:r w:rsidR="00DA1FF9" w:rsidRPr="00F84BD5">
        <w:fldChar w:fldCharType="begin"/>
      </w:r>
      <w:r w:rsidR="00DA1FF9" w:rsidRPr="00F84BD5">
        <w:instrText xml:space="preserve"> GOTOBUTTON ZEqnNum326421  \* MERGEFORMAT </w:instrText>
      </w:r>
      <w:fldSimple w:instr=" REF ZEqnNum326421 \* Charformat \! \* MERGEFORMAT ">
        <w:r w:rsidR="0088027D">
          <w:instrText>4</w:instrText>
        </w:r>
      </w:fldSimple>
      <w:r w:rsidR="00DA1FF9" w:rsidRPr="00F84BD5">
        <w:fldChar w:fldCharType="end"/>
      </w:r>
      <w:r w:rsidR="00DA1FF9" w:rsidRPr="00F84BD5">
        <w:t xml:space="preserve"> </w:t>
      </w:r>
      <w:r w:rsidR="00FA43CB" w:rsidRPr="00F84BD5">
        <w:t>for</w:t>
      </w:r>
      <w:r w:rsidR="00DA1FF9" w:rsidRPr="00F84BD5">
        <w:t xml:space="preserve"> the corresponding moments in eq. </w:t>
      </w:r>
      <w:r w:rsidR="00DA1FF9" w:rsidRPr="00F84BD5">
        <w:fldChar w:fldCharType="begin"/>
      </w:r>
      <w:r w:rsidR="00DA1FF9" w:rsidRPr="00F84BD5">
        <w:instrText xml:space="preserve"> GOTOBUTTON ZEqnNum415010  \* MERGEFORMAT </w:instrText>
      </w:r>
      <w:fldSimple w:instr=" REF ZEqnNum415010 \* Charformat \! \* MERGEFORMAT ">
        <w:r w:rsidR="0088027D">
          <w:instrText>5</w:instrText>
        </w:r>
      </w:fldSimple>
      <w:r w:rsidR="00DA1FF9" w:rsidRPr="00F84BD5">
        <w:fldChar w:fldCharType="end"/>
      </w:r>
      <w:r w:rsidR="00DA1FF9" w:rsidRPr="00F84BD5">
        <w:t>.</w:t>
      </w:r>
    </w:p>
    <w:p w14:paraId="1598A6B7" w14:textId="77777777" w:rsidR="009940D4" w:rsidRDefault="009940D4" w:rsidP="00E97489">
      <w:pPr>
        <w:pStyle w:val="Heading4"/>
        <w:numPr>
          <w:ilvl w:val="0"/>
          <w:numId w:val="34"/>
        </w:numPr>
        <w:spacing w:line="360" w:lineRule="auto"/>
      </w:pPr>
      <w:bookmarkStart w:id="8" w:name="_Hlk70119529"/>
      <w:r>
        <w:t>Model goodness-of-fit and unnecessary/confusing expressions</w:t>
      </w:r>
    </w:p>
    <w:bookmarkEnd w:id="8"/>
    <w:p w14:paraId="1C406AD0" w14:textId="60D0497A" w:rsidR="009940D4" w:rsidRDefault="009940D4" w:rsidP="00E97489">
      <w:pPr>
        <w:pStyle w:val="ListParagraph"/>
        <w:spacing w:line="360" w:lineRule="auto"/>
      </w:pPr>
      <w:r>
        <w:t>The model’s predicted values of trawl survey indices did not well reflect the fluctuation of those survey indices.  I suggest that they should remove the uncertainty measures, such as their term, 95% confidence intervals (CIs) (shaded area) in Figure 9-4</w:t>
      </w:r>
      <w:r w:rsidRPr="008835CF">
        <w:t xml:space="preserve"> </w:t>
      </w:r>
      <w:r>
        <w:t xml:space="preserve">in </w:t>
      </w:r>
      <w:r>
        <w:fldChar w:fldCharType="begin"/>
      </w:r>
      <w:r>
        <w:instrText xml:space="preserve"> ADDIN EN.CITE &lt;EndNote&gt;&lt;Cite AuthorYear="1"&gt;&lt;Author&gt;Hulson&lt;/Author&gt;&lt;Year&gt;2020&lt;/Year&gt;&lt;RecNum&gt;5745&lt;/RecNum&gt;&lt;DisplayText&gt;Hulson et al. (2020)&lt;/DisplayText&gt;&lt;record&gt;&lt;rec-number&gt;5745&lt;/rec-number&gt;&lt;foreign-keys&gt;&lt;key app="EN" db-id="dwsesefros9expews50pvtt1satw2psxpts9" timestamp="1617862691"&gt;5745&lt;/key&gt;&lt;/foreign-keys&gt;&lt;ref-type name="Report"&gt;27&lt;/ref-type&gt;&lt;contributors&gt;&lt;authors&gt;&lt;author&gt;Hulson, Peter-John F&lt;/author&gt;&lt;author&gt;Lunsford, C R&lt;/author&gt;&lt;author&gt;Fissel, B&lt;/author&gt;&lt;author&gt;Jones, D&lt;/author&gt;&lt;/authors&gt;&lt;tertiary-authors&gt;&lt;author&gt;NPFMC Gulf of Alaska SAFE&lt;/author&gt;&lt;/tertiary-authors&gt;&lt;/contributors&gt;&lt;titles&gt;&lt;title&gt;Assessment of the Pacific ocean perch stock in the Gulf of Alaska&lt;/title&gt;&lt;/titles&gt;&lt;pages&gt;79&lt;/pages&gt;&lt;dates&gt;&lt;year&gt;2020&lt;/year&gt;&lt;/dates&gt;&lt;publisher&gt;NPFMC Gulf of Alaska SAFE&lt;/publisher&gt;&lt;urls&gt;&lt;/urls&gt;&lt;/record&gt;&lt;/Cite&gt;&lt;/EndNote&gt;</w:instrText>
      </w:r>
      <w:r>
        <w:fldChar w:fldCharType="separate"/>
      </w:r>
      <w:r>
        <w:rPr>
          <w:noProof/>
        </w:rPr>
        <w:t>Hulson et al. (2020)</w:t>
      </w:r>
      <w:r>
        <w:fldChar w:fldCharType="end"/>
      </w:r>
      <w:r>
        <w:t xml:space="preserve"> for a few reasons.  First, the illustration provided an incorrect impression that the 95% CIs (their term) were too narrow to cover the survey indices.  </w:t>
      </w:r>
      <w:r w:rsidR="001A47BF">
        <w:t>Indeed,</w:t>
      </w:r>
      <w:r>
        <w:t xml:space="preserve"> the CIs often failed to cover the survey indices in the figure, and I fear that the illustration would incorrectly imply a poor performance of their assessment model.  Second, since survey indices were used as input data with observation errors in the assessment model framework, you should not use the term, “confidence interval” because it incorrectly implies the survey indices were parameters, not data.  </w:t>
      </w:r>
    </w:p>
    <w:p w14:paraId="1AF0F68B" w14:textId="704BD15A" w:rsidR="009940D4" w:rsidRDefault="009940D4" w:rsidP="00E97489">
      <w:pPr>
        <w:pStyle w:val="ListParagraph"/>
        <w:spacing w:line="360" w:lineRule="auto"/>
      </w:pPr>
      <w:r w:rsidRPr="00245D0F">
        <w:t xml:space="preserve">However, it is interesting that their assessment report shows a good </w:t>
      </w:r>
      <w:r>
        <w:t>fit</w:t>
      </w:r>
      <w:r w:rsidRPr="00245D0F">
        <w:t xml:space="preserve"> with the survey indices in Figure 9-18 </w:t>
      </w:r>
      <w:r w:rsidRPr="00245D0F">
        <w:fldChar w:fldCharType="begin"/>
      </w:r>
      <w:r w:rsidRPr="00245D0F">
        <w:instrText xml:space="preserve"> ADDIN EN.CITE &lt;EndNote&gt;&lt;Cite&gt;&lt;Author&gt;Hulson&lt;/Author&gt;&lt;Year&gt;2020&lt;/Year&gt;&lt;RecNum&gt;5745&lt;/RecNum&gt;&lt;DisplayText&gt;(Hulson et al. 2020)&lt;/DisplayText&gt;&lt;record&gt;&lt;rec-number&gt;5745&lt;/rec-number&gt;&lt;foreign-keys&gt;&lt;key app="EN" db-id="dwsesefros9expews50pvtt1satw2psxpts9" timestamp="1617862691"&gt;5745&lt;/key&gt;&lt;/foreign-keys&gt;&lt;ref-type name="Report"&gt;27&lt;/ref-type&gt;&lt;contributors&gt;&lt;authors&gt;&lt;author&gt;Hulson, Peter-John F&lt;/author&gt;&lt;author&gt;Lunsford, C R&lt;/author&gt;&lt;author&gt;Fissel, B&lt;/author&gt;&lt;author&gt;Jones, D&lt;/author&gt;&lt;/authors&gt;&lt;tertiary-authors&gt;&lt;author&gt;NPFMC Gulf of Alaska SAFE&lt;/author&gt;&lt;/tertiary-authors&gt;&lt;/contributors&gt;&lt;titles&gt;&lt;title&gt;Assessment of the Pacific ocean perch stock in the Gulf of Alaska&lt;/title&gt;&lt;/titles&gt;&lt;pages&gt;79&lt;/pages&gt;&lt;dates&gt;&lt;year&gt;2020&lt;/year&gt;&lt;/dates&gt;&lt;publisher&gt;NPFMC Gulf of Alaska SAFE&lt;/publisher&gt;&lt;urls&gt;&lt;/urls&gt;&lt;/record&gt;&lt;/Cite&gt;&lt;/EndNote&gt;</w:instrText>
      </w:r>
      <w:r w:rsidRPr="00245D0F">
        <w:fldChar w:fldCharType="separate"/>
      </w:r>
      <w:r w:rsidRPr="00245D0F">
        <w:rPr>
          <w:noProof/>
        </w:rPr>
        <w:t>(Hulson et al. 2020)</w:t>
      </w:r>
      <w:r w:rsidRPr="00245D0F">
        <w:fldChar w:fldCharType="end"/>
      </w:r>
      <w:r w:rsidRPr="00245D0F">
        <w:t xml:space="preserve"> without describing its background.  They simply mention “random effects estimates” and “random effects model” in the legend and caption of Figure 9-18.  If they</w:t>
      </w:r>
      <w:r>
        <w:t xml:space="preserve"> used a random-effects model for the stock assessment, then they should have described in the report what random effects were, what parameters were as opposed to random effects, and how they optimized the model.  The assessment team’s oral presentation did not describe them either in the CIE virtual meeting.  Even in Figure 9-18, the confusing the term, “confidence interval” still remains as described above.</w:t>
      </w:r>
    </w:p>
    <w:p w14:paraId="27AB65DA" w14:textId="77777777" w:rsidR="006F7F0C" w:rsidRDefault="006F7F0C" w:rsidP="00E97489">
      <w:pPr>
        <w:pStyle w:val="ListParagraph"/>
        <w:spacing w:line="360" w:lineRule="auto"/>
      </w:pPr>
    </w:p>
    <w:p w14:paraId="107EA77D" w14:textId="06217994" w:rsidR="00C96E2F" w:rsidRDefault="001E665F" w:rsidP="00E97489">
      <w:pPr>
        <w:pStyle w:val="Heading3"/>
        <w:spacing w:line="360" w:lineRule="auto"/>
      </w:pPr>
      <w:r>
        <w:t>TOR 3.</w:t>
      </w:r>
      <w:r w:rsidR="003D6321">
        <w:t xml:space="preserve"> </w:t>
      </w:r>
      <w:r>
        <w:t xml:space="preserve"> </w:t>
      </w:r>
      <w:r w:rsidR="00AA47D0" w:rsidRPr="00C96E2F">
        <w:t xml:space="preserve">Evaluate the strengths and weaknesses in the stock assessment model for GOA Pacific ocean </w:t>
      </w:r>
      <w:proofErr w:type="gramStart"/>
      <w:r w:rsidR="00AA47D0" w:rsidRPr="00C96E2F">
        <w:t>perch, and</w:t>
      </w:r>
      <w:proofErr w:type="gramEnd"/>
      <w:r w:rsidR="00AA47D0" w:rsidRPr="00C96E2F">
        <w:t xml:space="preserve"> recommend any improvements to the assessment model.</w:t>
      </w:r>
    </w:p>
    <w:p w14:paraId="6809B377" w14:textId="5E20443E" w:rsidR="005300C0" w:rsidRPr="00F9050C" w:rsidRDefault="005300C0" w:rsidP="00E97489">
      <w:pPr>
        <w:pStyle w:val="BodyText"/>
        <w:spacing w:line="360" w:lineRule="auto"/>
      </w:pPr>
      <w:r w:rsidRPr="00F9050C">
        <w:t>3.1. Strengths</w:t>
      </w:r>
    </w:p>
    <w:p w14:paraId="29AB5620" w14:textId="600BCC65" w:rsidR="00357529" w:rsidRDefault="00F30DEF" w:rsidP="00E97489">
      <w:pPr>
        <w:pStyle w:val="BodyTextFirstIndent"/>
        <w:spacing w:line="360" w:lineRule="auto"/>
      </w:pPr>
      <w:r w:rsidRPr="00F30DEF">
        <w:t>The</w:t>
      </w:r>
      <w:r>
        <w:t>y have continued to collect quality data about survey ind</w:t>
      </w:r>
      <w:r w:rsidR="004850B2">
        <w:t>ices</w:t>
      </w:r>
      <w:r>
        <w:t xml:space="preserve"> or </w:t>
      </w:r>
      <w:r w:rsidR="004850B2">
        <w:t xml:space="preserve">fishery </w:t>
      </w:r>
      <w:proofErr w:type="spellStart"/>
      <w:r>
        <w:t>cpue</w:t>
      </w:r>
      <w:r w:rsidR="004850B2">
        <w:t>’s</w:t>
      </w:r>
      <w:proofErr w:type="spellEnd"/>
      <w:r>
        <w:t xml:space="preserve">, fish age, fish body size (length, weight), and sexual maturity through survey and fishery </w:t>
      </w:r>
      <w:r>
        <w:lastRenderedPageBreak/>
        <w:t xml:space="preserve">operations, </w:t>
      </w:r>
      <w:r w:rsidR="007C6AA9">
        <w:t xml:space="preserve">and </w:t>
      </w:r>
      <w:r>
        <w:t xml:space="preserve">laboratory work for </w:t>
      </w:r>
      <w:r w:rsidR="004850B2">
        <w:t xml:space="preserve">the </w:t>
      </w:r>
      <w:r>
        <w:t>identi</w:t>
      </w:r>
      <w:r w:rsidR="007C6AA9">
        <w:t>fication of</w:t>
      </w:r>
      <w:r>
        <w:t xml:space="preserve"> fish ages</w:t>
      </w:r>
      <w:r w:rsidR="007C6AA9">
        <w:t>.</w:t>
      </w:r>
      <w:r>
        <w:t xml:space="preserve">  </w:t>
      </w:r>
      <w:r w:rsidR="0018004E">
        <w:t>Given these data, they applied a</w:t>
      </w:r>
      <w:r w:rsidR="00470451">
        <w:t>n age-structured assessment model</w:t>
      </w:r>
      <w:r w:rsidR="0018004E">
        <w:t xml:space="preserve">.  Overall their methodology </w:t>
      </w:r>
      <w:r w:rsidR="007C6AA9">
        <w:t>was</w:t>
      </w:r>
      <w:r w:rsidR="00822D19">
        <w:t xml:space="preserve"> thorough and they </w:t>
      </w:r>
      <w:r w:rsidR="00046863">
        <w:t xml:space="preserve">have </w:t>
      </w:r>
      <w:r w:rsidR="00822D19">
        <w:t>continue</w:t>
      </w:r>
      <w:r w:rsidR="00046863">
        <w:t>d</w:t>
      </w:r>
      <w:r w:rsidR="00822D19">
        <w:t xml:space="preserve"> to improve their assessment with state-of-the-art methods</w:t>
      </w:r>
      <w:r w:rsidR="0018004E">
        <w:t xml:space="preserve">, </w:t>
      </w:r>
      <w:r w:rsidR="00046863">
        <w:t>add</w:t>
      </w:r>
      <w:r w:rsidR="0018004E">
        <w:t>ing</w:t>
      </w:r>
      <w:r w:rsidR="00046863">
        <w:t xml:space="preserve"> new features such as length-to-age transition</w:t>
      </w:r>
      <w:r w:rsidR="00047DD2">
        <w:t xml:space="preserve"> information.  The process of determining ages of fish is laborious and costly</w:t>
      </w:r>
      <w:r w:rsidR="004850B2">
        <w:t>,</w:t>
      </w:r>
      <w:r w:rsidR="00047DD2">
        <w:t xml:space="preserve"> extracting otoliths, breaking-burning them, and reading</w:t>
      </w:r>
      <w:r w:rsidR="004850B2">
        <w:t xml:space="preserve"> their</w:t>
      </w:r>
      <w:r w:rsidR="00047DD2">
        <w:t xml:space="preserve"> annuli.  For the</w:t>
      </w:r>
      <w:r w:rsidR="004850B2">
        <w:t>se</w:t>
      </w:r>
      <w:r w:rsidR="00047DD2">
        <w:t xml:space="preserve"> reason</w:t>
      </w:r>
      <w:r w:rsidR="004850B2">
        <w:t>s</w:t>
      </w:r>
      <w:r w:rsidR="00047DD2">
        <w:t xml:space="preserve">, </w:t>
      </w:r>
      <w:r w:rsidR="004850B2">
        <w:t>it is appropriate</w:t>
      </w:r>
      <w:r w:rsidR="0018004E">
        <w:t xml:space="preserve"> </w:t>
      </w:r>
      <w:r w:rsidR="00F17CA8">
        <w:t>that</w:t>
      </w:r>
      <w:r w:rsidR="00047DD2">
        <w:t xml:space="preserve"> they determine</w:t>
      </w:r>
      <w:r w:rsidR="007C6AA9">
        <w:t>d</w:t>
      </w:r>
      <w:r w:rsidR="00047DD2">
        <w:t xml:space="preserve"> </w:t>
      </w:r>
      <w:r w:rsidR="00F17CA8">
        <w:t>fish</w:t>
      </w:r>
      <w:r w:rsidR="00357529">
        <w:t xml:space="preserve"> ages</w:t>
      </w:r>
      <w:r w:rsidR="00F17CA8">
        <w:t xml:space="preserve"> every other year instead of every year.</w:t>
      </w:r>
      <w:r w:rsidR="00357529">
        <w:t xml:space="preserve">  </w:t>
      </w:r>
      <w:r w:rsidR="007C6AA9">
        <w:t>When actual age composition data were not available in years, t</w:t>
      </w:r>
      <w:r w:rsidR="00F17CA8">
        <w:t>hey (internally in the model framework) infer</w:t>
      </w:r>
      <w:r w:rsidR="007C6AA9">
        <w:t>red</w:t>
      </w:r>
      <w:r w:rsidR="00F17CA8">
        <w:t xml:space="preserve"> age compositions </w:t>
      </w:r>
      <w:r w:rsidR="0018004E">
        <w:t>of a population</w:t>
      </w:r>
      <w:r w:rsidR="004850B2">
        <w:t xml:space="preserve"> using</w:t>
      </w:r>
      <w:r w:rsidR="007C6AA9">
        <w:t xml:space="preserve"> the length-to-age transition information in those year</w:t>
      </w:r>
      <w:r w:rsidR="004850B2">
        <w:t>s</w:t>
      </w:r>
      <w:r w:rsidR="007C6AA9">
        <w:t xml:space="preserve">. </w:t>
      </w:r>
      <w:r w:rsidR="00F17CA8">
        <w:t xml:space="preserve"> </w:t>
      </w:r>
    </w:p>
    <w:p w14:paraId="4C016BF1" w14:textId="2AF10209" w:rsidR="00A833EE" w:rsidRDefault="00DC1275" w:rsidP="00E97489">
      <w:pPr>
        <w:pStyle w:val="BodyTextFirstIndent"/>
        <w:spacing w:line="360" w:lineRule="auto"/>
      </w:pPr>
      <w:r>
        <w:t>They use</w:t>
      </w:r>
      <w:r w:rsidR="007C6AA9">
        <w:t>d</w:t>
      </w:r>
      <w:r>
        <w:t xml:space="preserve"> ADMB as optimization software.  ADMB </w:t>
      </w:r>
      <w:r w:rsidR="006F7F0C">
        <w:t>is</w:t>
      </w:r>
      <w:r>
        <w:t xml:space="preserve"> sophisticated software but users </w:t>
      </w:r>
      <w:r w:rsidR="009805C7">
        <w:t>of</w:t>
      </w:r>
      <w:r>
        <w:t xml:space="preserve"> the software are required to be proficient in computer language syntax as well as mathematical statistics </w:t>
      </w:r>
      <w:r w:rsidR="009805C7">
        <w:t>used in</w:t>
      </w:r>
      <w:r>
        <w:t xml:space="preserve"> the stock assessment model.  They should be praised for th</w:t>
      </w:r>
      <w:r w:rsidR="009805C7">
        <w:t>is</w:t>
      </w:r>
      <w:r>
        <w:t xml:space="preserve"> high proficiency.     </w:t>
      </w:r>
    </w:p>
    <w:p w14:paraId="54C368EA" w14:textId="4EF38CAB" w:rsidR="003D6321" w:rsidRDefault="003D6321" w:rsidP="00E97489">
      <w:pPr>
        <w:suppressAutoHyphens/>
        <w:spacing w:after="120" w:line="360" w:lineRule="auto"/>
        <w:ind w:left="360"/>
      </w:pPr>
    </w:p>
    <w:p w14:paraId="7EEBBD82" w14:textId="3D251333" w:rsidR="00635618" w:rsidRPr="007C6AA9" w:rsidRDefault="001B2F4B" w:rsidP="00E97489">
      <w:pPr>
        <w:pStyle w:val="BodyText"/>
        <w:spacing w:line="360" w:lineRule="auto"/>
      </w:pPr>
      <w:r w:rsidRPr="007C6AA9">
        <w:t>3.2. Weaknesses and suggestions</w:t>
      </w:r>
    </w:p>
    <w:p w14:paraId="42130BB6" w14:textId="2426C066" w:rsidR="00E03E7B" w:rsidRDefault="007858AB" w:rsidP="00E97489">
      <w:pPr>
        <w:pStyle w:val="BodyTextFirstIndent"/>
        <w:spacing w:line="360" w:lineRule="auto"/>
      </w:pPr>
      <w:r w:rsidRPr="007C6AA9">
        <w:t xml:space="preserve">The assessment report lacks </w:t>
      </w:r>
      <w:r w:rsidR="007C6AA9" w:rsidRPr="007C6AA9">
        <w:t xml:space="preserve">formal </w:t>
      </w:r>
      <w:r w:rsidRPr="007C6AA9">
        <w:t xml:space="preserve">model validation.  </w:t>
      </w:r>
      <w:r w:rsidR="00635618" w:rsidRPr="007C6AA9">
        <w:t>The assessment report</w:t>
      </w:r>
      <w:r w:rsidRPr="007C6AA9">
        <w:t xml:space="preserve"> </w:t>
      </w:r>
      <w:r w:rsidRPr="007C6AA9">
        <w:fldChar w:fldCharType="begin"/>
      </w:r>
      <w:r w:rsidRPr="007C6AA9">
        <w:instrText xml:space="preserve"> ADDIN EN.CITE &lt;EndNote&gt;&lt;Cite&gt;&lt;Author&gt;Hulson&lt;/Author&gt;&lt;Year&gt;2020&lt;/Year&gt;&lt;RecNum&gt;5745&lt;/RecNum&gt;&lt;DisplayText&gt;(Hulson et al. 2020)&lt;/DisplayText&gt;&lt;record&gt;&lt;rec-number&gt;5745&lt;/rec-number&gt;&lt;foreign-keys&gt;&lt;key app="EN" db-id="dwsesefros9expews50pvtt1satw2psxpts9" timestamp="1617862691"&gt;5745&lt;/key&gt;&lt;/foreign-keys&gt;&lt;ref-type name="Report"&gt;27&lt;/ref-type&gt;&lt;contributors&gt;&lt;authors&gt;&lt;author&gt;Hulson, Peter-John F&lt;/author&gt;&lt;author&gt;Lunsford, C R&lt;/author&gt;&lt;author&gt;Fissel, B&lt;/author&gt;&lt;author&gt;Jones, D&lt;/author&gt;&lt;/authors&gt;&lt;tertiary-authors&gt;&lt;author&gt;NPFMC Gulf of Alaska SAFE&lt;/author&gt;&lt;/tertiary-authors&gt;&lt;/contributors&gt;&lt;titles&gt;&lt;title&gt;Assessment of the Pacific ocean perch stock in the Gulf of Alaska&lt;/title&gt;&lt;/titles&gt;&lt;pages&gt;79&lt;/pages&gt;&lt;dates&gt;&lt;year&gt;2020&lt;/year&gt;&lt;/dates&gt;&lt;publisher&gt;NPFMC Gulf of Alaska SAFE&lt;/publisher&gt;&lt;urls&gt;&lt;/urls&gt;&lt;/record&gt;&lt;/Cite&gt;&lt;/EndNote&gt;</w:instrText>
      </w:r>
      <w:r w:rsidRPr="007C6AA9">
        <w:fldChar w:fldCharType="separate"/>
      </w:r>
      <w:r w:rsidRPr="007C6AA9">
        <w:rPr>
          <w:noProof/>
        </w:rPr>
        <w:t>(Hulson et al. 2020)</w:t>
      </w:r>
      <w:r w:rsidRPr="007C6AA9">
        <w:fldChar w:fldCharType="end"/>
      </w:r>
      <w:r w:rsidR="00635618" w:rsidRPr="007C6AA9">
        <w:t xml:space="preserve"> has </w:t>
      </w:r>
      <w:r w:rsidR="003E1848">
        <w:t>a</w:t>
      </w:r>
      <w:r w:rsidR="00635618" w:rsidRPr="007C6AA9">
        <w:t xml:space="preserve"> section, “Model evaluation” under “Results”</w:t>
      </w:r>
      <w:r w:rsidR="00E03E7B" w:rsidRPr="007C6AA9">
        <w:t xml:space="preserve">, but the description in the section </w:t>
      </w:r>
      <w:r w:rsidR="007C6AA9" w:rsidRPr="007C6AA9">
        <w:t>wa</w:t>
      </w:r>
      <w:r w:rsidR="00E03E7B" w:rsidRPr="007C6AA9">
        <w:t>s</w:t>
      </w:r>
      <w:r w:rsidR="00245D0F" w:rsidRPr="007C6AA9">
        <w:t xml:space="preserve"> </w:t>
      </w:r>
      <w:r w:rsidR="00E03E7B" w:rsidRPr="007C6AA9">
        <w:t>about</w:t>
      </w:r>
      <w:r w:rsidR="003E1848">
        <w:t xml:space="preserve"> the</w:t>
      </w:r>
      <w:r w:rsidR="00E03E7B" w:rsidRPr="007C6AA9">
        <w:t xml:space="preserve"> model selection</w:t>
      </w:r>
      <w:r w:rsidR="00245D0F" w:rsidRPr="007C6AA9">
        <w:t xml:space="preserve"> based on </w:t>
      </w:r>
      <w:r w:rsidR="00370C49" w:rsidRPr="007C6AA9">
        <w:t xml:space="preserve">the model’s </w:t>
      </w:r>
      <w:r w:rsidR="00245D0F" w:rsidRPr="007C6AA9">
        <w:t>goodness-of-fit</w:t>
      </w:r>
      <w:r w:rsidR="00AD58B1" w:rsidRPr="007C6AA9">
        <w:t xml:space="preserve"> </w:t>
      </w:r>
      <w:r w:rsidR="003E1848">
        <w:t>using</w:t>
      </w:r>
      <w:r w:rsidR="00AD58B1" w:rsidRPr="007C6AA9">
        <w:t xml:space="preserve"> the</w:t>
      </w:r>
      <w:r w:rsidR="003E1848">
        <w:t xml:space="preserve"> total</w:t>
      </w:r>
      <w:r w:rsidR="00AD58B1" w:rsidRPr="007C6AA9">
        <w:t xml:space="preserve"> loglikelihood value</w:t>
      </w:r>
      <w:r w:rsidR="003E1848">
        <w:t xml:space="preserve"> (i.e., the objective function value)</w:t>
      </w:r>
      <w:r w:rsidR="00245D0F" w:rsidRPr="007C6AA9">
        <w:t>,</w:t>
      </w:r>
      <w:r w:rsidR="00AD58B1" w:rsidRPr="007C6AA9">
        <w:t xml:space="preserve"> parameter</w:t>
      </w:r>
      <w:r w:rsidR="00245D0F" w:rsidRPr="007C6AA9">
        <w:t xml:space="preserve"> parsimony, </w:t>
      </w:r>
      <w:r w:rsidR="00AD58B1" w:rsidRPr="007C6AA9">
        <w:t xml:space="preserve">biological patterns of recruitment, catchability and selectivity, and </w:t>
      </w:r>
      <w:r w:rsidR="00B539AF" w:rsidRPr="007C6AA9">
        <w:t xml:space="preserve">a </w:t>
      </w:r>
      <w:r w:rsidR="00AD58B1" w:rsidRPr="007C6AA9">
        <w:t xml:space="preserve">visual </w:t>
      </w:r>
      <w:r w:rsidR="00B539AF" w:rsidRPr="007C6AA9">
        <w:t>examination</w:t>
      </w:r>
      <w:r w:rsidR="00B54625" w:rsidRPr="007C6AA9">
        <w:t xml:space="preserve"> </w:t>
      </w:r>
      <w:r w:rsidR="003E1848">
        <w:t>of the</w:t>
      </w:r>
      <w:r w:rsidR="00370C49" w:rsidRPr="007C6AA9">
        <w:t xml:space="preserve"> length and age compositions</w:t>
      </w:r>
      <w:r w:rsidR="00B54625" w:rsidRPr="007C6AA9">
        <w:t xml:space="preserve"> between the mode</w:t>
      </w:r>
      <w:r w:rsidR="001A47BF">
        <w:t>l</w:t>
      </w:r>
      <w:r w:rsidR="00B54625" w:rsidRPr="007C6AA9">
        <w:t>’s predicted values and data</w:t>
      </w:r>
      <w:r w:rsidR="00E03E7B" w:rsidRPr="007C6AA9">
        <w:t xml:space="preserve">. </w:t>
      </w:r>
      <w:r w:rsidR="00245D0F" w:rsidRPr="007C6AA9">
        <w:t xml:space="preserve"> I </w:t>
      </w:r>
      <w:r w:rsidR="003E1848">
        <w:t>accept</w:t>
      </w:r>
      <w:r w:rsidR="00245D0F" w:rsidRPr="007C6AA9">
        <w:t xml:space="preserve"> their model selection procedure.</w:t>
      </w:r>
      <w:r w:rsidR="00EE2D8F" w:rsidRPr="007C6AA9">
        <w:t xml:space="preserve">  </w:t>
      </w:r>
      <w:r w:rsidR="00245D0F" w:rsidRPr="007C6AA9">
        <w:t xml:space="preserve">However, a model with a good balance (e.g., </w:t>
      </w:r>
      <w:r w:rsidR="002F6148" w:rsidRPr="007C6AA9">
        <w:t xml:space="preserve">a </w:t>
      </w:r>
      <w:r w:rsidR="00245D0F" w:rsidRPr="007C6AA9">
        <w:t>low</w:t>
      </w:r>
      <w:r w:rsidR="002F6148" w:rsidRPr="007C6AA9">
        <w:t xml:space="preserve"> value of </w:t>
      </w:r>
      <w:r w:rsidR="00245D0F" w:rsidRPr="007C6AA9">
        <w:t xml:space="preserve">AIC) between goodness-of-fit and parameter parsimony does not guarantee low bias and high precision </w:t>
      </w:r>
      <w:r w:rsidR="00B54625" w:rsidRPr="007C6AA9">
        <w:t>in</w:t>
      </w:r>
      <w:r w:rsidR="00245D0F" w:rsidRPr="007C6AA9">
        <w:t xml:space="preserve"> parameter estimates. </w:t>
      </w:r>
      <w:r w:rsidR="00B54625" w:rsidRPr="007C6AA9">
        <w:t xml:space="preserve">  For th</w:t>
      </w:r>
      <w:r w:rsidR="003E1848">
        <w:t>is</w:t>
      </w:r>
      <w:r w:rsidR="00B54625" w:rsidRPr="007C6AA9">
        <w:t xml:space="preserve"> reason, I suggest </w:t>
      </w:r>
      <w:r w:rsidR="003E1848">
        <w:t xml:space="preserve">that </w:t>
      </w:r>
      <w:r w:rsidR="00B54625" w:rsidRPr="007C6AA9">
        <w:t xml:space="preserve">they should </w:t>
      </w:r>
      <w:r w:rsidR="003E1848">
        <w:t>perform</w:t>
      </w:r>
      <w:r w:rsidR="00B54625" w:rsidRPr="007C6AA9">
        <w:t xml:space="preserve"> formal model validation</w:t>
      </w:r>
      <w:r w:rsidR="003E1848">
        <w:t>,</w:t>
      </w:r>
      <w:r w:rsidR="00B54625" w:rsidRPr="007C6AA9">
        <w:t xml:space="preserve"> setting true values of</w:t>
      </w:r>
      <w:r w:rsidR="00BF5662" w:rsidRPr="007C6AA9">
        <w:t xml:space="preserve"> free</w:t>
      </w:r>
      <w:r w:rsidR="00B54625" w:rsidRPr="007C6AA9">
        <w:t xml:space="preserve"> parameters, generating pseudo data, feeding those simulated data into the assessment model, estimating</w:t>
      </w:r>
      <w:r w:rsidR="00B54625">
        <w:t xml:space="preserve"> parameters, and comparing estimates of </w:t>
      </w:r>
      <w:r w:rsidR="00BF5662">
        <w:t xml:space="preserve">free </w:t>
      </w:r>
      <w:r w:rsidR="00B54625">
        <w:t xml:space="preserve">parameters with the corresponding true values.  </w:t>
      </w:r>
      <w:r w:rsidR="00B54625" w:rsidRPr="00D36B57">
        <w:t>Such model validation would</w:t>
      </w:r>
      <w:r w:rsidR="000F6435" w:rsidRPr="00D36B57">
        <w:t xml:space="preserve"> help us </w:t>
      </w:r>
      <w:r w:rsidR="00BF5662" w:rsidRPr="00D36B57">
        <w:t xml:space="preserve">to judge the reliability of </w:t>
      </w:r>
      <w:r w:rsidR="003E1848">
        <w:t xml:space="preserve">the </w:t>
      </w:r>
      <w:r w:rsidR="00BF5662" w:rsidRPr="00D36B57">
        <w:t>parameter estimates</w:t>
      </w:r>
      <w:r w:rsidR="00FE21A6" w:rsidRPr="00D36B57">
        <w:t xml:space="preserve"> (and the resultant derived quantities)</w:t>
      </w:r>
      <w:r w:rsidR="00BF5662" w:rsidRPr="00D36B57">
        <w:t xml:space="preserve"> made by the model.  </w:t>
      </w:r>
      <w:r w:rsidR="003E1848">
        <w:t>The</w:t>
      </w:r>
      <w:r w:rsidR="00B54625" w:rsidRPr="00D36B57">
        <w:t xml:space="preserve"> </w:t>
      </w:r>
      <w:r w:rsidR="00EE2D8F" w:rsidRPr="00D36B57">
        <w:t>“</w:t>
      </w:r>
      <w:r w:rsidR="00EE2D8F">
        <w:t xml:space="preserve">Simulation study” </w:t>
      </w:r>
      <w:r w:rsidR="003E1848">
        <w:t>of</w:t>
      </w:r>
      <w:r w:rsidR="00EE2D8F">
        <w:t xml:space="preserve"> </w:t>
      </w:r>
      <w:r w:rsidR="00EE2D8F">
        <w:fldChar w:fldCharType="begin"/>
      </w:r>
      <w:r w:rsidR="00EE2D8F">
        <w:instrText xml:space="preserve"> ADDIN EN.CITE &lt;EndNote&gt;&lt;Cite AuthorYear="1"&gt;&lt;Author&gt;Miller&lt;/Author&gt;&lt;Year&gt;2018&lt;/Year&gt;&lt;RecNum&gt;5674&lt;/RecNum&gt;&lt;DisplayText&gt;Miller and Hyun (2018)&lt;/DisplayText&gt;&lt;record&gt;&lt;rec-number&gt;5674&lt;/rec-number&gt;&lt;foreign-keys&gt;&lt;key app="EN" db-id="dwsesefros9expews50pvtt1satw2psxpts9" timestamp="1566369794"&gt;5674&lt;/key&gt;&lt;/foreign-keys&gt;&lt;ref-type name="Journal Article"&gt;17&lt;/ref-type&gt;&lt;contributors&gt;&lt;authors&gt;&lt;author&gt;Miller, Timothy J.&lt;/author&gt;&lt;author&gt;Hyun, Saang-Yoon&lt;/author&gt;&lt;/authors&gt;&lt;/contributors&gt;&lt;titles&gt;&lt;title&gt;Evaluating evidence for alternative natural mortality and process error assumptions using a state-space, age-structured assessment model&lt;/title&gt;&lt;secondary-title&gt;Canadian Journal of Fisheries and Aquatic Sciences&lt;/secondary-title&gt;&lt;/titles&gt;&lt;periodical&gt;&lt;full-title&gt;Canadian Journal of Fisheries and Aquatic Sciences&lt;/full-title&gt;&lt;/periodical&gt;&lt;pages&gt;691-703&lt;/pages&gt;&lt;volume&gt;75&lt;/volume&gt;&lt;number&gt;5&lt;/number&gt;&lt;section&gt;691&lt;/section&gt;&lt;dates&gt;&lt;year&gt;2018&lt;/year&gt;&lt;pub-dates&gt;&lt;date&gt;2018/05/01&lt;/date&gt;&lt;/pub-dates&gt;&lt;/dates&gt;&lt;publisher&gt;NRC Research Press&lt;/publisher&gt;&lt;isbn&gt;0706-652X&amp;#xD;1205-7533&lt;/isbn&gt;&lt;urls&gt;&lt;related-urls&gt;&lt;url&gt;https://doi.org/10.1139/cjfas-2017-0035&lt;/url&gt;&lt;/related-urls&gt;&lt;/urls&gt;&lt;electronic-resource-num&gt;10.1139/cjfas-2017-0035&lt;/electronic-resource-num&gt;&lt;access-date&gt;2019/08/20&lt;/access-date&gt;&lt;/record&gt;&lt;/Cite&gt;&lt;/EndNote&gt;</w:instrText>
      </w:r>
      <w:r w:rsidR="00EE2D8F">
        <w:fldChar w:fldCharType="separate"/>
      </w:r>
      <w:r w:rsidR="00EE2D8F">
        <w:rPr>
          <w:noProof/>
        </w:rPr>
        <w:t>Miller and Hyun (2018)</w:t>
      </w:r>
      <w:r w:rsidR="00EE2D8F">
        <w:fldChar w:fldCharType="end"/>
      </w:r>
      <w:r w:rsidR="00EE2D8F">
        <w:t xml:space="preserve"> would be an example for model validation. </w:t>
      </w:r>
    </w:p>
    <w:p w14:paraId="3469D6D4" w14:textId="18CDE715" w:rsidR="00484CE1" w:rsidRDefault="00BB78EB" w:rsidP="00E97489">
      <w:pPr>
        <w:pStyle w:val="BodyTextFirstIndent"/>
        <w:spacing w:line="360" w:lineRule="auto"/>
      </w:pPr>
      <w:r>
        <w:t>The assessment</w:t>
      </w:r>
      <w:r w:rsidR="00194E71">
        <w:t>’s</w:t>
      </w:r>
      <w:r>
        <w:t xml:space="preserve"> time step is a year but t</w:t>
      </w:r>
      <w:r w:rsidR="0040272D">
        <w:t xml:space="preserve">heir </w:t>
      </w:r>
      <w:r w:rsidR="0086339F">
        <w:t xml:space="preserve">bottom </w:t>
      </w:r>
      <w:r w:rsidR="0040272D">
        <w:t>survey has not been made every year (see closed dots in Figure 1).</w:t>
      </w:r>
      <w:r>
        <w:t xml:space="preserve">  </w:t>
      </w:r>
      <w:r w:rsidR="00877586">
        <w:t xml:space="preserve">it is unclear </w:t>
      </w:r>
      <w:r w:rsidR="0086339F">
        <w:t xml:space="preserve">why they did not synthesize the fishery </w:t>
      </w:r>
      <w:proofErr w:type="spellStart"/>
      <w:r w:rsidR="0086339F">
        <w:t>cpue’s</w:t>
      </w:r>
      <w:proofErr w:type="spellEnd"/>
      <w:r w:rsidR="0086339F">
        <w:t xml:space="preserve"> </w:t>
      </w:r>
      <w:r w:rsidR="0086339F">
        <w:lastRenderedPageBreak/>
        <w:t xml:space="preserve">and the survey indices especially </w:t>
      </w:r>
      <w:r w:rsidR="00194E71">
        <w:t>when</w:t>
      </w:r>
      <w:r w:rsidR="0086339F">
        <w:t xml:space="preserve"> the annual survey ind</w:t>
      </w:r>
      <w:r w:rsidR="00107EE7">
        <w:t>ices</w:t>
      </w:r>
      <w:r w:rsidR="0086339F">
        <w:t xml:space="preserve"> w</w:t>
      </w:r>
      <w:r w:rsidR="00107EE7">
        <w:t>ere</w:t>
      </w:r>
      <w:r w:rsidR="0086339F">
        <w:t xml:space="preserve"> not available.  </w:t>
      </w:r>
      <w:r>
        <w:t>Their ADMB code (TPL, DAT files) shows they</w:t>
      </w:r>
      <w:r w:rsidR="0086339F">
        <w:t xml:space="preserve"> did not use the fishery </w:t>
      </w:r>
      <w:proofErr w:type="spellStart"/>
      <w:r w:rsidR="0086339F">
        <w:t>cpue</w:t>
      </w:r>
      <w:proofErr w:type="spellEnd"/>
      <w:r w:rsidR="0086339F">
        <w:t xml:space="preserve"> data.  Should </w:t>
      </w:r>
      <w:r w:rsidR="00357529">
        <w:t>they</w:t>
      </w:r>
      <w:r w:rsidR="001C4D0C">
        <w:t xml:space="preserve"> not</w:t>
      </w:r>
      <w:r w:rsidR="00357529">
        <w:t xml:space="preserve"> synthesize all available data and information in a single model framework</w:t>
      </w:r>
      <w:r w:rsidR="002A5F3F">
        <w:t>?</w:t>
      </w:r>
      <w:r w:rsidR="000056B0">
        <w:t xml:space="preserve">  </w:t>
      </w:r>
      <w:r w:rsidR="00357529">
        <w:t>Data collected by a</w:t>
      </w:r>
      <w:r w:rsidR="0024569B">
        <w:t xml:space="preserve"> </w:t>
      </w:r>
      <w:r w:rsidR="00357529">
        <w:t>survey</w:t>
      </w:r>
      <w:r w:rsidR="00484CE1">
        <w:t>, and caught by</w:t>
      </w:r>
      <w:r w:rsidR="0024569B">
        <w:t xml:space="preserve"> a fishery </w:t>
      </w:r>
      <w:r w:rsidR="00357529">
        <w:t>are</w:t>
      </w:r>
      <w:r w:rsidR="0024569B">
        <w:t xml:space="preserve"> </w:t>
      </w:r>
      <w:r w:rsidR="00357529">
        <w:t>sample</w:t>
      </w:r>
      <w:r w:rsidR="00484CE1">
        <w:t>s</w:t>
      </w:r>
      <w:r w:rsidR="00357529">
        <w:t xml:space="preserve"> of a population in </w:t>
      </w:r>
      <w:r w:rsidR="001C4D0C">
        <w:t xml:space="preserve">a </w:t>
      </w:r>
      <w:r w:rsidR="00357529">
        <w:t>statistics context, and</w:t>
      </w:r>
      <w:r w:rsidR="00484CE1">
        <w:t xml:space="preserve"> fishery </w:t>
      </w:r>
      <w:proofErr w:type="spellStart"/>
      <w:r w:rsidR="00484CE1">
        <w:t>cpue’s</w:t>
      </w:r>
      <w:proofErr w:type="spellEnd"/>
      <w:r w:rsidR="00484CE1">
        <w:t xml:space="preserve"> are independent of survey indices.  </w:t>
      </w:r>
      <w:r w:rsidR="00877586">
        <w:t>Thus,</w:t>
      </w:r>
      <w:r w:rsidR="00357529">
        <w:t xml:space="preserve"> </w:t>
      </w:r>
      <w:r w:rsidR="0024569B">
        <w:t>it is not surprising that</w:t>
      </w:r>
      <w:r w:rsidR="00357529">
        <w:t xml:space="preserve"> </w:t>
      </w:r>
      <w:r w:rsidR="0024569B">
        <w:t>such data</w:t>
      </w:r>
      <w:r w:rsidR="00357529">
        <w:t xml:space="preserve"> (i.e., different samples) </w:t>
      </w:r>
      <w:r w:rsidR="000056B0">
        <w:t>at a time often show</w:t>
      </w:r>
      <w:r w:rsidR="00357529">
        <w:t xml:space="preserve"> diff</w:t>
      </w:r>
      <w:r w:rsidR="000056B0">
        <w:t>erent signals at the time</w:t>
      </w:r>
      <w:r w:rsidR="00484CE1">
        <w:t xml:space="preserve"> (Figure 1a)</w:t>
      </w:r>
      <w:r w:rsidR="00357529">
        <w:t>.</w:t>
      </w:r>
      <w:r w:rsidR="0024569B">
        <w:t xml:space="preserve">  </w:t>
      </w:r>
      <w:r w:rsidR="00484CE1">
        <w:t>Although t</w:t>
      </w:r>
      <w:r w:rsidR="0024569B">
        <w:t>he fishery</w:t>
      </w:r>
      <w:r w:rsidR="00B53FFC">
        <w:t xml:space="preserve"> catch is not a random sample, its </w:t>
      </w:r>
      <w:proofErr w:type="spellStart"/>
      <w:r w:rsidR="00B53FFC">
        <w:t>cpue</w:t>
      </w:r>
      <w:proofErr w:type="spellEnd"/>
      <w:r w:rsidR="00B53FFC">
        <w:t xml:space="preserve"> should be considered to be a relative population size.</w:t>
      </w:r>
      <w:r w:rsidR="009F130D">
        <w:t xml:space="preserve">  If my observation is correct, then they should </w:t>
      </w:r>
      <w:r w:rsidR="002A5F3F">
        <w:t xml:space="preserve">have </w:t>
      </w:r>
      <w:r w:rsidR="009F130D">
        <w:t>synthesize</w:t>
      </w:r>
      <w:r w:rsidR="002A5F3F">
        <w:t>d</w:t>
      </w:r>
      <w:r w:rsidR="009F130D">
        <w:t xml:space="preserve"> the two kinds of population size indices </w:t>
      </w:r>
      <w:r w:rsidR="00484CE1">
        <w:t xml:space="preserve">by incorporating </w:t>
      </w:r>
      <w:r w:rsidR="001C4D0C">
        <w:t xml:space="preserve">the </w:t>
      </w:r>
      <w:r w:rsidR="00484CE1">
        <w:t xml:space="preserve">additional likelihood for the fishery </w:t>
      </w:r>
      <w:proofErr w:type="spellStart"/>
      <w:r w:rsidR="00484CE1">
        <w:t>cpue</w:t>
      </w:r>
      <w:proofErr w:type="spellEnd"/>
      <w:r w:rsidR="006F7F0C">
        <w:t xml:space="preserve"> data</w:t>
      </w:r>
      <w:r w:rsidR="00484CE1">
        <w:t xml:space="preserve">. </w:t>
      </w:r>
    </w:p>
    <w:p w14:paraId="45B5BDC1" w14:textId="786A9436" w:rsidR="006A534A" w:rsidRDefault="00EE3D77" w:rsidP="00E97489">
      <w:pPr>
        <w:pStyle w:val="BodyTextFirstIndent"/>
        <w:spacing w:line="360" w:lineRule="auto"/>
      </w:pPr>
      <w:r w:rsidRPr="008D494A">
        <w:t xml:space="preserve">Their retrospective error analysis </w:t>
      </w:r>
      <w:r w:rsidR="004E49A8">
        <w:t>was made for estimates of the annual spawning stock biomass</w:t>
      </w:r>
      <w:r w:rsidRPr="008D494A">
        <w:t xml:space="preserve">. </w:t>
      </w:r>
      <w:r w:rsidR="00CA52F8">
        <w:t xml:space="preserve"> </w:t>
      </w:r>
      <w:r w:rsidRPr="008D494A">
        <w:t>They argued</w:t>
      </w:r>
      <w:r w:rsidR="00CC584A">
        <w:t xml:space="preserve"> that</w:t>
      </w:r>
      <w:r w:rsidRPr="008D494A">
        <w:t xml:space="preserve"> the model improved in terms of </w:t>
      </w:r>
      <w:r w:rsidR="006F7F0C">
        <w:t xml:space="preserve">a </w:t>
      </w:r>
      <w:r w:rsidRPr="008D494A">
        <w:t xml:space="preserve">retrospective pattern by showing </w:t>
      </w:r>
      <w:r w:rsidR="00426BA4">
        <w:t xml:space="preserve">that </w:t>
      </w:r>
      <w:r w:rsidRPr="008D494A">
        <w:t>the magnitude of the resultant Mohn’s rho was lower</w:t>
      </w:r>
      <w:r w:rsidR="00430630" w:rsidRPr="008D494A">
        <w:t xml:space="preserve"> than before</w:t>
      </w:r>
      <w:r w:rsidRPr="008D494A">
        <w:t>: e.g., |0.15| in 2020 vs. |0.27| in 2019</w:t>
      </w:r>
      <w:r w:rsidR="00F15C0F" w:rsidRPr="008D494A">
        <w:t xml:space="preserve"> in the assessment report </w:t>
      </w:r>
      <w:r w:rsidR="00430630" w:rsidRPr="008D494A">
        <w:fldChar w:fldCharType="begin"/>
      </w:r>
      <w:r w:rsidR="00430630" w:rsidRPr="008D494A">
        <w:instrText xml:space="preserve"> ADDIN EN.CITE &lt;EndNote&gt;&lt;Cite&gt;&lt;Author&gt;Hulson&lt;/Author&gt;&lt;Year&gt;2020&lt;/Year&gt;&lt;RecNum&gt;5745&lt;/RecNum&gt;&lt;DisplayText&gt;(Hulson et al. 2020)&lt;/DisplayText&gt;&lt;record&gt;&lt;rec-number&gt;5745&lt;/rec-number&gt;&lt;foreign-keys&gt;&lt;key app="EN" db-id="dwsesefros9expews50pvtt1satw2psxpts9" timestamp="1617862691"&gt;5745&lt;/key&gt;&lt;/foreign-keys&gt;&lt;ref-type name="Report"&gt;27&lt;/ref-type&gt;&lt;contributors&gt;&lt;authors&gt;&lt;author&gt;Hulson, Peter-John F&lt;/author&gt;&lt;author&gt;Lunsford, C R&lt;/author&gt;&lt;author&gt;Fissel, B&lt;/author&gt;&lt;author&gt;Jones, D&lt;/author&gt;&lt;/authors&gt;&lt;tertiary-authors&gt;&lt;author&gt;NPFMC Gulf of Alaska SAFE&lt;/author&gt;&lt;/tertiary-authors&gt;&lt;/contributors&gt;&lt;titles&gt;&lt;title&gt;Assessment of the Pacific ocean perch stock in the Gulf of Alaska&lt;/title&gt;&lt;/titles&gt;&lt;pages&gt;79&lt;/pages&gt;&lt;dates&gt;&lt;year&gt;2020&lt;/year&gt;&lt;/dates&gt;&lt;publisher&gt;NPFMC Gulf of Alaska SAFE&lt;/publisher&gt;&lt;urls&gt;&lt;/urls&gt;&lt;/record&gt;&lt;/Cite&gt;&lt;/EndNote&gt;</w:instrText>
      </w:r>
      <w:r w:rsidR="00430630" w:rsidRPr="008D494A">
        <w:fldChar w:fldCharType="separate"/>
      </w:r>
      <w:r w:rsidR="00430630" w:rsidRPr="008D494A">
        <w:rPr>
          <w:noProof/>
        </w:rPr>
        <w:t>(Hulson et al. 2020)</w:t>
      </w:r>
      <w:r w:rsidR="00430630" w:rsidRPr="008D494A">
        <w:fldChar w:fldCharType="end"/>
      </w:r>
      <w:r w:rsidR="00430630" w:rsidRPr="008D494A">
        <w:t xml:space="preserve"> while |0.22| in 2019 in the virtual meeting.</w:t>
      </w:r>
      <w:r w:rsidR="006A534A">
        <w:t xml:space="preserve">  I suggest they should</w:t>
      </w:r>
      <w:r w:rsidR="00770FEE">
        <w:t xml:space="preserve"> </w:t>
      </w:r>
      <w:r w:rsidR="006A534A">
        <w:t>show such analysis for estimates of the annual fishing mortality</w:t>
      </w:r>
      <w:r w:rsidR="001134DC">
        <w:t xml:space="preserve"> as well</w:t>
      </w:r>
      <w:r w:rsidR="006A534A">
        <w:t xml:space="preserve"> </w:t>
      </w:r>
      <w:r w:rsidR="00426BA4">
        <w:t>for</w:t>
      </w:r>
      <w:r w:rsidR="001134DC">
        <w:t xml:space="preserve"> </w:t>
      </w:r>
      <w:r w:rsidR="006A534A">
        <w:t xml:space="preserve">two reasons.  </w:t>
      </w:r>
      <w:r w:rsidR="00770FEE">
        <w:t>It would be a good practice</w:t>
      </w:r>
      <w:r w:rsidR="006A534A">
        <w:t xml:space="preserve"> to confirm whether the signal of the </w:t>
      </w:r>
      <w:r w:rsidR="00C334C0">
        <w:t xml:space="preserve">fishing mortality was opposite to that of the annual spawning stock biomass in the relative difference of parameter estimates </w:t>
      </w:r>
      <w:r w:rsidR="00C334C0">
        <w:fldChar w:fldCharType="begin"/>
      </w:r>
      <w:r w:rsidR="00C334C0">
        <w:instrText xml:space="preserve"> ADDIN EN.CITE &lt;EndNote&gt;&lt;Cite&gt;&lt;Author&gt;Miller&lt;/Author&gt;&lt;Year&gt;2018&lt;/Year&gt;&lt;RecNum&gt;5674&lt;/RecNum&gt;&lt;DisplayText&gt;(Miller and Hyun 2018)&lt;/DisplayText&gt;&lt;record&gt;&lt;rec-number&gt;5674&lt;/rec-number&gt;&lt;foreign-keys&gt;&lt;key app="EN" db-id="dwsesefros9expews50pvtt1satw2psxpts9" timestamp="1566369794"&gt;5674&lt;/key&gt;&lt;/foreign-keys&gt;&lt;ref-type name="Journal Article"&gt;17&lt;/ref-type&gt;&lt;contributors&gt;&lt;authors&gt;&lt;author&gt;Miller, Timothy J.&lt;/author&gt;&lt;author&gt;Hyun, Saang-Yoon&lt;/author&gt;&lt;/authors&gt;&lt;/contributors&gt;&lt;titles&gt;&lt;title&gt;Evaluating evidence for alternative natural mortality and process error assumptions using a state-space, age-structured assessment model&lt;/title&gt;&lt;secondary-title&gt;Canadian Journal of Fisheries and Aquatic Sciences&lt;/secondary-title&gt;&lt;/titles&gt;&lt;periodical&gt;&lt;full-title&gt;Canadian Journal of Fisheries and Aquatic Sciences&lt;/full-title&gt;&lt;/periodical&gt;&lt;pages&gt;691-703&lt;/pages&gt;&lt;volume&gt;75&lt;/volume&gt;&lt;number&gt;5&lt;/number&gt;&lt;section&gt;691&lt;/section&gt;&lt;dates&gt;&lt;year&gt;2018&lt;/year&gt;&lt;pub-dates&gt;&lt;date&gt;2018/05/01&lt;/date&gt;&lt;/pub-dates&gt;&lt;/dates&gt;&lt;publisher&gt;NRC Research Press&lt;/publisher&gt;&lt;isbn&gt;0706-652X&amp;#xD;1205-7533&lt;/isbn&gt;&lt;urls&gt;&lt;related-urls&gt;&lt;url&gt;https://doi.org/10.1139/cjfas-2017-0035&lt;/url&gt;&lt;/related-urls&gt;&lt;/urls&gt;&lt;electronic-resource-num&gt;10.1139/cjfas-2017-0035&lt;/electronic-resource-num&gt;&lt;access-date&gt;2019/08/20&lt;/access-date&gt;&lt;/record&gt;&lt;/Cite&gt;&lt;/EndNote&gt;</w:instrText>
      </w:r>
      <w:r w:rsidR="00C334C0">
        <w:fldChar w:fldCharType="separate"/>
      </w:r>
      <w:r w:rsidR="00C334C0">
        <w:rPr>
          <w:noProof/>
        </w:rPr>
        <w:t>(Miller and Hyun 2018)</w:t>
      </w:r>
      <w:r w:rsidR="00C334C0">
        <w:fldChar w:fldCharType="end"/>
      </w:r>
      <w:r w:rsidR="00C334C0">
        <w:t xml:space="preserve">.  Also a change in catches was well known to affect </w:t>
      </w:r>
      <w:r w:rsidR="00426BA4">
        <w:t>a</w:t>
      </w:r>
      <w:r w:rsidR="00C334C0">
        <w:t xml:space="preserve"> retrospective pattern </w:t>
      </w:r>
      <w:r w:rsidR="00C334C0">
        <w:fldChar w:fldCharType="begin"/>
      </w:r>
      <w:r w:rsidR="00C334C0">
        <w:instrText xml:space="preserve"> ADDIN EN.CITE &lt;EndNote&gt;&lt;Cite&gt;&lt;Author&gt;Cadigan&lt;/Author&gt;&lt;Year&gt;2005&lt;/Year&gt;&lt;RecNum&gt;5757&lt;/RecNum&gt;&lt;DisplayText&gt;(Cadigan and Farrell 2005)&lt;/DisplayText&gt;&lt;record&gt;&lt;rec-number&gt;5757&lt;/rec-number&gt;&lt;foreign-keys&gt;&lt;key app="EN" db-id="dwsesefros9expews50pvtt1satw2psxpts9" timestamp="1618895095"&gt;5757&lt;/key&gt;&lt;/foreign-keys&gt;&lt;ref-type name="Journal Article"&gt;17&lt;/ref-type&gt;&lt;contributors&gt;&lt;authors&gt;&lt;author&gt;Cadigan, Noel G.&lt;/author&gt;&lt;author&gt;Farrell, Patrick J.&lt;/author&gt;&lt;/authors&gt;&lt;/contributors&gt;&lt;titles&gt;&lt;title&gt;Local influence diagnostics for the retrospective problem in sequential population analysis&lt;/title&gt;&lt;secondary-title&gt;ICES Journal of Marine Science&lt;/secondary-title&gt;&lt;/titles&gt;&lt;periodical&gt;&lt;full-title&gt;ICES Journal of Marine Science&lt;/full-title&gt;&lt;/periodical&gt;&lt;pages&gt;256-265&lt;/pages&gt;&lt;volume&gt;62&lt;/volume&gt;&lt;number&gt;2&lt;/number&gt;&lt;dates&gt;&lt;year&gt;2005&lt;/year&gt;&lt;/dates&gt;&lt;isbn&gt;1054-3139&lt;/isbn&gt;&lt;urls&gt;&lt;related-urls&gt;&lt;url&gt;https://doi.org/10.1016/j.icesjms.2004.11.015&lt;/url&gt;&lt;/related-urls&gt;&lt;/urls&gt;&lt;electronic-resource-num&gt;10.1016/j.icesjms.2004.11.015 %J ICES Journal of Marine Science&lt;/electronic-resource-num&gt;&lt;access-date&gt;4/20/2021&lt;/access-date&gt;&lt;/record&gt;&lt;/Cite&gt;&lt;/EndNote&gt;</w:instrText>
      </w:r>
      <w:r w:rsidR="00C334C0">
        <w:fldChar w:fldCharType="separate"/>
      </w:r>
      <w:r w:rsidR="00C334C0">
        <w:rPr>
          <w:noProof/>
        </w:rPr>
        <w:t>(Cadigan and Farrell 2005)</w:t>
      </w:r>
      <w:r w:rsidR="00C334C0">
        <w:fldChar w:fldCharType="end"/>
      </w:r>
      <w:r w:rsidR="00C334C0">
        <w:t xml:space="preserve">. </w:t>
      </w:r>
    </w:p>
    <w:p w14:paraId="36CA3CFB" w14:textId="77777777" w:rsidR="00C96E2F" w:rsidRDefault="00C96E2F" w:rsidP="00E97489">
      <w:pPr>
        <w:suppressAutoHyphens/>
        <w:spacing w:after="120" w:line="360" w:lineRule="auto"/>
      </w:pPr>
    </w:p>
    <w:p w14:paraId="075BDC3E" w14:textId="180E0655" w:rsidR="007A7265" w:rsidRDefault="001E665F" w:rsidP="00E97489">
      <w:pPr>
        <w:pStyle w:val="Heading3"/>
        <w:spacing w:line="360" w:lineRule="auto"/>
      </w:pPr>
      <w:r>
        <w:t xml:space="preserve">TOR 4.  </w:t>
      </w:r>
      <w:r w:rsidR="00AA47D0" w:rsidRPr="00C96E2F">
        <w:t xml:space="preserve">Evaluate and recommend how survey data are used for biomass indices within the assessment. </w:t>
      </w:r>
      <w:r>
        <w:t xml:space="preserve"> </w:t>
      </w:r>
      <w:r w:rsidR="00AA47D0" w:rsidRPr="00C96E2F">
        <w:t>Specifically, advise on trawl survey indices arising from design-based methods versus model-based approaches.</w:t>
      </w:r>
    </w:p>
    <w:p w14:paraId="54B94045" w14:textId="6D64EA42" w:rsidR="00576130" w:rsidRDefault="00AB7A42" w:rsidP="00E97489">
      <w:pPr>
        <w:pStyle w:val="BodyTextFirstIndent"/>
        <w:spacing w:line="360" w:lineRule="auto"/>
      </w:pPr>
      <w:r w:rsidRPr="000F025C">
        <w:t xml:space="preserve">Survey data used in the </w:t>
      </w:r>
      <w:r w:rsidR="007A7265">
        <w:t xml:space="preserve">POP </w:t>
      </w:r>
      <w:r w:rsidRPr="000F025C">
        <w:t xml:space="preserve">assessment </w:t>
      </w:r>
      <w:r w:rsidRPr="000F025C">
        <w:fldChar w:fldCharType="begin"/>
      </w:r>
      <w:r w:rsidRPr="000F025C">
        <w:instrText xml:space="preserve"> ADDIN EN.CITE &lt;EndNote&gt;&lt;Cite&gt;&lt;Author&gt;Hulson&lt;/Author&gt;&lt;Year&gt;2020&lt;/Year&gt;&lt;RecNum&gt;5745&lt;/RecNum&gt;&lt;DisplayText&gt;(Hulson et al. 2020)&lt;/DisplayText&gt;&lt;record&gt;&lt;rec-number&gt;5745&lt;/rec-number&gt;&lt;foreign-keys&gt;&lt;key app="EN" db-id="dwsesefros9expews50pvtt1satw2psxpts9" timestamp="1617862691"&gt;5745&lt;/key&gt;&lt;/foreign-keys&gt;&lt;ref-type name="Report"&gt;27&lt;/ref-type&gt;&lt;contributors&gt;&lt;authors&gt;&lt;author&gt;Hulson, Peter-John F&lt;/author&gt;&lt;author&gt;Lunsford, C R&lt;/author&gt;&lt;author&gt;Fissel, B&lt;/author&gt;&lt;author&gt;Jones, D&lt;/author&gt;&lt;/authors&gt;&lt;tertiary-authors&gt;&lt;author&gt;NPFMC Gulf of Alaska SAFE&lt;/author&gt;&lt;/tertiary-authors&gt;&lt;/contributors&gt;&lt;titles&gt;&lt;title&gt;Assessment of the Pacific ocean perch stock in the Gulf of Alaska&lt;/title&gt;&lt;/titles&gt;&lt;pages&gt;79&lt;/pages&gt;&lt;dates&gt;&lt;year&gt;2020&lt;/year&gt;&lt;/dates&gt;&lt;publisher&gt;NPFMC Gulf of Alaska SAFE&lt;/publisher&gt;&lt;urls&gt;&lt;/urls&gt;&lt;/record&gt;&lt;/Cite&gt;&lt;/EndNote&gt;</w:instrText>
      </w:r>
      <w:r w:rsidRPr="000F025C">
        <w:fldChar w:fldCharType="separate"/>
      </w:r>
      <w:r w:rsidRPr="000F025C">
        <w:rPr>
          <w:noProof/>
        </w:rPr>
        <w:t>(Hulson et al. 2020)</w:t>
      </w:r>
      <w:r w:rsidRPr="000F025C">
        <w:fldChar w:fldCharType="end"/>
      </w:r>
      <w:r w:rsidRPr="000F025C">
        <w:t xml:space="preserve"> were </w:t>
      </w:r>
      <w:r w:rsidR="007A7265">
        <w:t xml:space="preserve">mainly </w:t>
      </w:r>
      <w:r w:rsidRPr="000F025C">
        <w:t xml:space="preserve">from the bottom trawling, which had been made </w:t>
      </w:r>
      <w:r w:rsidR="00A90152">
        <w:t>under</w:t>
      </w:r>
      <w:r w:rsidRPr="000F025C">
        <w:t xml:space="preserve"> </w:t>
      </w:r>
      <w:r w:rsidR="00A90152">
        <w:t>a</w:t>
      </w:r>
      <w:r w:rsidRPr="000F025C">
        <w:t xml:space="preserve"> stratified sampling design</w:t>
      </w:r>
      <w:r w:rsidR="007A7265">
        <w:t xml:space="preserve">, triennially during 1990-1999, and biennially during 2001-2019 (Figure 1).  One of the major purposes of the survey was to detect a relative population size (a survey index) and to collect biological information such as body size- and age-compositions.  </w:t>
      </w:r>
      <w:r w:rsidRPr="000F025C">
        <w:t>There is room for improvement in the calculation of the survey index</w:t>
      </w:r>
      <w:r w:rsidR="007A7265">
        <w:t xml:space="preserve"> because a considerable proportion of the population area was not trawled (see the above section, “Whether or not the current trawlable area </w:t>
      </w:r>
      <w:r w:rsidR="002A5F3F">
        <w:t>wa</w:t>
      </w:r>
      <w:r w:rsidR="007A7265">
        <w:t>s sufficient” under TOR 1) a</w:t>
      </w:r>
      <w:r w:rsidR="00A90152">
        <w:t>nd</w:t>
      </w:r>
      <w:r w:rsidR="007A7265">
        <w:t xml:space="preserve"> the spatial distribution and density of POP were heterogeneous over the entire population area. </w:t>
      </w:r>
      <w:r w:rsidR="00576130">
        <w:t xml:space="preserve"> </w:t>
      </w:r>
    </w:p>
    <w:p w14:paraId="3C4EA3CA" w14:textId="66B421F3" w:rsidR="008151E4" w:rsidRDefault="00A90152" w:rsidP="00E97489">
      <w:pPr>
        <w:pStyle w:val="BodyTextFirstIndent"/>
        <w:spacing w:line="360" w:lineRule="auto"/>
      </w:pPr>
      <w:r>
        <w:lastRenderedPageBreak/>
        <w:t>The c</w:t>
      </w:r>
      <w:r w:rsidR="00042B8F">
        <w:t xml:space="preserve">atchability of a fish is determined with its availability in a space and its vulnerability to a gear </w:t>
      </w:r>
      <w:r w:rsidR="00042B8F">
        <w:fldChar w:fldCharType="begin"/>
      </w:r>
      <w:r w:rsidR="00042B8F">
        <w:instrText xml:space="preserve"> ADDIN EN.CITE &lt;EndNote&gt;&lt;Cite&gt;&lt;Author&gt;Jones&lt;/Author&gt;&lt;Year&gt;2021&lt;/Year&gt;&lt;RecNum&gt;5748&lt;/RecNum&gt;&lt;DisplayText&gt;(Jones et al. 2021)&lt;/DisplayText&gt;&lt;record&gt;&lt;rec-number&gt;5748&lt;/rec-number&gt;&lt;foreign-keys&gt;&lt;key app="EN" db-id="dwsesefros9expews50pvtt1satw2psxpts9" timestamp="1618478232"&gt;5748&lt;/key&gt;&lt;/foreign-keys&gt;&lt;ref-type name="Journal Article"&gt;17&lt;/ref-type&gt;&lt;contributors&gt;&lt;authors&gt;&lt;author&gt;Jones, Darin T.&lt;/author&gt;&lt;author&gt;Rooper, Christopher N.&lt;/author&gt;&lt;author&gt;Wilson, Christopher D.&lt;/author&gt;&lt;author&gt;Spencer, Paul D.&lt;/author&gt;&lt;author&gt;Hanselman, Dana H.&lt;/author&gt;&lt;author&gt;Wilborn, Rachel E.&lt;/author&gt;&lt;/authors&gt;&lt;/contributors&gt;&lt;titles&gt;&lt;title&gt;Estimates of availability and catchability for select rockfish species based on acoustic-optic surveys in the Gulf of Alaska&lt;/title&gt;&lt;secondary-title&gt;Fisheries Research&lt;/secondary-title&gt;&lt;/titles&gt;&lt;periodical&gt;&lt;full-title&gt;Fisheries Research&lt;/full-title&gt;&lt;/periodical&gt;&lt;pages&gt;105848&lt;/pages&gt;&lt;volume&gt;236&lt;/volume&gt;&lt;keywords&gt;&lt;keyword&gt;Catchability&lt;/keyword&gt;&lt;keyword&gt;Availability&lt;/keyword&gt;&lt;keyword&gt;Rockfish&lt;/keyword&gt;&lt;keyword&gt;Lowered stereo camera&lt;/keyword&gt;&lt;keyword&gt;Trawlable&lt;/keyword&gt;&lt;keyword&gt;Untrawlable&lt;/keyword&gt;&lt;/keywords&gt;&lt;dates&gt;&lt;year&gt;2021&lt;/year&gt;&lt;pub-dates&gt;&lt;date&gt;2021/04/01/&lt;/date&gt;&lt;/pub-dates&gt;&lt;/dates&gt;&lt;isbn&gt;0165-7836&lt;/isbn&gt;&lt;urls&gt;&lt;related-urls&gt;&lt;url&gt;https://www.sciencedirect.com/science/article/pii/S0165783620303659&lt;/url&gt;&lt;/related-urls&gt;&lt;/urls&gt;&lt;electronic-resource-num&gt;https://doi.org/10.1016/j.fishres.2020.105848&lt;/electronic-resource-num&gt;&lt;/record&gt;&lt;/Cite&gt;&lt;/EndNote&gt;</w:instrText>
      </w:r>
      <w:r w:rsidR="00042B8F">
        <w:fldChar w:fldCharType="separate"/>
      </w:r>
      <w:r w:rsidR="00042B8F">
        <w:rPr>
          <w:noProof/>
        </w:rPr>
        <w:t>(Jones et al. 2021)</w:t>
      </w:r>
      <w:r w:rsidR="00042B8F">
        <w:fldChar w:fldCharType="end"/>
      </w:r>
      <w:r w:rsidR="00042B8F">
        <w:t xml:space="preserve">.  </w:t>
      </w:r>
      <w:r w:rsidR="00576130">
        <w:t>If a heterogeneous spatial distribution</w:t>
      </w:r>
      <w:r w:rsidR="00D36591">
        <w:t xml:space="preserve"> of POP</w:t>
      </w:r>
      <w:r w:rsidR="00576130">
        <w:t xml:space="preserve"> further differs by time (year), then time-varying catchability (</w:t>
      </w:r>
      <w:r w:rsidR="00B4254F" w:rsidRPr="00D36591">
        <w:rPr>
          <w:noProof/>
          <w:position w:val="-12"/>
        </w:rPr>
        <w:object w:dxaOrig="240" w:dyaOrig="360" w14:anchorId="71BD8AAA">
          <v:shape id="_x0000_i1028" type="#_x0000_t75" alt="" style="width:12.45pt;height:18pt;mso-width-percent:0;mso-height-percent:0;mso-width-percent:0;mso-height-percent:0" o:ole="">
            <v:imagedata r:id="rId47" o:title=""/>
          </v:shape>
          <o:OLEObject Type="Embed" ProgID="Equation.DSMT4" ShapeID="_x0000_i1028" DrawAspect="Content" ObjectID="_1685473294" r:id="rId48"/>
        </w:object>
      </w:r>
      <w:r w:rsidR="00576130">
        <w:t>) would be more reasonable in the proportional relationship between a survey index and a population size (in number or weight): i.e.,</w:t>
      </w:r>
      <w:r w:rsidR="00D36591">
        <w:t xml:space="preserve"> ‘</w:t>
      </w:r>
      <w:r w:rsidR="00B4254F" w:rsidRPr="00576130">
        <w:rPr>
          <w:noProof/>
          <w:position w:val="-12"/>
        </w:rPr>
        <w:object w:dxaOrig="1020" w:dyaOrig="360" w14:anchorId="1809443A">
          <v:shape id="_x0000_i1027" type="#_x0000_t75" alt="" style="width:51.25pt;height:18pt;mso-width-percent:0;mso-height-percent:0;mso-width-percent:0;mso-height-percent:0" o:ole="">
            <v:imagedata r:id="rId49" o:title=""/>
          </v:shape>
          <o:OLEObject Type="Embed" ProgID="Equation.DSMT4" ShapeID="_x0000_i1027" DrawAspect="Content" ObjectID="_1685473295" r:id="rId50"/>
        </w:object>
      </w:r>
      <w:r w:rsidR="00D36591">
        <w:t>’ rather than</w:t>
      </w:r>
      <w:r w:rsidR="00576130">
        <w:t xml:space="preserve"> </w:t>
      </w:r>
      <w:r w:rsidR="00D36591">
        <w:t>‘</w:t>
      </w:r>
      <w:r w:rsidR="00B4254F" w:rsidRPr="00576130">
        <w:rPr>
          <w:noProof/>
          <w:position w:val="-12"/>
        </w:rPr>
        <w:object w:dxaOrig="940" w:dyaOrig="360" w14:anchorId="6A24EA95">
          <v:shape id="_x0000_i1026" type="#_x0000_t75" alt="" style="width:47.75pt;height:18pt;mso-width-percent:0;mso-height-percent:0;mso-width-percent:0;mso-height-percent:0" o:ole="">
            <v:imagedata r:id="rId51" o:title=""/>
          </v:shape>
          <o:OLEObject Type="Embed" ProgID="Equation.DSMT4" ShapeID="_x0000_i1026" DrawAspect="Content" ObjectID="_1685473296" r:id="rId52"/>
        </w:object>
      </w:r>
      <w:r w:rsidR="00D36591">
        <w:t>’</w:t>
      </w:r>
      <w:r w:rsidR="00576130">
        <w:t xml:space="preserve">. </w:t>
      </w:r>
      <w:r w:rsidR="00042B8F">
        <w:t xml:space="preserve"> Such time-varying q might improve the model’s overall performance</w:t>
      </w:r>
      <w:r w:rsidR="003402D9">
        <w:t xml:space="preserve"> as assessed with metrics such as</w:t>
      </w:r>
      <w:r w:rsidR="00042B8F">
        <w:t xml:space="preserve"> goodness-of-fit</w:t>
      </w:r>
      <w:r w:rsidR="00376636">
        <w:t xml:space="preserve"> and</w:t>
      </w:r>
      <w:r w:rsidR="00042B8F">
        <w:t xml:space="preserve"> </w:t>
      </w:r>
      <w:r w:rsidR="00376636">
        <w:t xml:space="preserve">a </w:t>
      </w:r>
      <w:r w:rsidR="00042B8F">
        <w:t xml:space="preserve">retrospective error pattern.  </w:t>
      </w:r>
      <w:r w:rsidR="00D36591">
        <w:t>However, it would require additional data to implement time-varying catchability</w:t>
      </w:r>
      <w:r w:rsidR="00042B8F">
        <w:t>, because they would have more parameters (</w:t>
      </w:r>
      <w:r w:rsidR="00376636">
        <w:t>e.g.</w:t>
      </w:r>
      <w:r w:rsidR="00042B8F">
        <w:t>, as many parameters as the number of the survey years) to be estimated</w:t>
      </w:r>
      <w:r w:rsidR="00D36591">
        <w:t xml:space="preserve">.  </w:t>
      </w:r>
      <w:r w:rsidR="00042B8F">
        <w:t>One of the effective ways t</w:t>
      </w:r>
      <w:r w:rsidR="00D36591">
        <w:t>o get around th</w:t>
      </w:r>
      <w:r w:rsidR="00042B8F">
        <w:t xml:space="preserve">is problem would be to treat q as a random effect in a state-space model framework.   </w:t>
      </w:r>
    </w:p>
    <w:p w14:paraId="77D5DFDE" w14:textId="73A11A3F" w:rsidR="00AB7A42" w:rsidRDefault="004A1D43" w:rsidP="00E97489">
      <w:pPr>
        <w:pStyle w:val="BodyTextFirstIndent"/>
        <w:spacing w:line="360" w:lineRule="auto"/>
      </w:pPr>
      <w:r>
        <w:t xml:space="preserve">The assessment report </w:t>
      </w:r>
      <w:r>
        <w:fldChar w:fldCharType="begin"/>
      </w:r>
      <w:r>
        <w:instrText xml:space="preserve"> ADDIN EN.CITE &lt;EndNote&gt;&lt;Cite&gt;&lt;Author&gt;Hulson&lt;/Author&gt;&lt;Year&gt;2020&lt;/Year&gt;&lt;RecNum&gt;5745&lt;/RecNum&gt;&lt;DisplayText&gt;(Hulson et al. 2020)&lt;/DisplayText&gt;&lt;record&gt;&lt;rec-number&gt;5745&lt;/rec-number&gt;&lt;foreign-keys&gt;&lt;key app="EN" db-id="dwsesefros9expews50pvtt1satw2psxpts9" timestamp="1617862691"&gt;5745&lt;/key&gt;&lt;/foreign-keys&gt;&lt;ref-type name="Report"&gt;27&lt;/ref-type&gt;&lt;contributors&gt;&lt;authors&gt;&lt;author&gt;Hulson, Peter-John F&lt;/author&gt;&lt;author&gt;Lunsford, C R&lt;/author&gt;&lt;author&gt;Fissel, B&lt;/author&gt;&lt;author&gt;Jones, D&lt;/author&gt;&lt;/authors&gt;&lt;tertiary-authors&gt;&lt;author&gt;NPFMC Gulf of Alaska SAFE&lt;/author&gt;&lt;/tertiary-authors&gt;&lt;/contributors&gt;&lt;titles&gt;&lt;title&gt;Assessment of the Pacific ocean perch stock in the Gulf of Alaska&lt;/title&gt;&lt;/titles&gt;&lt;pages&gt;79&lt;/pages&gt;&lt;dates&gt;&lt;year&gt;2020&lt;/year&gt;&lt;/dates&gt;&lt;publisher&gt;NPFMC Gulf of Alaska SAFE&lt;/publisher&gt;&lt;urls&gt;&lt;/urls&gt;&lt;/record&gt;&lt;/Cite&gt;&lt;/EndNote&gt;</w:instrText>
      </w:r>
      <w:r>
        <w:fldChar w:fldCharType="separate"/>
      </w:r>
      <w:r>
        <w:rPr>
          <w:noProof/>
        </w:rPr>
        <w:t>(Hulson et al. 2020)</w:t>
      </w:r>
      <w:r>
        <w:fldChar w:fldCharType="end"/>
      </w:r>
      <w:r>
        <w:t xml:space="preserve"> did not </w:t>
      </w:r>
      <w:r w:rsidR="008151E4">
        <w:t>show</w:t>
      </w:r>
      <w:r>
        <w:t xml:space="preserve"> annual survey indices and the corresponding uncertainty made </w:t>
      </w:r>
      <w:r w:rsidR="006F7F0C">
        <w:t>with</w:t>
      </w:r>
      <w:r>
        <w:t xml:space="preserve"> the model-based (i.e., vector autoregressive spatio-temporal (VAST)) approach.  </w:t>
      </w:r>
      <w:r w:rsidR="008151E4">
        <w:t>I was not able to see them until the virtual meeting for the CIE review.  S</w:t>
      </w:r>
      <w:r>
        <w:t>ubstantial differences were found</w:t>
      </w:r>
      <w:r w:rsidR="00D647C2">
        <w:t xml:space="preserve"> </w:t>
      </w:r>
      <w:r>
        <w:t xml:space="preserve">in </w:t>
      </w:r>
      <w:r w:rsidR="008C0F94">
        <w:t>survey indices and their uncertainty</w:t>
      </w:r>
      <w:r w:rsidR="00D647C2">
        <w:t xml:space="preserve"> between</w:t>
      </w:r>
      <w:r w:rsidR="00376636">
        <w:t xml:space="preserve"> the</w:t>
      </w:r>
      <w:r w:rsidR="00D647C2">
        <w:t xml:space="preserve"> design-based (i.e., stratified sampling) and</w:t>
      </w:r>
      <w:r w:rsidR="008C0F94">
        <w:t xml:space="preserve"> </w:t>
      </w:r>
      <w:r w:rsidR="00D647C2">
        <w:t>VAST approaches.</w:t>
      </w:r>
      <w:r w:rsidR="002A13AF">
        <w:t xml:space="preserve">  </w:t>
      </w:r>
      <w:proofErr w:type="gramStart"/>
      <w:r w:rsidR="00B7778E">
        <w:t>However</w:t>
      </w:r>
      <w:proofErr w:type="gramEnd"/>
      <w:r w:rsidR="00B7778E">
        <w:t xml:space="preserve"> t</w:t>
      </w:r>
      <w:r w:rsidR="002A13AF">
        <w:t xml:space="preserve">hey did not describe in detail the cause of the substantial differences.  </w:t>
      </w:r>
    </w:p>
    <w:p w14:paraId="0314F5FC" w14:textId="73E9D443" w:rsidR="00A031B0" w:rsidRDefault="00CE44AB" w:rsidP="00E97489">
      <w:pPr>
        <w:pStyle w:val="BodyTextFirstIndent"/>
        <w:spacing w:line="360" w:lineRule="auto"/>
      </w:pPr>
      <w:r>
        <w:t>The VAST method is supposed to eventually replace the design-based approach</w:t>
      </w:r>
      <w:r w:rsidR="00376636">
        <w:t>,</w:t>
      </w:r>
      <w:r>
        <w:t xml:space="preserve"> because the former</w:t>
      </w:r>
      <w:r w:rsidR="00CB0246">
        <w:t xml:space="preserve"> resulted in a less biased and more precise estimate of a population density than</w:t>
      </w:r>
      <w:r w:rsidR="00376636">
        <w:t xml:space="preserve"> the</w:t>
      </w:r>
      <w:r w:rsidR="00CB0246">
        <w:t xml:space="preserve"> survey with stratified sampling </w:t>
      </w:r>
      <w:r>
        <w:fldChar w:fldCharType="begin">
          <w:fldData xml:space="preserve">PEVuZE5vdGU+PENpdGU+PEF1dGhvcj5UaG9yc29uPC9BdXRob3I+PFllYXI+MjAxOTwvWWVhcj48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</w:fldData>
        </w:fldChar>
      </w:r>
      <w:r>
        <w:instrText xml:space="preserve"> ADDIN EN.CITE </w:instrText>
      </w:r>
      <w:r>
        <w:fldChar w:fldCharType="begin">
          <w:fldData xml:space="preserve">PEVuZE5vdGU+PENpdGU+PEF1dGhvcj5UaG9yc29uPC9BdXRob3I+PFllYXI+MjAxOTwvWWVhcj48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</w:fldData>
        </w:fldChar>
      </w:r>
      <w:r>
        <w:instrText xml:space="preserve"> ADDIN EN.CITE.DATA </w:instrText>
      </w:r>
      <w:r>
        <w:fldChar w:fldCharType="end"/>
      </w:r>
      <w:r>
        <w:fldChar w:fldCharType="separate"/>
      </w:r>
      <w:r>
        <w:rPr>
          <w:noProof/>
        </w:rPr>
        <w:t>(Thorson 2019, Thorson et al. 2021)</w:t>
      </w:r>
      <w:r>
        <w:fldChar w:fldCharType="end"/>
      </w:r>
      <w:r w:rsidR="00376636">
        <w:t>.</w:t>
      </w:r>
      <w:r>
        <w:t xml:space="preserve"> </w:t>
      </w:r>
      <w:r w:rsidR="00376636">
        <w:t xml:space="preserve"> </w:t>
      </w:r>
      <w:r>
        <w:t>AFSC also started to implement it</w:t>
      </w:r>
      <w:r w:rsidR="00CB0246">
        <w:t>.</w:t>
      </w:r>
      <w:r>
        <w:t xml:space="preserve">  However, it looks uncertain how soon the replacement will be made because there are still </w:t>
      </w:r>
      <w:r w:rsidRPr="00A13A43">
        <w:t>limitations of the</w:t>
      </w:r>
      <w:r>
        <w:t xml:space="preserve"> VAST approach</w:t>
      </w:r>
      <w:r w:rsidR="00AA63D3">
        <w:t>: e.g.,</w:t>
      </w:r>
      <w:r>
        <w:t xml:space="preserve"> sensiti</w:t>
      </w:r>
      <w:r w:rsidR="00AA63D3">
        <w:t>vity</w:t>
      </w:r>
      <w:r>
        <w:t xml:space="preserve"> to spatial scales</w:t>
      </w:r>
      <w:r w:rsidR="00AA63D3">
        <w:t xml:space="preserve">, trade-off between computation burden and spatial resolution (the number of “knots”), </w:t>
      </w:r>
      <w:r w:rsidR="00A13A43">
        <w:t xml:space="preserve">and </w:t>
      </w:r>
      <w:r w:rsidR="00104CD0">
        <w:t>prior information of catchability covariates for every datum.</w:t>
      </w:r>
      <w:r w:rsidR="00E86945">
        <w:t xml:space="preserve">  For this reason, they should continue to deploy the current survey with stratified sampling because the stratified sampling theory has</w:t>
      </w:r>
      <w:r w:rsidR="00A13A43">
        <w:t xml:space="preserve"> long</w:t>
      </w:r>
      <w:r w:rsidR="00E86945">
        <w:t xml:space="preserve"> been established, and it is straightforward to interpret its estimates.  </w:t>
      </w:r>
    </w:p>
    <w:p w14:paraId="6C811210" w14:textId="77777777" w:rsidR="002963B7" w:rsidRDefault="002963B7" w:rsidP="00E97489">
      <w:pPr>
        <w:pStyle w:val="BodyTextFirstIndent"/>
        <w:spacing w:line="360" w:lineRule="auto"/>
      </w:pPr>
    </w:p>
    <w:p w14:paraId="73905B1B" w14:textId="27F997D7" w:rsidR="0090045E" w:rsidRDefault="001E665F" w:rsidP="00E97489">
      <w:pPr>
        <w:pStyle w:val="Heading3"/>
        <w:spacing w:line="360" w:lineRule="auto"/>
      </w:pPr>
      <w:r>
        <w:t xml:space="preserve">TOR 5.  </w:t>
      </w:r>
      <w:r w:rsidR="00AA47D0" w:rsidRPr="00C96E2F">
        <w:t xml:space="preserve">Evaluate abundance estimates from summer acoustic-trawl data, and recommend how it may be used within the assessment. </w:t>
      </w:r>
    </w:p>
    <w:p w14:paraId="33DB533D" w14:textId="7F48742F" w:rsidR="006C2BE9" w:rsidRDefault="001258CF" w:rsidP="00E97489">
      <w:pPr>
        <w:pStyle w:val="BodyTextFirstIndent"/>
        <w:spacing w:line="360" w:lineRule="auto"/>
      </w:pPr>
      <w:r>
        <w:t>Acoustics are an efficient technique for detecting</w:t>
      </w:r>
      <w:r w:rsidR="009C257E">
        <w:t xml:space="preserve"> the sizes of</w:t>
      </w:r>
      <w:r>
        <w:t xml:space="preserve"> a fish school, but acoustic measurements are merely supplementary in the stock assessment framework </w:t>
      </w:r>
      <w:r w:rsidR="002F1D04">
        <w:t>for</w:t>
      </w:r>
      <w:r>
        <w:t xml:space="preserve"> the following reasons.  </w:t>
      </w:r>
      <w:r w:rsidR="00AB5953">
        <w:t xml:space="preserve">Data from an acoustic survey without trawling provide limited information, because </w:t>
      </w:r>
      <w:r w:rsidR="00AB5953">
        <w:lastRenderedPageBreak/>
        <w:t>we cannot identify fish species</w:t>
      </w:r>
      <w:r w:rsidR="002F1D04">
        <w:t>,</w:t>
      </w:r>
      <w:r w:rsidR="00AB5953">
        <w:t xml:space="preserve"> body sizes </w:t>
      </w:r>
      <w:r w:rsidR="002F1D04">
        <w:t>and</w:t>
      </w:r>
      <w:r w:rsidR="00AB5953">
        <w:t xml:space="preserve"> ages</w:t>
      </w:r>
      <w:r w:rsidR="006F7F0C">
        <w:t xml:space="preserve"> </w:t>
      </w:r>
      <w:r w:rsidR="00F62830">
        <w:t>using</w:t>
      </w:r>
      <w:r w:rsidR="006F7F0C">
        <w:t xml:space="preserve"> acoustic measurements alone</w:t>
      </w:r>
      <w:r w:rsidR="00AB5953">
        <w:t xml:space="preserve">.  </w:t>
      </w:r>
      <w:r w:rsidR="00EB5581">
        <w:t>A</w:t>
      </w:r>
      <w:r w:rsidR="00AB5953">
        <w:t>n acoustic survey even with trawling still fail</w:t>
      </w:r>
      <w:r w:rsidR="002F1D04">
        <w:t>s</w:t>
      </w:r>
      <w:r w:rsidR="00AB5953">
        <w:t xml:space="preserve"> to scan in close proximity to untrawlable seabed, and thus such operation is</w:t>
      </w:r>
      <w:r w:rsidR="00DA2CDE">
        <w:t xml:space="preserve"> not appropriate for detecting groundfish populations such as GOA POP.  This problem could be relieved with </w:t>
      </w:r>
      <w:r w:rsidR="002F1D04">
        <w:t>an</w:t>
      </w:r>
      <w:r w:rsidR="00DA2CDE">
        <w:t xml:space="preserve"> aid,</w:t>
      </w:r>
      <w:r w:rsidR="002F1D04">
        <w:t xml:space="preserve"> </w:t>
      </w:r>
      <w:r w:rsidR="00DA2CDE">
        <w:t xml:space="preserve">deployment of lowered stereo camera (LSC) </w:t>
      </w:r>
      <w:r w:rsidR="00371C58">
        <w:fldChar w:fldCharType="begin"/>
      </w:r>
      <w:r w:rsidR="00371C58">
        <w:instrText xml:space="preserve"> ADDIN EN.CITE &lt;EndNote&gt;&lt;Cite&gt;&lt;Author&gt;Jones&lt;/Author&gt;&lt;Year&gt;2021&lt;/Year&gt;&lt;RecNum&gt;5748&lt;/RecNum&gt;&lt;DisplayText&gt;(Jones et al. 2021)&lt;/DisplayText&gt;&lt;record&gt;&lt;rec-number&gt;5748&lt;/rec-number&gt;&lt;foreign-keys&gt;&lt;key app="EN" db-id="dwsesefros9expews50pvtt1satw2psxpts9" timestamp="1618478232"&gt;5748&lt;/key&gt;&lt;/foreign-keys&gt;&lt;ref-type name="Journal Article"&gt;17&lt;/ref-type&gt;&lt;contributors&gt;&lt;authors&gt;&lt;author&gt;Jones, Darin T.&lt;/author&gt;&lt;author&gt;Rooper, Christopher N.&lt;/author&gt;&lt;author&gt;Wilson, Christopher D.&lt;/author&gt;&lt;author&gt;Spencer, Paul D.&lt;/author&gt;&lt;author&gt;Hanselman, Dana H.&lt;/author&gt;&lt;author&gt;Wilborn, Rachel E.&lt;/author&gt;&lt;/authors&gt;&lt;/contributors&gt;&lt;titles&gt;&lt;title&gt;Estimates of availability and catchability for select rockfish species based on acoustic-optic surveys in the Gulf of Alaska&lt;/title&gt;&lt;secondary-title&gt;Fisheries Research&lt;/secondary-title&gt;&lt;/titles&gt;&lt;periodical&gt;&lt;full-title&gt;Fisheries Research&lt;/full-title&gt;&lt;/periodical&gt;&lt;pages&gt;105848&lt;/pages&gt;&lt;volume&gt;236&lt;/volume&gt;&lt;keywords&gt;&lt;keyword&gt;Catchability&lt;/keyword&gt;&lt;keyword&gt;Availability&lt;/keyword&gt;&lt;keyword&gt;Rockfish&lt;/keyword&gt;&lt;keyword&gt;Lowered stereo camera&lt;/keyword&gt;&lt;keyword&gt;Trawlable&lt;/keyword&gt;&lt;keyword&gt;Untrawlable&lt;/keyword&gt;&lt;/keywords&gt;&lt;dates&gt;&lt;year&gt;2021&lt;/year&gt;&lt;pub-dates&gt;&lt;date&gt;2021/04/01/&lt;/date&gt;&lt;/pub-dates&gt;&lt;/dates&gt;&lt;isbn&gt;0165-7836&lt;/isbn&gt;&lt;urls&gt;&lt;related-urls&gt;&lt;url&gt;https://www.sciencedirect.com/science/article/pii/S0165783620303659&lt;/url&gt;&lt;/related-urls&gt;&lt;/urls&gt;&lt;electronic-resource-num&gt;https://doi.org/10.1016/j.fishres.2020.105848&lt;/electronic-resource-num&gt;&lt;/record&gt;&lt;/Cite&gt;&lt;/EndNote&gt;</w:instrText>
      </w:r>
      <w:r w:rsidR="00371C58">
        <w:fldChar w:fldCharType="separate"/>
      </w:r>
      <w:r w:rsidR="00371C58">
        <w:rPr>
          <w:noProof/>
        </w:rPr>
        <w:t>(Jones et al. 2021)</w:t>
      </w:r>
      <w:r w:rsidR="00371C58">
        <w:fldChar w:fldCharType="end"/>
      </w:r>
      <w:r w:rsidR="00371C58">
        <w:t xml:space="preserve">.  </w:t>
      </w:r>
      <w:bookmarkStart w:id="9" w:name="_Hlk69844264"/>
      <w:r w:rsidR="00A01968">
        <w:fldChar w:fldCharType="begin"/>
      </w:r>
      <w:r w:rsidR="00A01968">
        <w:instrText xml:space="preserve"> ADDIN EN.CITE &lt;EndNote&gt;&lt;Cite AuthorYear="1"&gt;&lt;Author&gt;Jones&lt;/Author&gt;&lt;Year&gt;2021&lt;/Year&gt;&lt;RecNum&gt;5748&lt;/RecNum&gt;&lt;DisplayText&gt;Jones et al. (2021)&lt;/DisplayText&gt;&lt;record&gt;&lt;rec-number&gt;5748&lt;/rec-number&gt;&lt;foreign-keys&gt;&lt;key app="EN" db-id="dwsesefros9expews50pvtt1satw2psxpts9" timestamp="1618478232"&gt;5748&lt;/key&gt;&lt;/foreign-keys&gt;&lt;ref-type name="Journal Article"&gt;17&lt;/ref-type&gt;&lt;contributors&gt;&lt;authors&gt;&lt;author&gt;Jones, Darin T.&lt;/author&gt;&lt;author&gt;Rooper, Christopher N.&lt;/author&gt;&lt;author&gt;Wilson, Christopher D.&lt;/author&gt;&lt;author&gt;Spencer, Paul D.&lt;/author&gt;&lt;author&gt;Hanselman, Dana H.&lt;/author&gt;&lt;author&gt;Wilborn, Rachel E.&lt;/author&gt;&lt;/authors&gt;&lt;/contributors&gt;&lt;titles&gt;&lt;title&gt;Estimates of availability and catchability for select rockfish species based on acoustic-optic surveys in the Gulf of Alaska&lt;/title&gt;&lt;secondary-title&gt;Fisheries Research&lt;/secondary-title&gt;&lt;/titles&gt;&lt;periodical&gt;&lt;full-title&gt;Fisheries Research&lt;/full-title&gt;&lt;/periodical&gt;&lt;pages&gt;105848&lt;/pages&gt;&lt;volume&gt;236&lt;/volume&gt;&lt;keywords&gt;&lt;keyword&gt;Catchability&lt;/keyword&gt;&lt;keyword&gt;Availability&lt;/keyword&gt;&lt;keyword&gt;Rockfish&lt;/keyword&gt;&lt;keyword&gt;Lowered stereo camera&lt;/keyword&gt;&lt;keyword&gt;Trawlable&lt;/keyword&gt;&lt;keyword&gt;Untrawlable&lt;/keyword&gt;&lt;/keywords&gt;&lt;dates&gt;&lt;year&gt;2021&lt;/year&gt;&lt;pub-dates&gt;&lt;date&gt;2021/04/01/&lt;/date&gt;&lt;/pub-dates&gt;&lt;/dates&gt;&lt;isbn&gt;0165-7836&lt;/isbn&gt;&lt;urls&gt;&lt;related-urls&gt;&lt;url&gt;https://www.sciencedirect.com/science/article/pii/S0165783620303659&lt;/url&gt;&lt;/related-urls&gt;&lt;/urls&gt;&lt;electronic-resource-num&gt;https://doi.org/10.1016/j.fishres.2020.105848&lt;/electronic-resource-num&gt;&lt;/record&gt;&lt;/Cite&gt;&lt;/EndNote&gt;</w:instrText>
      </w:r>
      <w:r w:rsidR="00A01968">
        <w:fldChar w:fldCharType="separate"/>
      </w:r>
      <w:r w:rsidR="00A01968">
        <w:rPr>
          <w:noProof/>
        </w:rPr>
        <w:t>Jones et al. (2021)</w:t>
      </w:r>
      <w:r w:rsidR="00A01968">
        <w:fldChar w:fldCharType="end"/>
      </w:r>
      <w:bookmarkEnd w:id="9"/>
      <w:r w:rsidR="00A01968">
        <w:t xml:space="preserve"> showed the benefit of acoustics and LSC survey tools, and further</w:t>
      </w:r>
      <w:r w:rsidR="006C2BE9">
        <w:t xml:space="preserve"> tried to infer the catchability (q) of a bottom trawl survey from a LSC survey because the value of q could be used as its prior for the stock assessment model framework.  For the purposes, </w:t>
      </w:r>
      <w:r w:rsidR="006C2BE9">
        <w:fldChar w:fldCharType="begin"/>
      </w:r>
      <w:r w:rsidR="006C2BE9">
        <w:instrText xml:space="preserve"> ADDIN EN.CITE &lt;EndNote&gt;&lt;Cite AuthorYear="1"&gt;&lt;Author&gt;Jones&lt;/Author&gt;&lt;Year&gt;2021&lt;/Year&gt;&lt;RecNum&gt;5748&lt;/RecNum&gt;&lt;DisplayText&gt;Jones et al. (2021)&lt;/DisplayText&gt;&lt;record&gt;&lt;rec-number&gt;5748&lt;/rec-number&gt;&lt;foreign-keys&gt;&lt;key app="EN" db-id="dwsesefros9expews50pvtt1satw2psxpts9" timestamp="1618478232"&gt;5748&lt;/key&gt;&lt;/foreign-keys&gt;&lt;ref-type name="Journal Article"&gt;17&lt;/ref-type&gt;&lt;contributors&gt;&lt;authors&gt;&lt;author&gt;Jones, Darin T.&lt;/author&gt;&lt;author&gt;Rooper, Christopher N.&lt;/author&gt;&lt;author&gt;Wilson, Christopher D.&lt;/author&gt;&lt;author&gt;Spencer, Paul D.&lt;/author&gt;&lt;author&gt;Hanselman, Dana H.&lt;/author&gt;&lt;author&gt;Wilborn, Rachel E.&lt;/author&gt;&lt;/authors&gt;&lt;/contributors&gt;&lt;titles&gt;&lt;title&gt;Estimates of availability and catchability for select rockfish species based on acoustic-optic surveys in the Gulf of Alaska&lt;/title&gt;&lt;secondary-title&gt;Fisheries Research&lt;/secondary-title&gt;&lt;/titles&gt;&lt;periodical&gt;&lt;full-title&gt;Fisheries Research&lt;/full-title&gt;&lt;/periodical&gt;&lt;pages&gt;105848&lt;/pages&gt;&lt;volume&gt;236&lt;/volume&gt;&lt;keywords&gt;&lt;keyword&gt;Catchability&lt;/keyword&gt;&lt;keyword&gt;Availability&lt;/keyword&gt;&lt;keyword&gt;Rockfish&lt;/keyword&gt;&lt;keyword&gt;Lowered stereo camera&lt;/keyword&gt;&lt;keyword&gt;Trawlable&lt;/keyword&gt;&lt;keyword&gt;Untrawlable&lt;/keyword&gt;&lt;/keywords&gt;&lt;dates&gt;&lt;year&gt;2021&lt;/year&gt;&lt;pub-dates&gt;&lt;date&gt;2021/04/01/&lt;/date&gt;&lt;/pub-dates&gt;&lt;/dates&gt;&lt;isbn&gt;0165-7836&lt;/isbn&gt;&lt;urls&gt;&lt;related-urls&gt;&lt;url&gt;https://www.sciencedirect.com/science/article/pii/S0165783620303659&lt;/url&gt;&lt;/related-urls&gt;&lt;/urls&gt;&lt;electronic-resource-num&gt;https://doi.org/10.1016/j.fishres.2020.105848&lt;/electronic-resource-num&gt;&lt;/record&gt;&lt;/Cite&gt;&lt;/EndNote&gt;</w:instrText>
      </w:r>
      <w:r w:rsidR="006C2BE9">
        <w:fldChar w:fldCharType="separate"/>
      </w:r>
      <w:r w:rsidR="006C2BE9">
        <w:rPr>
          <w:noProof/>
        </w:rPr>
        <w:t>Jones et al. (2021)</w:t>
      </w:r>
      <w:r w:rsidR="006C2BE9">
        <w:fldChar w:fldCharType="end"/>
      </w:r>
      <w:r w:rsidR="006C2BE9">
        <w:t xml:space="preserve"> compared in fish density on </w:t>
      </w:r>
      <w:r w:rsidR="002F1D04">
        <w:t xml:space="preserve">an </w:t>
      </w:r>
      <w:r w:rsidR="006C2BE9">
        <w:t xml:space="preserve">trawlable area between LSC and bottom trawl surveys.   Unfortunately, </w:t>
      </w:r>
      <w:r>
        <w:t xml:space="preserve">there was a substantial difference especially in POP density between those two surveys </w:t>
      </w:r>
      <w:r>
        <w:fldChar w:fldCharType="begin"/>
      </w:r>
      <w:r>
        <w:instrText xml:space="preserve"> ADDIN EN.CITE &lt;EndNote&gt;&lt;Cite&gt;&lt;Author&gt;Jones&lt;/Author&gt;&lt;Year&gt;2021&lt;/Year&gt;&lt;RecNum&gt;5748&lt;/RecNum&gt;&lt;DisplayText&gt;(Jones et al. 2021)&lt;/DisplayText&gt;&lt;record&gt;&lt;rec-number&gt;5748&lt;/rec-number&gt;&lt;foreign-keys&gt;&lt;key app="EN" db-id="dwsesefros9expews50pvtt1satw2psxpts9" timestamp="1618478232"&gt;5748&lt;/key&gt;&lt;/foreign-keys&gt;&lt;ref-type name="Journal Article"&gt;17&lt;/ref-type&gt;&lt;contributors&gt;&lt;authors&gt;&lt;author&gt;Jones, Darin T.&lt;/author&gt;&lt;author&gt;Rooper, Christopher N.&lt;/author&gt;&lt;author&gt;Wilson, Christopher D.&lt;/author&gt;&lt;author&gt;Spencer, Paul D.&lt;/author&gt;&lt;author&gt;Hanselman, Dana H.&lt;/author&gt;&lt;author&gt;Wilborn, Rachel E.&lt;/author&gt;&lt;/authors&gt;&lt;/contributors&gt;&lt;titles&gt;&lt;title&gt;Estimates of availability and catchability for select rockfish species based on acoustic-optic surveys in the Gulf of Alaska&lt;/title&gt;&lt;secondary-title&gt;Fisheries Research&lt;/secondary-title&gt;&lt;/titles&gt;&lt;periodical&gt;&lt;full-title&gt;Fisheries Research&lt;/full-title&gt;&lt;/periodical&gt;&lt;pages&gt;105848&lt;/pages&gt;&lt;volume&gt;236&lt;/volume&gt;&lt;keywords&gt;&lt;keyword&gt;Catchability&lt;/keyword&gt;&lt;keyword&gt;Availability&lt;/keyword&gt;&lt;keyword&gt;Rockfish&lt;/keyword&gt;&lt;keyword&gt;Lowered stereo camera&lt;/keyword&gt;&lt;keyword&gt;Trawlable&lt;/keyword&gt;&lt;keyword&gt;Untrawlable&lt;/keyword&gt;&lt;/keywords&gt;&lt;dates&gt;&lt;year&gt;2021&lt;/year&gt;&lt;pub-dates&gt;&lt;date&gt;2021/04/01/&lt;/date&gt;&lt;/pub-dates&gt;&lt;/dates&gt;&lt;isbn&gt;0165-7836&lt;/isbn&gt;&lt;urls&gt;&lt;related-urls&gt;&lt;url&gt;https://www.sciencedirect.com/science/article/pii/S0165783620303659&lt;/url&gt;&lt;/related-urls&gt;&lt;/urls&gt;&lt;electronic-resource-num&gt;https://doi.org/10.1016/j.fishres.2020.105848&lt;/electronic-resource-num&gt;&lt;/record&gt;&lt;/Cite&gt;&lt;/EndNote&gt;</w:instrText>
      </w:r>
      <w:r>
        <w:fldChar w:fldCharType="separate"/>
      </w:r>
      <w:r>
        <w:rPr>
          <w:noProof/>
        </w:rPr>
        <w:t>(Jones et al. 2021)</w:t>
      </w:r>
      <w:r>
        <w:fldChar w:fldCharType="end"/>
      </w:r>
      <w:r>
        <w:t xml:space="preserve">.  </w:t>
      </w:r>
      <w:r w:rsidR="002F1D04">
        <w:t>D</w:t>
      </w:r>
      <w:r w:rsidR="00681D36">
        <w:t>ata from acoustic and/or LSC surveys alone without a ‘bottom’ trawling survey must not be used for the stock assessment model framework.  However, th</w:t>
      </w:r>
      <w:r w:rsidR="002F1D04">
        <w:t>is</w:t>
      </w:r>
      <w:r w:rsidR="00681D36">
        <w:t xml:space="preserve"> limitation </w:t>
      </w:r>
      <w:r w:rsidR="002F1D04">
        <w:t>could</w:t>
      </w:r>
      <w:r w:rsidR="00681D36">
        <w:t xml:space="preserve"> be lifted as engineering</w:t>
      </w:r>
      <w:r>
        <w:t xml:space="preserve"> in acoustics and LSC operation</w:t>
      </w:r>
      <w:r w:rsidR="00681D36">
        <w:t xml:space="preserve"> improve</w:t>
      </w:r>
      <w:r w:rsidR="002F1D04">
        <w:t>s</w:t>
      </w:r>
      <w:r w:rsidR="00681D36">
        <w:t xml:space="preserve"> in</w:t>
      </w:r>
      <w:r w:rsidR="002A5F3F">
        <w:t xml:space="preserve"> future</w:t>
      </w:r>
      <w:r w:rsidR="00681D36">
        <w:t xml:space="preserve">. </w:t>
      </w:r>
      <w:r>
        <w:t xml:space="preserve">     </w:t>
      </w:r>
    </w:p>
    <w:p w14:paraId="3965CFAC" w14:textId="11DCD0EE" w:rsidR="00C96E2F" w:rsidRDefault="00C96E2F" w:rsidP="00E97489">
      <w:pPr>
        <w:spacing w:line="360" w:lineRule="auto"/>
      </w:pPr>
    </w:p>
    <w:p w14:paraId="5F47ECF6" w14:textId="70F97949" w:rsidR="00C96E2F" w:rsidRDefault="008551B6" w:rsidP="00E97489">
      <w:pPr>
        <w:pStyle w:val="Heading2"/>
        <w:spacing w:line="360" w:lineRule="auto"/>
      </w:pPr>
      <w:r>
        <w:t xml:space="preserve">Recommendations </w:t>
      </w:r>
    </w:p>
    <w:p w14:paraId="23ED9B3F" w14:textId="79526273" w:rsidR="00E848F1" w:rsidRDefault="00F81B9A" w:rsidP="00E97489">
      <w:pPr>
        <w:pStyle w:val="ListParagraph"/>
        <w:numPr>
          <w:ilvl w:val="0"/>
          <w:numId w:val="33"/>
        </w:numPr>
        <w:spacing w:line="360" w:lineRule="auto"/>
      </w:pPr>
      <w:r>
        <w:t xml:space="preserve">If </w:t>
      </w:r>
      <w:r w:rsidR="0020444C">
        <w:t>the</w:t>
      </w:r>
      <w:r>
        <w:t xml:space="preserve"> survey </w:t>
      </w:r>
      <w:r w:rsidR="00F961C9">
        <w:t>for the POP stock assessment</w:t>
      </w:r>
      <w:r>
        <w:t xml:space="preserve"> continue</w:t>
      </w:r>
      <w:r w:rsidR="0020444C">
        <w:t>s</w:t>
      </w:r>
      <w:r>
        <w:t xml:space="preserve"> to rely on </w:t>
      </w:r>
      <w:r w:rsidR="002A5F3F">
        <w:t xml:space="preserve">a </w:t>
      </w:r>
      <w:r>
        <w:t>bottom trawl survey,</w:t>
      </w:r>
      <w:r w:rsidR="00F961C9">
        <w:t xml:space="preserve"> they should consider increasing the current trawlable area. </w:t>
      </w:r>
      <w:r>
        <w:t xml:space="preserve"> </w:t>
      </w:r>
    </w:p>
    <w:p w14:paraId="5B19DE8D" w14:textId="7EB772CA" w:rsidR="008216C0" w:rsidRDefault="008216C0" w:rsidP="00E97489">
      <w:pPr>
        <w:pStyle w:val="ListParagraph"/>
        <w:numPr>
          <w:ilvl w:val="0"/>
          <w:numId w:val="33"/>
        </w:numPr>
        <w:spacing w:line="360" w:lineRule="auto"/>
      </w:pPr>
      <w:r>
        <w:t>They should revise the calculation of the CV of annual bottom trawl survey indices (annual relative population sizes) because they failed to consider the covariances</w:t>
      </w:r>
      <w:r w:rsidR="0067514B">
        <w:t xml:space="preserve"> of </w:t>
      </w:r>
      <w:r w:rsidR="00B76AF6">
        <w:t xml:space="preserve">survey indices from neighboring strata when calculating the variance of the annual survey index.  </w:t>
      </w:r>
      <w:r>
        <w:t xml:space="preserve"> </w:t>
      </w:r>
    </w:p>
    <w:p w14:paraId="5EBB9AE7" w14:textId="67D35C87" w:rsidR="004A40F9" w:rsidRDefault="004A40F9" w:rsidP="00E97489">
      <w:pPr>
        <w:pStyle w:val="ListParagraph"/>
        <w:numPr>
          <w:ilvl w:val="0"/>
          <w:numId w:val="33"/>
        </w:numPr>
        <w:spacing w:line="360" w:lineRule="auto"/>
      </w:pPr>
      <w:r>
        <w:t xml:space="preserve">They should incorporate </w:t>
      </w:r>
      <w:r w:rsidR="0020444C">
        <w:t xml:space="preserve">the </w:t>
      </w:r>
      <w:r>
        <w:t xml:space="preserve">annual fishery </w:t>
      </w:r>
      <w:proofErr w:type="spellStart"/>
      <w:r>
        <w:t>cpue’s</w:t>
      </w:r>
      <w:proofErr w:type="spellEnd"/>
      <w:r>
        <w:t xml:space="preserve"> into the assessment model framework.  </w:t>
      </w:r>
    </w:p>
    <w:p w14:paraId="0C7785A8" w14:textId="2719C3EB" w:rsidR="008216C0" w:rsidRDefault="00B76AF6" w:rsidP="00E97489">
      <w:pPr>
        <w:pStyle w:val="ListParagraph"/>
        <w:numPr>
          <w:ilvl w:val="0"/>
          <w:numId w:val="33"/>
        </w:numPr>
        <w:spacing w:line="360" w:lineRule="auto"/>
      </w:pPr>
      <w:r>
        <w:t xml:space="preserve">They should </w:t>
      </w:r>
      <w:r w:rsidR="004B47EE">
        <w:t xml:space="preserve">improve the model fit to the survey indices.   One of the efficient ways </w:t>
      </w:r>
      <w:r w:rsidR="0020444C">
        <w:t>to improve the goodness-of-fit</w:t>
      </w:r>
      <w:r w:rsidR="004B47EE">
        <w:t xml:space="preserve"> </w:t>
      </w:r>
      <w:r w:rsidR="00324F20">
        <w:t>might</w:t>
      </w:r>
      <w:r w:rsidR="004B47EE">
        <w:t xml:space="preserve"> be to consider process errors in state variables (random effects). </w:t>
      </w:r>
      <w:r w:rsidR="00324F20">
        <w:t xml:space="preserve">  </w:t>
      </w:r>
    </w:p>
    <w:p w14:paraId="79D3C8C6" w14:textId="7492E299" w:rsidR="00324F20" w:rsidRPr="0043183A" w:rsidRDefault="00324F20" w:rsidP="00E97489">
      <w:pPr>
        <w:pStyle w:val="ListParagraph"/>
        <w:numPr>
          <w:ilvl w:val="0"/>
          <w:numId w:val="33"/>
        </w:numPr>
        <w:spacing w:line="360" w:lineRule="auto"/>
      </w:pPr>
      <w:r w:rsidRPr="0043183A">
        <w:t xml:space="preserve">The penalized likelihood form (eq. </w:t>
      </w:r>
      <w:r w:rsidR="0020444C" w:rsidRPr="0043183A">
        <w:fldChar w:fldCharType="begin"/>
      </w:r>
      <w:r w:rsidR="0020444C" w:rsidRPr="0043183A">
        <w:instrText xml:space="preserve"> GOTOBUTTON ZEqnNum416169  \* MERGEFORMAT </w:instrText>
      </w:r>
      <w:fldSimple w:instr=" REF ZEqnNum416169 \* Charformat \! \* MERGEFORMAT ">
        <w:r w:rsidR="0088027D">
          <w:instrText>1</w:instrText>
        </w:r>
      </w:fldSimple>
      <w:r w:rsidR="0020444C" w:rsidRPr="0043183A">
        <w:fldChar w:fldCharType="end"/>
      </w:r>
      <w:r w:rsidRPr="0043183A">
        <w:t xml:space="preserve">) as the prior of M, q, and </w:t>
      </w:r>
      <w:r w:rsidR="00B4254F" w:rsidRPr="0043183A">
        <w:rPr>
          <w:noProof/>
          <w:position w:val="-12"/>
        </w:rPr>
        <w:object w:dxaOrig="300" w:dyaOrig="360" w14:anchorId="7DEC391E">
          <v:shape id="_x0000_i1025" type="#_x0000_t75" alt="" style="width:15.25pt;height:18pt;mso-width-percent:0;mso-height-percent:0;mso-width-percent:0;mso-height-percent:0" o:ole="">
            <v:imagedata r:id="rId17" o:title=""/>
          </v:shape>
          <o:OLEObject Type="Embed" ProgID="Equation.DSMT4" ShapeID="_x0000_i1025" DrawAspect="Content" ObjectID="_1685473297" r:id="rId53"/>
        </w:object>
      </w:r>
      <w:r w:rsidRPr="0043183A">
        <w:t xml:space="preserve"> </w:t>
      </w:r>
      <w:r w:rsidR="00A62E4A" w:rsidRPr="0043183A">
        <w:t>must be revised</w:t>
      </w:r>
      <w:r w:rsidR="00F01C96" w:rsidRPr="0043183A">
        <w:t xml:space="preserve"> (beyond the typo).</w:t>
      </w:r>
      <w:r w:rsidR="00A62E4A" w:rsidRPr="0043183A">
        <w:t xml:space="preserve"> </w:t>
      </w:r>
      <w:r w:rsidRPr="0043183A">
        <w:t xml:space="preserve"> </w:t>
      </w:r>
      <w:r w:rsidR="0088027D">
        <w:t>The revised form (</w:t>
      </w:r>
      <w:proofErr w:type="spellStart"/>
      <w:r w:rsidR="0088027D">
        <w:t>eqs</w:t>
      </w:r>
      <w:proofErr w:type="spellEnd"/>
      <w:r w:rsidR="0088027D">
        <w:t xml:space="preserve">. </w:t>
      </w:r>
      <w:r w:rsidR="0088027D">
        <w:fldChar w:fldCharType="begin"/>
      </w:r>
      <w:r w:rsidR="0088027D">
        <w:instrText xml:space="preserve"> GOTOBUTTON ZEqnNum326421  \* MERGEFORMAT </w:instrText>
      </w:r>
      <w:r w:rsidR="00B4254F">
        <w:fldChar w:fldCharType="begin"/>
      </w:r>
      <w:r w:rsidR="00B4254F">
        <w:instrText xml:space="preserve"> REF ZEqnNum326421 \* Charformat \! \* MERGEFORMAT </w:instrText>
      </w:r>
      <w:r w:rsidR="00B4254F">
        <w:fldChar w:fldCharType="separate"/>
      </w:r>
      <w:r w:rsidR="0088027D">
        <w:instrText>4</w:instrText>
      </w:r>
      <w:r w:rsidR="00B4254F">
        <w:fldChar w:fldCharType="end"/>
      </w:r>
      <w:r w:rsidR="0088027D">
        <w:fldChar w:fldCharType="end"/>
      </w:r>
      <w:r w:rsidR="0088027D">
        <w:t xml:space="preserve"> and </w:t>
      </w:r>
      <w:r w:rsidR="0088027D">
        <w:fldChar w:fldCharType="begin"/>
      </w:r>
      <w:r w:rsidR="0088027D">
        <w:instrText xml:space="preserve"> GOTOBUTTON ZEqnNum415010  \* MERGEFORMAT </w:instrText>
      </w:r>
      <w:r w:rsidR="00B4254F">
        <w:fldChar w:fldCharType="begin"/>
      </w:r>
      <w:r w:rsidR="00B4254F">
        <w:instrText xml:space="preserve"> REF ZEqnNum415010 \* Charformat \! \* MERGEFORMAT </w:instrText>
      </w:r>
      <w:r w:rsidR="00B4254F">
        <w:fldChar w:fldCharType="separate"/>
      </w:r>
      <w:r w:rsidR="0088027D">
        <w:instrText>5</w:instrText>
      </w:r>
      <w:r w:rsidR="00B4254F">
        <w:fldChar w:fldCharType="end"/>
      </w:r>
      <w:r w:rsidR="0088027D">
        <w:fldChar w:fldCharType="end"/>
      </w:r>
      <w:r w:rsidR="0088027D">
        <w:t xml:space="preserve">), which I suggest above, might improve the model performance.  </w:t>
      </w:r>
    </w:p>
    <w:p w14:paraId="3C0A9813" w14:textId="632BEC43" w:rsidR="008216C0" w:rsidRPr="002A5F3F" w:rsidRDefault="00324F20" w:rsidP="00E97489">
      <w:pPr>
        <w:pStyle w:val="ListParagraph"/>
        <w:numPr>
          <w:ilvl w:val="0"/>
          <w:numId w:val="33"/>
        </w:numPr>
        <w:spacing w:line="360" w:lineRule="auto"/>
      </w:pPr>
      <w:r>
        <w:lastRenderedPageBreak/>
        <w:t>They should do formal model validation</w:t>
      </w:r>
      <w:r w:rsidR="0020444C">
        <w:t>,</w:t>
      </w:r>
      <w:r>
        <w:t xml:space="preserve"> setting true values of free parameters, generating pseudo data, feeding those simulated data into the assessment model, estimating parameters, and comparing estimates of free parameters with the corresponding true values.  </w:t>
      </w:r>
      <w:r w:rsidRPr="002A5F3F">
        <w:t xml:space="preserve">Such model validation would help us to judge the reliability of parameter estimates and the resultant derived quantities made by the model.  </w:t>
      </w:r>
    </w:p>
    <w:p w14:paraId="66B81DD1" w14:textId="6BAA9918" w:rsidR="00C174A0" w:rsidRDefault="00C174A0" w:rsidP="00E97489">
      <w:pPr>
        <w:pStyle w:val="ListParagraph"/>
        <w:numPr>
          <w:ilvl w:val="0"/>
          <w:numId w:val="33"/>
        </w:numPr>
        <w:spacing w:line="360" w:lineRule="auto"/>
      </w:pPr>
      <w:r>
        <w:t xml:space="preserve">For the retrospective error analysis, they should also examine estimates of annual fishing mortality.   </w:t>
      </w:r>
    </w:p>
    <w:p w14:paraId="430DA353" w14:textId="154464B5" w:rsidR="00C94069" w:rsidRDefault="00C94069"/>
    <w:p w14:paraId="3315EAB8" w14:textId="11E09708" w:rsidR="00B51082" w:rsidRDefault="00B51082" w:rsidP="00F62830"/>
    <w:p w14:paraId="66883185" w14:textId="77777777" w:rsidR="00F62830" w:rsidRDefault="00F62830">
      <w:pPr>
        <w:spacing w:line="259" w:lineRule="auto"/>
        <w:rPr>
          <w:rFonts w:eastAsiaTheme="majorEastAsia" w:cstheme="majorBidi"/>
          <w:b/>
          <w:sz w:val="28"/>
          <w:szCs w:val="26"/>
        </w:rPr>
      </w:pPr>
    </w:p>
    <w:p w14:paraId="0300888D" w14:textId="77777777" w:rsidR="00F62830" w:rsidRDefault="00F62830">
      <w:pPr>
        <w:spacing w:line="259" w:lineRule="auto"/>
        <w:rPr>
          <w:rFonts w:eastAsiaTheme="majorEastAsia" w:cstheme="majorBidi"/>
          <w:b/>
          <w:sz w:val="28"/>
          <w:szCs w:val="26"/>
        </w:rPr>
      </w:pPr>
      <w:r>
        <w:br w:type="page"/>
      </w:r>
    </w:p>
    <w:p w14:paraId="5A44C7C5" w14:textId="700ECDF8" w:rsidR="00657B10" w:rsidRPr="00657B10" w:rsidRDefault="00657B10" w:rsidP="00657B10">
      <w:pPr>
        <w:pStyle w:val="Heading2"/>
      </w:pPr>
      <w:r>
        <w:lastRenderedPageBreak/>
        <w:t>References</w:t>
      </w:r>
    </w:p>
    <w:p w14:paraId="709B012B" w14:textId="77777777" w:rsidR="008326D6" w:rsidRPr="008326D6" w:rsidRDefault="00A03025" w:rsidP="008326D6">
      <w:pPr>
        <w:pStyle w:val="EndNoteBibliography"/>
        <w:spacing w:after="0"/>
        <w:ind w:left="720" w:hanging="720"/>
      </w:pPr>
      <w:r>
        <w:fldChar w:fldCharType="begin"/>
      </w:r>
      <w:r>
        <w:instrText xml:space="preserve"> ADDIN EN.REFLIST </w:instrText>
      </w:r>
      <w:r>
        <w:fldChar w:fldCharType="separate"/>
      </w:r>
      <w:r w:rsidR="008326D6" w:rsidRPr="008326D6">
        <w:t xml:space="preserve">Cadigan, N. G., and P. J. Farrell. 2005. Local influence diagnostics for the retrospective problem in sequential population analysis. ICES Journal of Marine Science </w:t>
      </w:r>
      <w:r w:rsidR="008326D6" w:rsidRPr="008326D6">
        <w:rPr>
          <w:b/>
        </w:rPr>
        <w:t>62</w:t>
      </w:r>
      <w:r w:rsidR="008326D6" w:rsidRPr="008326D6">
        <w:t>:256-265.</w:t>
      </w:r>
    </w:p>
    <w:p w14:paraId="3ED0A255" w14:textId="77777777" w:rsidR="008326D6" w:rsidRPr="008326D6" w:rsidRDefault="008326D6" w:rsidP="008326D6">
      <w:pPr>
        <w:pStyle w:val="EndNoteBibliography"/>
        <w:spacing w:after="0"/>
        <w:ind w:left="720" w:hanging="720"/>
      </w:pPr>
      <w:r w:rsidRPr="008326D6">
        <w:t xml:space="preserve">Fournier, D. A., H. J. Skaug, J. Ancheta, J. Ianelli, A. Magnusson, M. N. Maunder, A. Nielsen, and J. Sibert. 2012. AD Model Builder: using automatic differentiation for statistical inference of highly parameterized complex nonlinear models. Optimization Methods and Software </w:t>
      </w:r>
      <w:r w:rsidRPr="008326D6">
        <w:rPr>
          <w:b/>
        </w:rPr>
        <w:t>27</w:t>
      </w:r>
      <w:r w:rsidRPr="008326D6">
        <w:t>:233-249.</w:t>
      </w:r>
    </w:p>
    <w:p w14:paraId="27E7F357" w14:textId="77777777" w:rsidR="008326D6" w:rsidRPr="008326D6" w:rsidRDefault="008326D6" w:rsidP="008326D6">
      <w:pPr>
        <w:pStyle w:val="EndNoteBibliography"/>
        <w:spacing w:after="0"/>
        <w:ind w:left="720" w:hanging="720"/>
      </w:pPr>
      <w:r w:rsidRPr="008326D6">
        <w:t>Hulson, P.-J. F., C. R. Lunsford, B. Fissel, and D. Jones. 2020. Assessment of the Pacific ocean perch stock in the Gulf of Alaska. NPFMC Gulf of Alaska SAFE.</w:t>
      </w:r>
    </w:p>
    <w:p w14:paraId="72F06536" w14:textId="77777777" w:rsidR="008326D6" w:rsidRPr="008326D6" w:rsidRDefault="008326D6" w:rsidP="008326D6">
      <w:pPr>
        <w:pStyle w:val="EndNoteBibliography"/>
        <w:spacing w:after="0"/>
        <w:ind w:left="720" w:hanging="720"/>
      </w:pPr>
      <w:r w:rsidRPr="008326D6">
        <w:t xml:space="preserve">Jones, D. T., C. N. Rooper, C. D. Wilson, P. D. Spencer, D. H. Hanselman, and R. E. Wilborn. 2021. Estimates of availability and catchability for select rockfish species based on acoustic-optic surveys in the Gulf of Alaska. Fisheries Research </w:t>
      </w:r>
      <w:r w:rsidRPr="008326D6">
        <w:rPr>
          <w:b/>
        </w:rPr>
        <w:t>236</w:t>
      </w:r>
      <w:r w:rsidRPr="008326D6">
        <w:t>:105848.</w:t>
      </w:r>
    </w:p>
    <w:p w14:paraId="5A4E04AB" w14:textId="77777777" w:rsidR="008326D6" w:rsidRPr="008326D6" w:rsidRDefault="008326D6" w:rsidP="008326D6">
      <w:pPr>
        <w:pStyle w:val="EndNoteBibliography"/>
        <w:spacing w:after="0"/>
        <w:ind w:left="720" w:hanging="720"/>
      </w:pPr>
      <w:r w:rsidRPr="008326D6">
        <w:t xml:space="preserve">Miller, T. J., and S.-Y. Hyun. 2018. Evaluating evidence for alternative natural mortality and process error assumptions using a state-space, age-structured assessment model. Canadian Journal of Fisheries and Aquatic Sciences </w:t>
      </w:r>
      <w:r w:rsidRPr="008326D6">
        <w:rPr>
          <w:b/>
        </w:rPr>
        <w:t>75</w:t>
      </w:r>
      <w:r w:rsidRPr="008326D6">
        <w:t>:691-703.</w:t>
      </w:r>
    </w:p>
    <w:p w14:paraId="4E5331DF" w14:textId="77777777" w:rsidR="008326D6" w:rsidRPr="008326D6" w:rsidRDefault="008326D6" w:rsidP="008326D6">
      <w:pPr>
        <w:pStyle w:val="EndNoteBibliography"/>
        <w:spacing w:after="0"/>
        <w:ind w:left="720" w:hanging="720"/>
      </w:pPr>
      <w:r w:rsidRPr="008326D6">
        <w:t xml:space="preserve">Thorson, J. T. 2019. Guidance for decisions using the Vector Autoregressive Spatio-Temporal (VAST) package in stock, ecosystem, habitat and climate assessments. Fisheries Research </w:t>
      </w:r>
      <w:r w:rsidRPr="008326D6">
        <w:rPr>
          <w:b/>
        </w:rPr>
        <w:t>210</w:t>
      </w:r>
      <w:r w:rsidRPr="008326D6">
        <w:t>:143-161.</w:t>
      </w:r>
    </w:p>
    <w:p w14:paraId="3E5C9234" w14:textId="77777777" w:rsidR="008326D6" w:rsidRPr="008326D6" w:rsidRDefault="008326D6" w:rsidP="008326D6">
      <w:pPr>
        <w:pStyle w:val="EndNoteBibliography"/>
        <w:ind w:left="720" w:hanging="720"/>
      </w:pPr>
      <w:r w:rsidRPr="008326D6">
        <w:t xml:space="preserve">Thorson, J. T., C. J. Cunningham, E. Jorgensen, A. Havron, P.-J. F. Hulson, C. C. Monnahan, and P. von Szalay. 2021. The surprising sensitivity of index scale to delta-model assumptions: Recommendations for model-based index standardization. Fisheries Research </w:t>
      </w:r>
      <w:r w:rsidRPr="008326D6">
        <w:rPr>
          <w:b/>
        </w:rPr>
        <w:t>233</w:t>
      </w:r>
      <w:r w:rsidRPr="008326D6">
        <w:t>:105745.</w:t>
      </w:r>
    </w:p>
    <w:p w14:paraId="223E0778" w14:textId="50CF5E2C" w:rsidR="00A03025" w:rsidRDefault="00A03025">
      <w:r>
        <w:fldChar w:fldCharType="end"/>
      </w:r>
    </w:p>
    <w:p w14:paraId="40B13BF1" w14:textId="77777777" w:rsidR="00F85F92" w:rsidRDefault="00F85F92"/>
    <w:p w14:paraId="6056FDB1" w14:textId="77777777" w:rsidR="00F85F92" w:rsidRDefault="00F85F92"/>
    <w:p w14:paraId="390846D7" w14:textId="564788A3" w:rsidR="00657B10" w:rsidRDefault="00F50397" w:rsidP="00F50397">
      <w:pPr>
        <w:tabs>
          <w:tab w:val="left" w:pos="1575"/>
        </w:tabs>
        <w:spacing w:line="259" w:lineRule="auto"/>
      </w:pPr>
      <w:r>
        <w:tab/>
      </w:r>
    </w:p>
    <w:p w14:paraId="57E37AAE" w14:textId="02ED5C58" w:rsidR="00921901" w:rsidRDefault="00921901">
      <w:pPr>
        <w:spacing w:line="259" w:lineRule="auto"/>
        <w:rPr>
          <w:rFonts w:asciiTheme="majorHAnsi" w:eastAsiaTheme="majorEastAsia" w:hAnsiTheme="majorHAnsi" w:cstheme="majorBidi"/>
          <w:b/>
          <w:sz w:val="32"/>
          <w:szCs w:val="26"/>
        </w:rPr>
      </w:pPr>
      <w:r>
        <w:br w:type="page"/>
      </w:r>
    </w:p>
    <w:p w14:paraId="5FA2F29E" w14:textId="1B6F45C3" w:rsidR="00657B10" w:rsidRDefault="00657B10" w:rsidP="00657B10">
      <w:pPr>
        <w:pStyle w:val="Heading2"/>
      </w:pPr>
      <w:r>
        <w:lastRenderedPageBreak/>
        <w:t>Appendix 1</w:t>
      </w:r>
      <w:r w:rsidR="0063788D">
        <w:t xml:space="preserve">. </w:t>
      </w:r>
      <w:r>
        <w:t>Bibliography of materials provided for review</w:t>
      </w:r>
    </w:p>
    <w:p w14:paraId="66E0E3DD" w14:textId="05F7FC91" w:rsidR="00116389" w:rsidRDefault="00091FFE" w:rsidP="00091FFE">
      <w:pPr>
        <w:pStyle w:val="Heading3"/>
      </w:pPr>
      <w:r>
        <w:t>(1) Documents</w:t>
      </w:r>
    </w:p>
    <w:p w14:paraId="0D2731D4" w14:textId="77777777" w:rsidR="004B6480" w:rsidRDefault="004B6480" w:rsidP="004B6480">
      <w:r>
        <w:t>AFSC. 2013. Summary and response to the 2013 CIE review of AFSC rockfish.</w:t>
      </w:r>
    </w:p>
    <w:p w14:paraId="15A0FA14" w14:textId="33AF55D4" w:rsidR="004B6480" w:rsidRPr="004B6480" w:rsidRDefault="004B6480" w:rsidP="004B6480">
      <w:proofErr w:type="spellStart"/>
      <w:r>
        <w:t>Dichmont</w:t>
      </w:r>
      <w:proofErr w:type="spellEnd"/>
      <w:r>
        <w:t>, C. 2013. AFSC Rockfish Assessment Review.</w:t>
      </w:r>
    </w:p>
    <w:p w14:paraId="01073DEF" w14:textId="3ED83032" w:rsidR="00B13B6B" w:rsidRDefault="00B13B6B" w:rsidP="008F502B">
      <w:pPr>
        <w:pStyle w:val="Bibliography"/>
      </w:pPr>
      <w:r w:rsidRPr="00B13B6B">
        <w:t>Hulson, P.-J. F., D. H. Hanselman, C. R. Lunsford, and B. Fissel. 2017. Assessment of the Pacific ocean perch stock in the Gulf of Alaska. NPFMC Gulf of Alaska SAFE.</w:t>
      </w:r>
    </w:p>
    <w:p w14:paraId="089AB5C2" w14:textId="1EB42BF6" w:rsidR="003D0AC0" w:rsidRDefault="000A782F" w:rsidP="008F502B">
      <w:pPr>
        <w:pStyle w:val="Bibliography"/>
      </w:pPr>
      <w:r w:rsidRPr="000A782F">
        <w:t>Hulson, P.-J. F., D. H. Hanselman, C. R. Lunsford, B. Fissel, and D. Jones. 2019. Assessment of the Pacific ocean perch stock in the Gulf of Alaska. NPFMC Gulf of Alaska SAFE.</w:t>
      </w:r>
    </w:p>
    <w:p w14:paraId="0283FC6B" w14:textId="02BF8695" w:rsidR="00116389" w:rsidRDefault="00116389" w:rsidP="008F502B">
      <w:pPr>
        <w:pStyle w:val="Bibliography"/>
      </w:pPr>
      <w:r>
        <w:t>Hulson, P.-J. F., C. R. Lunsford, B. Fissel, and D. Jones. 2020. Assessment of the Pacific ocean perch stock in the Gulf of Alaska. NPFMC Gulf of Alaska SAFE.</w:t>
      </w:r>
    </w:p>
    <w:p w14:paraId="3DE084F3" w14:textId="07B84EF9" w:rsidR="004911E2" w:rsidRDefault="00116389" w:rsidP="008F502B">
      <w:pPr>
        <w:pStyle w:val="Bibliography"/>
      </w:pPr>
      <w:r>
        <w:t>Jones, D. T., C. N. Rooper, C. D. Wilson, P. D. Spencer, D. H. Hanselman, and R. E. Wilborn. 2021. Estimates of availability and catchability for select rockfish species based on acoustic-optic surveys in the Gulf of Alaska. Fisheries Research 236:105848.</w:t>
      </w:r>
    </w:p>
    <w:p w14:paraId="44BA5344" w14:textId="053C8121" w:rsidR="004B6480" w:rsidRDefault="004B6480" w:rsidP="00037F13">
      <w:pPr>
        <w:pStyle w:val="Bibliography"/>
      </w:pPr>
      <w:proofErr w:type="spellStart"/>
      <w:r w:rsidRPr="004B6480">
        <w:t>Klaer</w:t>
      </w:r>
      <w:proofErr w:type="spellEnd"/>
      <w:r w:rsidRPr="004B6480">
        <w:t>, N. 2013. CIE Reviewer’s Independent Report on Alaska Rockfish Stock Assessment.32.</w:t>
      </w:r>
    </w:p>
    <w:p w14:paraId="7D328156" w14:textId="7C347159" w:rsidR="00037F13" w:rsidRPr="00037F13" w:rsidRDefault="00037F13" w:rsidP="00037F13">
      <w:pPr>
        <w:pStyle w:val="Bibliography"/>
      </w:pPr>
      <w:r w:rsidRPr="00037F13">
        <w:t>Kupschus, S. 2013. CIE Review of Alaska Rockfish Assessments, 9-11 April 2013, Alaskan Fisheries Science Center, Juneau, Alaska.</w:t>
      </w:r>
    </w:p>
    <w:p w14:paraId="1FD31CAD" w14:textId="2C2A6D42" w:rsidR="004911E2" w:rsidRDefault="004911E2" w:rsidP="008F502B">
      <w:pPr>
        <w:pStyle w:val="Bibliography"/>
      </w:pPr>
      <w:r w:rsidRPr="004911E2">
        <w:t xml:space="preserve">Thorson, J. T., A. O. Shelton, E. J. Ward, and H. J. </w:t>
      </w:r>
      <w:proofErr w:type="spellStart"/>
      <w:r w:rsidRPr="004911E2">
        <w:t>Skaug</w:t>
      </w:r>
      <w:proofErr w:type="spellEnd"/>
      <w:r w:rsidRPr="004911E2">
        <w:t>. 2015. Geostatistical delta-generalized linear mixed models improve precision for estimated abundance indices for West Coast groundfishes. ICES Journal of Marine Science 72:1297-1310.</w:t>
      </w:r>
    </w:p>
    <w:p w14:paraId="19D3D65C" w14:textId="69593F02" w:rsidR="00116389" w:rsidRDefault="00116389" w:rsidP="008F502B">
      <w:pPr>
        <w:pStyle w:val="Bibliography"/>
      </w:pPr>
      <w:r>
        <w:t>Thorson, J. T. 2019. Guidance for decisions using the Vector Autoregressive Spatio-Temporal (VAST) package in stock, ecosystem, habitat and climate assessments. Fisheries Research 210:143-161.</w:t>
      </w:r>
    </w:p>
    <w:p w14:paraId="3EDDD78C" w14:textId="59DCA9E1" w:rsidR="00657B10" w:rsidRDefault="00116389" w:rsidP="008F502B">
      <w:pPr>
        <w:pStyle w:val="Bibliography"/>
      </w:pPr>
      <w:r>
        <w:t>Thorson, J. T., C. J. Cunningham, E. Jorgensen, A. Havron, P.-J. F. Hulson, C. C. Monnahan, and P. von Szalay. 2021. The surprising sensitivity of index scale to delta-model assumptions: Recommendations for model-based index standardization. Fisheries Research 233:105745.</w:t>
      </w:r>
    </w:p>
    <w:p w14:paraId="17600641" w14:textId="77777777" w:rsidR="008F502B" w:rsidRDefault="008F502B" w:rsidP="008F502B">
      <w:pPr>
        <w:pStyle w:val="Bibliography"/>
      </w:pPr>
      <w:r>
        <w:t xml:space="preserve">Thorson, J. T., A. O. Shelton, E. J. Ward, and H. J. </w:t>
      </w:r>
      <w:proofErr w:type="spellStart"/>
      <w:r>
        <w:t>Skaug</w:t>
      </w:r>
      <w:proofErr w:type="spellEnd"/>
      <w:r>
        <w:t>. 2015. Geostatistical delta-generalized linear mixed models improve precision for estimated abundance indices for West Coast groundfishes. ICES Journal of Marine Science 72:1297-1310.</w:t>
      </w:r>
    </w:p>
    <w:p w14:paraId="55A5B511" w14:textId="77777777" w:rsidR="00C4370B" w:rsidRDefault="00C4370B">
      <w:pPr>
        <w:spacing w:line="259" w:lineRule="auto"/>
      </w:pPr>
    </w:p>
    <w:p w14:paraId="2738B794" w14:textId="77777777" w:rsidR="00296609" w:rsidRDefault="00C4370B" w:rsidP="00296609">
      <w:pPr>
        <w:pStyle w:val="Heading3"/>
      </w:pPr>
      <w:r>
        <w:t xml:space="preserve">(2) Oral presentation slides </w:t>
      </w:r>
    </w:p>
    <w:p w14:paraId="5726B89A" w14:textId="6B5B437B" w:rsidR="00C4370B" w:rsidRDefault="00C4370B" w:rsidP="008C3AFF">
      <w:pPr>
        <w:pStyle w:val="Bibliography"/>
      </w:pPr>
      <w:r>
        <w:t>Gulf of Alaska Bottom Trawl Survey</w:t>
      </w:r>
      <w:r w:rsidR="00296609">
        <w:t>.  Presenter: Wayne Palsson</w:t>
      </w:r>
    </w:p>
    <w:p w14:paraId="081537D9" w14:textId="65087034" w:rsidR="00C4370B" w:rsidRDefault="00C4370B" w:rsidP="008C3AFF">
      <w:pPr>
        <w:pStyle w:val="Bibliography"/>
      </w:pPr>
      <w:r>
        <w:t>VAST estimates of Pacific Ocean Perch</w:t>
      </w:r>
      <w:r w:rsidR="00296609">
        <w:t>.  Presenter: Jason Conner</w:t>
      </w:r>
    </w:p>
    <w:p w14:paraId="65642AFA" w14:textId="2ED26F69" w:rsidR="00C4370B" w:rsidRDefault="00767DAB" w:rsidP="008C3AFF">
      <w:pPr>
        <w:pStyle w:val="Bibliography"/>
      </w:pPr>
      <w:r>
        <w:t>North Pacific Observer Program</w:t>
      </w:r>
      <w:r w:rsidR="00296609">
        <w:t>.  Presenter: Tom Holland</w:t>
      </w:r>
    </w:p>
    <w:p w14:paraId="47E477C3" w14:textId="5FB1DE39" w:rsidR="00767DAB" w:rsidRDefault="00AD1F45" w:rsidP="008C3AFF">
      <w:pPr>
        <w:pStyle w:val="Bibliography"/>
      </w:pPr>
      <w:r>
        <w:t>Age determination of Gulf of Alaska Pacific Ocean Perch (</w:t>
      </w:r>
      <w:r w:rsidRPr="00AD1F45">
        <w:rPr>
          <w:i/>
        </w:rPr>
        <w:t xml:space="preserve">Sebastes </w:t>
      </w:r>
      <w:proofErr w:type="spellStart"/>
      <w:r w:rsidRPr="00AD1F45">
        <w:rPr>
          <w:i/>
        </w:rPr>
        <w:t>alutes</w:t>
      </w:r>
      <w:proofErr w:type="spellEnd"/>
      <w:r>
        <w:t>), Northern Rockfish (</w:t>
      </w:r>
      <w:r w:rsidRPr="00AD1F45">
        <w:rPr>
          <w:i/>
        </w:rPr>
        <w:t>Sebastes polyspinus</w:t>
      </w:r>
      <w:r>
        <w:t>), and Dusky Rockfish (</w:t>
      </w:r>
      <w:r w:rsidRPr="00AD1F45">
        <w:rPr>
          <w:i/>
        </w:rPr>
        <w:t>Sebastes ciliatus</w:t>
      </w:r>
      <w:r>
        <w:t>) at the Alaska Fisheries Science Center (AFSC).  Presenters: Chris Gburski and Delsa Anderl</w:t>
      </w:r>
    </w:p>
    <w:p w14:paraId="45A713B1" w14:textId="6FB34FA3" w:rsidR="00AD1F45" w:rsidRPr="00AD1F45" w:rsidRDefault="00AD1F45" w:rsidP="008C3AFF">
      <w:pPr>
        <w:pStyle w:val="Bibliography"/>
      </w:pPr>
      <w:r>
        <w:lastRenderedPageBreak/>
        <w:t xml:space="preserve">MACE Program, Gulf of Alaska Acoustic-Trawl Survey, POP Abundance and Catchability.  Presenter: Patrick Ressler </w:t>
      </w:r>
    </w:p>
    <w:p w14:paraId="5FF062EA" w14:textId="77777777" w:rsidR="00C4370B" w:rsidRPr="00C4370B" w:rsidRDefault="00C4370B" w:rsidP="00C4370B"/>
    <w:p w14:paraId="36EA8CCE" w14:textId="145DDB3A" w:rsidR="00091FFE" w:rsidRDefault="00C4370B" w:rsidP="00091FFE">
      <w:pPr>
        <w:pStyle w:val="Heading3"/>
      </w:pPr>
      <w:r>
        <w:t>(3</w:t>
      </w:r>
      <w:r w:rsidR="00091FFE">
        <w:t>) ADMB files</w:t>
      </w:r>
      <w:r w:rsidR="0007453C">
        <w:t xml:space="preserve"> </w:t>
      </w:r>
      <w:r w:rsidR="00D3166A">
        <w:t>via</w:t>
      </w:r>
      <w:r w:rsidR="0007453C">
        <w:t xml:space="preserve"> </w:t>
      </w:r>
      <w:proofErr w:type="spellStart"/>
      <w:r w:rsidR="0007453C">
        <w:t>github</w:t>
      </w:r>
      <w:proofErr w:type="spellEnd"/>
    </w:p>
    <w:p w14:paraId="7857FACE" w14:textId="5C3126E4" w:rsidR="00091FFE" w:rsidRPr="00091FFE" w:rsidRDefault="00091FFE" w:rsidP="008C3AFF">
      <w:pPr>
        <w:pStyle w:val="Bibliography"/>
      </w:pPr>
      <w:proofErr w:type="spellStart"/>
      <w:r w:rsidRPr="00091FFE">
        <w:t>pop.tpl</w:t>
      </w:r>
      <w:proofErr w:type="spellEnd"/>
    </w:p>
    <w:p w14:paraId="079F6F19" w14:textId="7D4E31FD" w:rsidR="00091FFE" w:rsidRPr="00091FFE" w:rsidRDefault="00091FFE" w:rsidP="008C3AFF">
      <w:pPr>
        <w:pStyle w:val="Bibliography"/>
      </w:pPr>
      <w:r w:rsidRPr="00091FFE">
        <w:t>goa_pop_2019.dat</w:t>
      </w:r>
    </w:p>
    <w:p w14:paraId="7783C333" w14:textId="1FA741E4" w:rsidR="0020125E" w:rsidRPr="00091FFE" w:rsidRDefault="00091FFE" w:rsidP="008C3AFF">
      <w:pPr>
        <w:pStyle w:val="Bibliography"/>
      </w:pPr>
      <w:r w:rsidRPr="00091FFE">
        <w:t>goa_pop_2019.ctl</w:t>
      </w:r>
    </w:p>
    <w:p w14:paraId="3AC9776D" w14:textId="77777777" w:rsidR="00091FFE" w:rsidRDefault="00091FFE">
      <w:pPr>
        <w:spacing w:line="259" w:lineRule="auto"/>
        <w:rPr>
          <w:rFonts w:asciiTheme="majorHAnsi" w:eastAsiaTheme="majorEastAsia" w:hAnsiTheme="majorHAnsi" w:cstheme="majorBidi"/>
          <w:b/>
          <w:sz w:val="32"/>
          <w:szCs w:val="26"/>
        </w:rPr>
      </w:pPr>
      <w:r>
        <w:br w:type="page"/>
      </w:r>
    </w:p>
    <w:p w14:paraId="720547DF" w14:textId="025D2E6E" w:rsidR="0020125E" w:rsidRDefault="0020125E" w:rsidP="0020125E">
      <w:pPr>
        <w:pStyle w:val="Heading2"/>
      </w:pPr>
      <w:r>
        <w:lastRenderedPageBreak/>
        <w:t>Appendix 2</w:t>
      </w:r>
      <w:r w:rsidR="0063788D">
        <w:t>.</w:t>
      </w:r>
      <w:r>
        <w:t xml:space="preserve"> </w:t>
      </w:r>
      <w:r w:rsidR="0063788D">
        <w:t xml:space="preserve"> </w:t>
      </w:r>
      <w:r>
        <w:t xml:space="preserve">Performance Work Statement </w:t>
      </w:r>
    </w:p>
    <w:p w14:paraId="61F16888" w14:textId="386E3E2B" w:rsidR="00FE5830" w:rsidRDefault="00FE5830" w:rsidP="00FE5830">
      <w:pPr>
        <w:pStyle w:val="Default"/>
        <w:rPr>
          <w:sz w:val="20"/>
          <w:szCs w:val="20"/>
        </w:rPr>
      </w:pPr>
    </w:p>
    <w:p w14:paraId="5F2410A8" w14:textId="2104F03A" w:rsidR="00FE5830" w:rsidRPr="002F03F3" w:rsidRDefault="00FE5830" w:rsidP="00EF7DD1">
      <w:pPr>
        <w:spacing w:after="120"/>
        <w:jc w:val="center"/>
        <w:rPr>
          <w:rFonts w:asciiTheme="minorHAnsi" w:hAnsiTheme="minorHAnsi" w:cstheme="minorHAnsi"/>
        </w:rPr>
      </w:pPr>
      <w:r w:rsidRPr="002F03F3">
        <w:rPr>
          <w:rFonts w:asciiTheme="minorHAnsi" w:hAnsiTheme="minorHAnsi" w:cstheme="minorHAnsi"/>
        </w:rPr>
        <w:t>Performance Work Statement (PWS)</w:t>
      </w:r>
    </w:p>
    <w:p w14:paraId="059FE855" w14:textId="55809FA2" w:rsidR="00FE5830" w:rsidRPr="002F03F3" w:rsidRDefault="00FE5830" w:rsidP="00EF7DD1">
      <w:pPr>
        <w:spacing w:after="120"/>
        <w:jc w:val="center"/>
        <w:rPr>
          <w:rFonts w:asciiTheme="minorHAnsi" w:hAnsiTheme="minorHAnsi" w:cstheme="minorHAnsi"/>
        </w:rPr>
      </w:pPr>
      <w:r w:rsidRPr="002F03F3">
        <w:rPr>
          <w:rFonts w:asciiTheme="minorHAnsi" w:hAnsiTheme="minorHAnsi" w:cstheme="minorHAnsi"/>
        </w:rPr>
        <w:t>National Oceanic and Atmospheric Administration (NOAA)</w:t>
      </w:r>
    </w:p>
    <w:p w14:paraId="62A0BC8D" w14:textId="4278FD64" w:rsidR="00FE5830" w:rsidRPr="002F03F3" w:rsidRDefault="00FE5830" w:rsidP="00EF7DD1">
      <w:pPr>
        <w:spacing w:after="120"/>
        <w:jc w:val="center"/>
        <w:rPr>
          <w:rFonts w:asciiTheme="minorHAnsi" w:hAnsiTheme="minorHAnsi" w:cstheme="minorHAnsi"/>
        </w:rPr>
      </w:pPr>
      <w:r w:rsidRPr="002F03F3">
        <w:rPr>
          <w:rFonts w:asciiTheme="minorHAnsi" w:hAnsiTheme="minorHAnsi" w:cstheme="minorHAnsi"/>
        </w:rPr>
        <w:t>National Marine Fisheries Service (NMFS)</w:t>
      </w:r>
    </w:p>
    <w:p w14:paraId="4B6E457D" w14:textId="369DC29D" w:rsidR="00FE5830" w:rsidRPr="002F03F3" w:rsidRDefault="00FE5830" w:rsidP="00EF7DD1">
      <w:pPr>
        <w:spacing w:after="120"/>
        <w:jc w:val="center"/>
        <w:rPr>
          <w:rFonts w:asciiTheme="minorHAnsi" w:hAnsiTheme="minorHAnsi" w:cstheme="minorHAnsi"/>
        </w:rPr>
      </w:pPr>
      <w:r w:rsidRPr="002F03F3">
        <w:rPr>
          <w:rFonts w:asciiTheme="minorHAnsi" w:hAnsiTheme="minorHAnsi" w:cstheme="minorHAnsi"/>
        </w:rPr>
        <w:t>Center for Independent Experts (CIE) Program</w:t>
      </w:r>
    </w:p>
    <w:p w14:paraId="606CA533" w14:textId="5D3FE058" w:rsidR="00FE5830" w:rsidRPr="002F03F3" w:rsidRDefault="00FE5830" w:rsidP="00EF7DD1">
      <w:pPr>
        <w:spacing w:after="120"/>
        <w:jc w:val="center"/>
        <w:rPr>
          <w:rFonts w:asciiTheme="minorHAnsi" w:hAnsiTheme="minorHAnsi" w:cstheme="minorHAnsi"/>
        </w:rPr>
      </w:pPr>
      <w:r w:rsidRPr="002F03F3">
        <w:rPr>
          <w:rFonts w:asciiTheme="minorHAnsi" w:hAnsiTheme="minorHAnsi" w:cstheme="minorHAnsi"/>
        </w:rPr>
        <w:t>External Independent Peer Review</w:t>
      </w:r>
    </w:p>
    <w:p w14:paraId="430A78BC" w14:textId="07236F28" w:rsidR="00FE5830" w:rsidRPr="002F03F3" w:rsidRDefault="00FE5830" w:rsidP="006B4CF9">
      <w:pPr>
        <w:pStyle w:val="Default"/>
        <w:jc w:val="center"/>
        <w:rPr>
          <w:rFonts w:asciiTheme="minorHAnsi" w:hAnsiTheme="minorHAnsi" w:cstheme="minorHAnsi"/>
          <w:color w:val="auto"/>
          <w:sz w:val="28"/>
          <w:szCs w:val="28"/>
        </w:rPr>
      </w:pPr>
      <w:r w:rsidRPr="002F03F3">
        <w:rPr>
          <w:rFonts w:asciiTheme="minorHAnsi" w:hAnsiTheme="minorHAnsi" w:cstheme="minorHAnsi"/>
          <w:b/>
          <w:bCs/>
          <w:color w:val="auto"/>
          <w:sz w:val="28"/>
          <w:szCs w:val="28"/>
        </w:rPr>
        <w:t>Gulf of Alaska Rockfish – Pacific ocean perch</w:t>
      </w:r>
    </w:p>
    <w:p w14:paraId="52E8F569" w14:textId="77777777" w:rsidR="006B4CF9" w:rsidRDefault="006B4CF9" w:rsidP="00FE5830">
      <w:pPr>
        <w:pStyle w:val="Default"/>
        <w:rPr>
          <w:rFonts w:ascii="Calibri" w:hAnsi="Calibri" w:cs="Calibri"/>
          <w:b/>
          <w:bCs/>
          <w:color w:val="auto"/>
          <w:sz w:val="23"/>
          <w:szCs w:val="23"/>
        </w:rPr>
      </w:pPr>
    </w:p>
    <w:p w14:paraId="03C68AA9" w14:textId="3CEFB469" w:rsidR="00FE5830" w:rsidRPr="006B4CF9" w:rsidRDefault="00FE5830" w:rsidP="00FE5830">
      <w:pPr>
        <w:pStyle w:val="Default"/>
        <w:rPr>
          <w:rFonts w:ascii="Calibri" w:hAnsi="Calibri" w:cs="Calibri"/>
          <w:color w:val="auto"/>
        </w:rPr>
      </w:pPr>
      <w:r w:rsidRPr="006B4CF9">
        <w:rPr>
          <w:rFonts w:ascii="Calibri" w:hAnsi="Calibri" w:cs="Calibri"/>
          <w:b/>
          <w:bCs/>
          <w:color w:val="auto"/>
        </w:rPr>
        <w:t xml:space="preserve">Background </w:t>
      </w:r>
    </w:p>
    <w:p w14:paraId="72C21802" w14:textId="77777777" w:rsidR="00FE5830" w:rsidRPr="006B4CF9" w:rsidRDefault="00FE5830" w:rsidP="00FE5830">
      <w:pPr>
        <w:pStyle w:val="Default"/>
        <w:rPr>
          <w:rFonts w:ascii="Calibri" w:hAnsi="Calibri" w:cs="Calibri"/>
          <w:color w:val="auto"/>
        </w:rPr>
      </w:pPr>
      <w:r w:rsidRPr="006B4CF9">
        <w:rPr>
          <w:rFonts w:ascii="Calibri" w:hAnsi="Calibri" w:cs="Calibri"/>
          <w:color w:val="auto"/>
        </w:rPr>
        <w:t xml:space="preserve">The National Marine Fisheries Service (NMFS) is mandated by the Magnuson-Stevens Fishery Conservation and Management Act, Endangered Species Act, and Marine Mammal Protection Act to conserve, protect, and manage our nation’s marine living resources based upon the best scientific information available (BSIA). NMFS science products, including scientific advice, are often controversial and may require timely scientific peer reviews that are strictly independent of all outside influences. A formal external process for independent expert reviews of the agency's scientific products and programs ensures their credibility. Therefore, external scientific peer reviews have been and continue to be essential to strengthening scientific quality assurance for fishery conservation and management actions. </w:t>
      </w:r>
    </w:p>
    <w:p w14:paraId="1B2001C9" w14:textId="0B788CC2" w:rsidR="00FE5830" w:rsidRDefault="00FE5830" w:rsidP="00FE5830">
      <w:pPr>
        <w:pStyle w:val="Default"/>
        <w:rPr>
          <w:rFonts w:ascii="Calibri" w:hAnsi="Calibri" w:cs="Calibri"/>
          <w:color w:val="auto"/>
        </w:rPr>
      </w:pPr>
      <w:r w:rsidRPr="006B4CF9">
        <w:rPr>
          <w:rFonts w:ascii="Calibri" w:hAnsi="Calibri" w:cs="Calibri"/>
          <w:color w:val="auto"/>
        </w:rPr>
        <w:t xml:space="preserve">Scientific peer review is defined as the organized review process where one or more qualified experts review scientific information to ensure quality and credibility. These expert(s) must conduct their peer review impartially, objectively, and without conflicts of interest. Each reviewer must also be independent from the development of the science, without influence from any position that the agency or constituent groups may have. Furthermore, the Office of Management and Budget (OMB), authorized by the Information Quality Act, requires all federal agencies to conduct peer reviews of highly influential and controversial science before dissemination, and that peer reviewers must be deemed qualified based on the OMB Peer Review Bulletin standards. (http://www.cio.noaa.gov/services_programs/pdfs/OMB_Peer_Review_Bulletin_m05-03.pdf). </w:t>
      </w:r>
    </w:p>
    <w:p w14:paraId="2ABC9B6F" w14:textId="77777777" w:rsidR="006B4CF9" w:rsidRPr="006B4CF9" w:rsidRDefault="006B4CF9" w:rsidP="00FE5830">
      <w:pPr>
        <w:pStyle w:val="Default"/>
        <w:rPr>
          <w:rFonts w:ascii="Calibri" w:hAnsi="Calibri" w:cs="Calibri"/>
          <w:color w:val="auto"/>
        </w:rPr>
      </w:pPr>
    </w:p>
    <w:p w14:paraId="35F135A4" w14:textId="3A5DA977" w:rsidR="00FE5830" w:rsidRDefault="00FE5830" w:rsidP="00FE5830">
      <w:pPr>
        <w:pStyle w:val="Default"/>
        <w:rPr>
          <w:rFonts w:ascii="Calibri" w:hAnsi="Calibri" w:cs="Calibri"/>
          <w:color w:val="auto"/>
        </w:rPr>
      </w:pPr>
      <w:r w:rsidRPr="006B4CF9">
        <w:rPr>
          <w:rFonts w:ascii="Calibri" w:hAnsi="Calibri" w:cs="Calibri"/>
          <w:color w:val="auto"/>
        </w:rPr>
        <w:t xml:space="preserve">Further information on the CIE program may be obtained from </w:t>
      </w:r>
      <w:hyperlink r:id="rId54" w:history="1">
        <w:r w:rsidR="006B4CF9" w:rsidRPr="008C0FE4">
          <w:rPr>
            <w:rStyle w:val="Hyperlink"/>
            <w:rFonts w:ascii="Calibri" w:hAnsi="Calibri" w:cs="Calibri"/>
          </w:rPr>
          <w:t>www.ciereviews.org</w:t>
        </w:r>
      </w:hyperlink>
      <w:r w:rsidRPr="006B4CF9">
        <w:rPr>
          <w:rFonts w:ascii="Calibri" w:hAnsi="Calibri" w:cs="Calibri"/>
          <w:color w:val="auto"/>
        </w:rPr>
        <w:t xml:space="preserve">. </w:t>
      </w:r>
    </w:p>
    <w:p w14:paraId="178CA468" w14:textId="77777777" w:rsidR="006B4CF9" w:rsidRPr="006B4CF9" w:rsidRDefault="006B4CF9" w:rsidP="00FE5830">
      <w:pPr>
        <w:pStyle w:val="Default"/>
        <w:rPr>
          <w:rFonts w:ascii="Calibri" w:hAnsi="Calibri" w:cs="Calibri"/>
          <w:color w:val="auto"/>
        </w:rPr>
      </w:pPr>
    </w:p>
    <w:p w14:paraId="01A3A235" w14:textId="77777777" w:rsidR="00FE5830" w:rsidRPr="006B4CF9" w:rsidRDefault="00FE5830" w:rsidP="00FE5830">
      <w:pPr>
        <w:pStyle w:val="Default"/>
        <w:rPr>
          <w:rFonts w:ascii="Calibri" w:hAnsi="Calibri" w:cs="Calibri"/>
          <w:color w:val="auto"/>
        </w:rPr>
      </w:pPr>
      <w:r w:rsidRPr="006B4CF9">
        <w:rPr>
          <w:rFonts w:ascii="Calibri" w:hAnsi="Calibri" w:cs="Calibri"/>
          <w:b/>
          <w:bCs/>
          <w:color w:val="auto"/>
        </w:rPr>
        <w:t xml:space="preserve">Scope </w:t>
      </w:r>
    </w:p>
    <w:p w14:paraId="7D92859F" w14:textId="77777777" w:rsidR="00FE5830" w:rsidRPr="006B4CF9" w:rsidRDefault="00FE5830" w:rsidP="00FE5830">
      <w:pPr>
        <w:pStyle w:val="Default"/>
        <w:rPr>
          <w:rFonts w:ascii="Calibri" w:hAnsi="Calibri" w:cs="Calibri"/>
          <w:color w:val="auto"/>
        </w:rPr>
      </w:pPr>
      <w:r w:rsidRPr="006B4CF9">
        <w:rPr>
          <w:rFonts w:ascii="Calibri" w:hAnsi="Calibri" w:cs="Calibri"/>
          <w:color w:val="auto"/>
        </w:rPr>
        <w:t xml:space="preserve">The stock assessment for Gulf of Alaska Pacific ocean perch provides the scientific basis for the management advice considered and implemented by the North Pacific Fisheries Management Council. An independent review of this integrated stock assessment is requested by the Alaska Fisheries Science Center’s (AFSC) Auke Bay Laboratories Division (ABL). The goal of this review will be to ensure that the stock assessment represents the best available science to date and that any deficiencies are identified and addressed. The specified format and contents of the individual peer review reports are found in </w:t>
      </w:r>
      <w:r w:rsidRPr="006B4CF9">
        <w:rPr>
          <w:rFonts w:ascii="Calibri" w:hAnsi="Calibri" w:cs="Calibri"/>
          <w:b/>
          <w:bCs/>
          <w:color w:val="auto"/>
        </w:rPr>
        <w:t>Annex 1</w:t>
      </w:r>
      <w:r w:rsidRPr="006B4CF9">
        <w:rPr>
          <w:rFonts w:ascii="Calibri" w:hAnsi="Calibri" w:cs="Calibri"/>
          <w:color w:val="auto"/>
        </w:rPr>
        <w:t xml:space="preserve">. The Terms of Reference (TORs) of the peer review are listed in </w:t>
      </w:r>
      <w:r w:rsidRPr="006B4CF9">
        <w:rPr>
          <w:rFonts w:ascii="Calibri" w:hAnsi="Calibri" w:cs="Calibri"/>
          <w:b/>
          <w:bCs/>
          <w:color w:val="auto"/>
        </w:rPr>
        <w:t>Annex 2</w:t>
      </w:r>
      <w:r w:rsidRPr="006B4CF9">
        <w:rPr>
          <w:rFonts w:ascii="Calibri" w:hAnsi="Calibri" w:cs="Calibri"/>
          <w:color w:val="auto"/>
        </w:rPr>
        <w:t xml:space="preserve">. Lastly, the tentative agenda of the panel review meeting is attached in </w:t>
      </w:r>
      <w:r w:rsidRPr="006B4CF9">
        <w:rPr>
          <w:rFonts w:ascii="Calibri" w:hAnsi="Calibri" w:cs="Calibri"/>
          <w:b/>
          <w:bCs/>
          <w:color w:val="auto"/>
        </w:rPr>
        <w:t>Annex 3</w:t>
      </w:r>
      <w:r w:rsidRPr="006B4CF9">
        <w:rPr>
          <w:rFonts w:ascii="Calibri" w:hAnsi="Calibri" w:cs="Calibri"/>
          <w:color w:val="auto"/>
        </w:rPr>
        <w:t xml:space="preserve">. </w:t>
      </w:r>
    </w:p>
    <w:p w14:paraId="6B3D362D" w14:textId="77777777" w:rsidR="00FE5830" w:rsidRPr="006B4CF9" w:rsidRDefault="00FE5830" w:rsidP="00FE5830">
      <w:pPr>
        <w:pStyle w:val="Default"/>
        <w:rPr>
          <w:color w:val="auto"/>
        </w:rPr>
      </w:pPr>
    </w:p>
    <w:p w14:paraId="1F2B27F6" w14:textId="77777777" w:rsidR="009B45A4" w:rsidRDefault="009B45A4" w:rsidP="00FE5830">
      <w:pPr>
        <w:pStyle w:val="Default"/>
        <w:rPr>
          <w:rFonts w:ascii="Calibri" w:hAnsi="Calibri" w:cs="Calibri"/>
          <w:b/>
          <w:bCs/>
          <w:color w:val="auto"/>
        </w:rPr>
      </w:pPr>
    </w:p>
    <w:p w14:paraId="26544C11" w14:textId="2C890254" w:rsidR="00FE5830" w:rsidRPr="006B4CF9" w:rsidRDefault="00FE5830" w:rsidP="00FE5830">
      <w:pPr>
        <w:pStyle w:val="Default"/>
        <w:rPr>
          <w:rFonts w:ascii="Calibri" w:hAnsi="Calibri" w:cs="Calibri"/>
          <w:color w:val="auto"/>
        </w:rPr>
      </w:pPr>
      <w:r w:rsidRPr="006B4CF9">
        <w:rPr>
          <w:rFonts w:ascii="Calibri" w:hAnsi="Calibri" w:cs="Calibri"/>
          <w:b/>
          <w:bCs/>
          <w:color w:val="auto"/>
        </w:rPr>
        <w:lastRenderedPageBreak/>
        <w:t xml:space="preserve">Requirements </w:t>
      </w:r>
    </w:p>
    <w:p w14:paraId="0AF6FB6D" w14:textId="20A3CA91" w:rsidR="00FE5830" w:rsidRDefault="00FE5830" w:rsidP="00FE5830">
      <w:pPr>
        <w:pStyle w:val="Default"/>
        <w:rPr>
          <w:rFonts w:ascii="Calibri" w:hAnsi="Calibri" w:cs="Calibri"/>
        </w:rPr>
      </w:pPr>
      <w:r w:rsidRPr="006B4CF9">
        <w:rPr>
          <w:rFonts w:ascii="Calibri" w:hAnsi="Calibri" w:cs="Calibri"/>
          <w:color w:val="auto"/>
        </w:rPr>
        <w:t xml:space="preserve">NMFS requires three (3) reviewers to conduct an impartial and independent peer review in accordance with the PWS, OMB guidelines, and the TORs below. The reviewers shall have a working knowledge and recent experience in the application of statistical age-structured stock assessment methods in general and, in particular, assessments developed with software such as </w:t>
      </w:r>
      <w:r w:rsidRPr="006B4CF9">
        <w:rPr>
          <w:rFonts w:ascii="Calibri" w:hAnsi="Calibri" w:cs="Calibri"/>
          <w:color w:val="0000FF"/>
        </w:rPr>
        <w:t>ADMB</w:t>
      </w:r>
      <w:r w:rsidRPr="006B4CF9">
        <w:rPr>
          <w:rFonts w:ascii="Calibri" w:hAnsi="Calibri" w:cs="Calibri"/>
        </w:rPr>
        <w:t xml:space="preserve">. </w:t>
      </w:r>
    </w:p>
    <w:p w14:paraId="469EDCF7" w14:textId="77777777" w:rsidR="006B4CF9" w:rsidRPr="006B4CF9" w:rsidRDefault="006B4CF9" w:rsidP="00FE5830">
      <w:pPr>
        <w:pStyle w:val="Default"/>
        <w:rPr>
          <w:rFonts w:ascii="Calibri" w:hAnsi="Calibri" w:cs="Calibri"/>
        </w:rPr>
      </w:pPr>
    </w:p>
    <w:p w14:paraId="40183082" w14:textId="77777777" w:rsidR="00FE5830" w:rsidRPr="006B4CF9" w:rsidRDefault="00FE5830" w:rsidP="00FE5830">
      <w:pPr>
        <w:pStyle w:val="Default"/>
        <w:rPr>
          <w:rFonts w:ascii="Calibri" w:hAnsi="Calibri" w:cs="Calibri"/>
        </w:rPr>
      </w:pPr>
      <w:r w:rsidRPr="006B4CF9">
        <w:rPr>
          <w:rFonts w:ascii="Calibri" w:hAnsi="Calibri" w:cs="Calibri"/>
        </w:rPr>
        <w:t xml:space="preserve">Additionally, the CIE reviewers shall have: </w:t>
      </w:r>
    </w:p>
    <w:p w14:paraId="7B09AFA2" w14:textId="77777777" w:rsidR="00FE5830" w:rsidRPr="006B4CF9" w:rsidRDefault="00FE5830" w:rsidP="00FE5830">
      <w:pPr>
        <w:pStyle w:val="Default"/>
        <w:rPr>
          <w:rFonts w:ascii="Calibri" w:hAnsi="Calibri" w:cs="Calibri"/>
        </w:rPr>
      </w:pPr>
      <w:r w:rsidRPr="006B4CF9">
        <w:rPr>
          <w:rFonts w:ascii="Calibri" w:hAnsi="Calibri" w:cs="Calibri"/>
        </w:rPr>
        <w:t xml:space="preserve">● Expertise with measures of model fit, identification, uncertainty, forecasting, and biological reference points; </w:t>
      </w:r>
    </w:p>
    <w:p w14:paraId="3DA3D3D6" w14:textId="77777777" w:rsidR="00FE5830" w:rsidRPr="006B4CF9" w:rsidRDefault="00FE5830" w:rsidP="00FE5830">
      <w:pPr>
        <w:pStyle w:val="Default"/>
        <w:rPr>
          <w:rFonts w:ascii="Calibri" w:hAnsi="Calibri" w:cs="Calibri"/>
        </w:rPr>
      </w:pPr>
      <w:r w:rsidRPr="006B4CF9">
        <w:rPr>
          <w:rFonts w:ascii="Calibri" w:hAnsi="Calibri" w:cs="Calibri"/>
        </w:rPr>
        <w:t xml:space="preserve">● Familiarity with federal fisheries science requirements under the Magnuson-Stevens Fishery Conservation and Management Act; </w:t>
      </w:r>
    </w:p>
    <w:p w14:paraId="5102877E" w14:textId="77777777" w:rsidR="00FE5830" w:rsidRPr="006B4CF9" w:rsidRDefault="00FE5830" w:rsidP="00FE5830">
      <w:pPr>
        <w:pStyle w:val="Default"/>
        <w:rPr>
          <w:rFonts w:ascii="Calibri" w:hAnsi="Calibri" w:cs="Calibri"/>
        </w:rPr>
      </w:pPr>
      <w:r w:rsidRPr="006B4CF9">
        <w:rPr>
          <w:rFonts w:ascii="Calibri" w:hAnsi="Calibri" w:cs="Calibri"/>
        </w:rPr>
        <w:t xml:space="preserve">● Familiarity with groundfish fisheries and management; </w:t>
      </w:r>
    </w:p>
    <w:p w14:paraId="6914C2F0" w14:textId="77777777" w:rsidR="00FE5830" w:rsidRPr="006B4CF9" w:rsidRDefault="00FE5830" w:rsidP="00FE5830">
      <w:pPr>
        <w:pStyle w:val="Default"/>
        <w:rPr>
          <w:rFonts w:ascii="Calibri" w:hAnsi="Calibri" w:cs="Calibri"/>
        </w:rPr>
      </w:pPr>
      <w:r w:rsidRPr="006B4CF9">
        <w:rPr>
          <w:rFonts w:ascii="Calibri" w:hAnsi="Calibri" w:cs="Calibri"/>
        </w:rPr>
        <w:t xml:space="preserve">● Working knowledge of the application of spatio-temporal models to population index estimation; </w:t>
      </w:r>
    </w:p>
    <w:p w14:paraId="5C876D0B" w14:textId="77777777" w:rsidR="00FE5830" w:rsidRPr="006B4CF9" w:rsidRDefault="00FE5830" w:rsidP="00FE5830">
      <w:pPr>
        <w:pStyle w:val="Default"/>
        <w:rPr>
          <w:rFonts w:ascii="Calibri" w:hAnsi="Calibri" w:cs="Calibri"/>
        </w:rPr>
      </w:pPr>
      <w:r w:rsidRPr="006B4CF9">
        <w:rPr>
          <w:rFonts w:ascii="Calibri" w:hAnsi="Calibri" w:cs="Calibri"/>
        </w:rPr>
        <w:t xml:space="preserve">● Experience with application of acoustic data collection within stock assessment; </w:t>
      </w:r>
    </w:p>
    <w:p w14:paraId="526F2280" w14:textId="415481CC" w:rsidR="00FE5830" w:rsidRPr="006B4CF9" w:rsidRDefault="00FE5830" w:rsidP="00FE5830">
      <w:pPr>
        <w:pStyle w:val="Default"/>
        <w:rPr>
          <w:rFonts w:ascii="Calibri" w:hAnsi="Calibri" w:cs="Calibri"/>
        </w:rPr>
      </w:pPr>
      <w:r w:rsidRPr="006B4CF9">
        <w:rPr>
          <w:rFonts w:ascii="Calibri" w:hAnsi="Calibri" w:cs="Calibri"/>
        </w:rPr>
        <w:t>● Excellent oral and written communication skills to facilitate the discussion and</w:t>
      </w:r>
      <w:r w:rsidR="006B4CF9">
        <w:rPr>
          <w:rFonts w:ascii="Calibri" w:hAnsi="Calibri" w:cs="Calibri"/>
        </w:rPr>
        <w:t xml:space="preserve"> </w:t>
      </w:r>
      <w:r w:rsidRPr="006B4CF9">
        <w:rPr>
          <w:rFonts w:ascii="Calibri" w:hAnsi="Calibri" w:cs="Calibri"/>
        </w:rPr>
        <w:t xml:space="preserve">communication of results. </w:t>
      </w:r>
    </w:p>
    <w:p w14:paraId="0C8B6ABC" w14:textId="77777777" w:rsidR="00FE5830" w:rsidRPr="006B4CF9" w:rsidRDefault="00FE5830" w:rsidP="00FE5830">
      <w:pPr>
        <w:pStyle w:val="Default"/>
        <w:rPr>
          <w:rFonts w:ascii="Calibri" w:hAnsi="Calibri" w:cs="Calibri"/>
        </w:rPr>
      </w:pPr>
    </w:p>
    <w:p w14:paraId="5B8A66CB" w14:textId="77777777" w:rsidR="00FE5830" w:rsidRPr="006B4CF9" w:rsidRDefault="00FE5830" w:rsidP="00FE5830">
      <w:pPr>
        <w:pStyle w:val="Default"/>
        <w:rPr>
          <w:rFonts w:ascii="Calibri" w:hAnsi="Calibri" w:cs="Calibri"/>
        </w:rPr>
      </w:pPr>
      <w:r w:rsidRPr="006B4CF9">
        <w:rPr>
          <w:rFonts w:ascii="Calibri" w:hAnsi="Calibri" w:cs="Calibri"/>
          <w:b/>
          <w:bCs/>
        </w:rPr>
        <w:t xml:space="preserve">Tasks for Reviewers </w:t>
      </w:r>
    </w:p>
    <w:p w14:paraId="679651EF" w14:textId="5B8BCBA2" w:rsidR="00FE5830" w:rsidRDefault="00FE5830" w:rsidP="00FE5830">
      <w:pPr>
        <w:pStyle w:val="Default"/>
        <w:rPr>
          <w:rFonts w:ascii="Calibri" w:hAnsi="Calibri" w:cs="Calibri"/>
        </w:rPr>
      </w:pPr>
      <w:r w:rsidRPr="006B4CF9">
        <w:rPr>
          <w:rFonts w:ascii="Calibri" w:hAnsi="Calibri" w:cs="Calibri"/>
          <w:b/>
          <w:bCs/>
        </w:rPr>
        <w:t xml:space="preserve">1) </w:t>
      </w:r>
      <w:r w:rsidRPr="006B4CF9">
        <w:rPr>
          <w:rFonts w:ascii="Calibri" w:hAnsi="Calibri" w:cs="Calibri"/>
        </w:rPr>
        <w:t xml:space="preserve">Review the following background materials and reports prior to the review meeting. Two weeks before the peer review, the NMFS Project Contact will make all necessary background information and reports available electronically for the peer review. In the case where the documents need to be mailed, the NMFS Project Contact will consult with the CIE on where to send documents. The CIE reviewer shall read all documents in preparation for the peer review. </w:t>
      </w:r>
    </w:p>
    <w:p w14:paraId="1D0FFE1D" w14:textId="77777777" w:rsidR="006B4CF9" w:rsidRPr="006B4CF9" w:rsidRDefault="006B4CF9" w:rsidP="00FE5830">
      <w:pPr>
        <w:pStyle w:val="Default"/>
        <w:rPr>
          <w:rFonts w:ascii="Calibri" w:hAnsi="Calibri" w:cs="Calibri"/>
        </w:rPr>
      </w:pPr>
    </w:p>
    <w:p w14:paraId="0CD23603" w14:textId="77777777" w:rsidR="00FE5830" w:rsidRPr="006B4CF9" w:rsidRDefault="00FE5830" w:rsidP="00FE5830">
      <w:pPr>
        <w:pStyle w:val="Default"/>
        <w:rPr>
          <w:rFonts w:ascii="Calibri" w:hAnsi="Calibri" w:cs="Calibri"/>
        </w:rPr>
      </w:pPr>
      <w:r w:rsidRPr="006B4CF9">
        <w:rPr>
          <w:rFonts w:ascii="Calibri" w:hAnsi="Calibri" w:cs="Calibri"/>
          <w:b/>
          <w:bCs/>
        </w:rPr>
        <w:t xml:space="preserve">2) </w:t>
      </w:r>
      <w:r w:rsidRPr="006B4CF9">
        <w:rPr>
          <w:rFonts w:ascii="Calibri" w:hAnsi="Calibri" w:cs="Calibri"/>
        </w:rPr>
        <w:t xml:space="preserve">Attend and participate in the panel review meeting. The meeting will consist of presentations and discussions with the stock assessment authors, NMFS observer program staff, and survey scientists to facilitate the review. </w:t>
      </w:r>
    </w:p>
    <w:p w14:paraId="1C66B7AB" w14:textId="77777777" w:rsidR="006B4CF9" w:rsidRDefault="006B4CF9" w:rsidP="00FE5830">
      <w:pPr>
        <w:pStyle w:val="Default"/>
        <w:rPr>
          <w:rFonts w:ascii="Calibri" w:hAnsi="Calibri" w:cs="Calibri"/>
          <w:b/>
          <w:bCs/>
        </w:rPr>
      </w:pPr>
    </w:p>
    <w:p w14:paraId="776ED20D" w14:textId="4B266E6A" w:rsidR="00FE5830" w:rsidRPr="006B4CF9" w:rsidRDefault="00FE5830" w:rsidP="00FE5830">
      <w:pPr>
        <w:pStyle w:val="Default"/>
        <w:rPr>
          <w:rFonts w:ascii="Calibri" w:hAnsi="Calibri" w:cs="Calibri"/>
        </w:rPr>
      </w:pPr>
      <w:r w:rsidRPr="006B4CF9">
        <w:rPr>
          <w:rFonts w:ascii="Calibri" w:hAnsi="Calibri" w:cs="Calibri"/>
          <w:b/>
          <w:bCs/>
        </w:rPr>
        <w:t xml:space="preserve">3) </w:t>
      </w:r>
      <w:r w:rsidRPr="006B4CF9">
        <w:rPr>
          <w:rFonts w:ascii="Calibri" w:hAnsi="Calibri" w:cs="Calibri"/>
        </w:rPr>
        <w:t xml:space="preserve">After the review meeting, reviewers shall conduct an independent peer review report in accordance with the requirements specified in this PWS, OMB guidelines, and TORs, in adherence with the required formatting and content guidelines; reviewers are not required to reach a consensus. </w:t>
      </w:r>
    </w:p>
    <w:p w14:paraId="5710A7FD" w14:textId="77777777" w:rsidR="006B4CF9" w:rsidRDefault="006B4CF9" w:rsidP="00FE5830">
      <w:pPr>
        <w:pStyle w:val="Default"/>
        <w:rPr>
          <w:rFonts w:ascii="Calibri" w:hAnsi="Calibri" w:cs="Calibri"/>
          <w:b/>
          <w:bCs/>
        </w:rPr>
      </w:pPr>
    </w:p>
    <w:p w14:paraId="717D2911" w14:textId="2BA0E8D3" w:rsidR="00FE5830" w:rsidRPr="006B4CF9" w:rsidRDefault="00FE5830" w:rsidP="00FE5830">
      <w:pPr>
        <w:pStyle w:val="Default"/>
        <w:rPr>
          <w:rFonts w:ascii="Calibri" w:hAnsi="Calibri" w:cs="Calibri"/>
        </w:rPr>
      </w:pPr>
      <w:r w:rsidRPr="006B4CF9">
        <w:rPr>
          <w:rFonts w:ascii="Calibri" w:hAnsi="Calibri" w:cs="Calibri"/>
          <w:b/>
          <w:bCs/>
        </w:rPr>
        <w:t xml:space="preserve">4) </w:t>
      </w:r>
      <w:r w:rsidRPr="006B4CF9">
        <w:rPr>
          <w:rFonts w:ascii="Calibri" w:hAnsi="Calibri" w:cs="Calibri"/>
        </w:rPr>
        <w:t xml:space="preserve">Each reviewer should assist the Chair of the meeting with contributions to the summary report, if required in the terms of reference. </w:t>
      </w:r>
    </w:p>
    <w:p w14:paraId="4829738E" w14:textId="77777777" w:rsidR="006B4CF9" w:rsidRDefault="006B4CF9" w:rsidP="00FE5830">
      <w:pPr>
        <w:pStyle w:val="Default"/>
        <w:rPr>
          <w:rFonts w:ascii="Calibri" w:hAnsi="Calibri" w:cs="Calibri"/>
          <w:b/>
          <w:bCs/>
        </w:rPr>
      </w:pPr>
    </w:p>
    <w:p w14:paraId="699D6430" w14:textId="35097DBC" w:rsidR="00FE5830" w:rsidRPr="006B4CF9" w:rsidRDefault="00FE5830" w:rsidP="00FE5830">
      <w:pPr>
        <w:pStyle w:val="Default"/>
        <w:rPr>
          <w:rFonts w:ascii="Calibri" w:hAnsi="Calibri" w:cs="Calibri"/>
        </w:rPr>
      </w:pPr>
      <w:r w:rsidRPr="006B4CF9">
        <w:rPr>
          <w:rFonts w:ascii="Calibri" w:hAnsi="Calibri" w:cs="Calibri"/>
          <w:b/>
          <w:bCs/>
        </w:rPr>
        <w:t xml:space="preserve">5) </w:t>
      </w:r>
      <w:r w:rsidRPr="006B4CF9">
        <w:rPr>
          <w:rFonts w:ascii="Calibri" w:hAnsi="Calibri" w:cs="Calibri"/>
        </w:rPr>
        <w:t xml:space="preserve">Deliver their reports to the Government by the specified deadline. </w:t>
      </w:r>
    </w:p>
    <w:p w14:paraId="19C10DE8" w14:textId="25483481" w:rsidR="006B4CF9" w:rsidRDefault="006B4CF9" w:rsidP="00FE5830">
      <w:pPr>
        <w:pStyle w:val="Default"/>
        <w:rPr>
          <w:rFonts w:ascii="Calibri" w:hAnsi="Calibri" w:cs="Calibri"/>
          <w:b/>
          <w:bCs/>
        </w:rPr>
      </w:pPr>
    </w:p>
    <w:p w14:paraId="19CD5714" w14:textId="77777777" w:rsidR="00984A00" w:rsidRPr="00984A00" w:rsidRDefault="00984A00" w:rsidP="00984A00">
      <w:pPr>
        <w:contextualSpacing/>
        <w:rPr>
          <w:rFonts w:asciiTheme="minorHAnsi" w:hAnsiTheme="minorHAnsi" w:cstheme="minorHAnsi"/>
          <w:b/>
        </w:rPr>
      </w:pPr>
      <w:r w:rsidRPr="00984A00">
        <w:rPr>
          <w:rFonts w:asciiTheme="minorHAnsi" w:hAnsiTheme="minorHAnsi" w:cstheme="minorHAnsi"/>
          <w:b/>
        </w:rPr>
        <w:t>Place of Performance</w:t>
      </w:r>
    </w:p>
    <w:p w14:paraId="28BC1A7B" w14:textId="76280522" w:rsidR="00984A00" w:rsidRPr="00984A00" w:rsidRDefault="00984A00" w:rsidP="00984A00">
      <w:pPr>
        <w:contextualSpacing/>
        <w:rPr>
          <w:rFonts w:asciiTheme="minorHAnsi" w:hAnsiTheme="minorHAnsi" w:cstheme="minorHAnsi"/>
        </w:rPr>
      </w:pPr>
      <w:r w:rsidRPr="00984A00">
        <w:rPr>
          <w:rFonts w:asciiTheme="minorHAnsi" w:hAnsiTheme="minorHAnsi" w:cstheme="minorHAnsi"/>
        </w:rPr>
        <w:t>This review will be conducted via virtual meeting software.</w:t>
      </w:r>
    </w:p>
    <w:p w14:paraId="5678CD3F" w14:textId="77777777" w:rsidR="00984A00" w:rsidRPr="00984A00" w:rsidRDefault="00984A00" w:rsidP="00984A00">
      <w:pPr>
        <w:contextualSpacing/>
        <w:rPr>
          <w:rFonts w:asciiTheme="minorHAnsi" w:hAnsiTheme="minorHAnsi" w:cstheme="minorHAnsi"/>
        </w:rPr>
      </w:pPr>
    </w:p>
    <w:p w14:paraId="47FF6D49" w14:textId="77777777" w:rsidR="00984A00" w:rsidRPr="00984A00" w:rsidRDefault="00984A00" w:rsidP="00984A00">
      <w:pPr>
        <w:contextualSpacing/>
        <w:rPr>
          <w:rFonts w:asciiTheme="minorHAnsi" w:hAnsiTheme="minorHAnsi" w:cstheme="minorHAnsi"/>
          <w:b/>
        </w:rPr>
      </w:pPr>
      <w:r w:rsidRPr="00984A00">
        <w:rPr>
          <w:rFonts w:asciiTheme="minorHAnsi" w:hAnsiTheme="minorHAnsi" w:cstheme="minorHAnsi"/>
          <w:b/>
        </w:rPr>
        <w:t>Period of Performance</w:t>
      </w:r>
    </w:p>
    <w:p w14:paraId="2D106A41" w14:textId="77777777" w:rsidR="00984A00" w:rsidRPr="00984A00" w:rsidRDefault="00984A00" w:rsidP="00984A00">
      <w:pPr>
        <w:contextualSpacing/>
        <w:rPr>
          <w:rFonts w:asciiTheme="minorHAnsi" w:hAnsiTheme="minorHAnsi" w:cstheme="minorHAnsi"/>
        </w:rPr>
      </w:pPr>
      <w:r w:rsidRPr="00984A00">
        <w:rPr>
          <w:rFonts w:asciiTheme="minorHAnsi" w:hAnsiTheme="minorHAnsi" w:cstheme="minorHAnsi"/>
        </w:rPr>
        <w:t>The period of performance shall be from the time of award through April 14 2020.  The CIE reviewers’ duties shall not exceed 14 days to complete all required tasks.</w:t>
      </w:r>
    </w:p>
    <w:p w14:paraId="69C90632" w14:textId="77777777" w:rsidR="00984A00" w:rsidRPr="00984A00" w:rsidRDefault="00984A00" w:rsidP="00984A00">
      <w:pPr>
        <w:contextualSpacing/>
        <w:rPr>
          <w:rFonts w:asciiTheme="minorHAnsi" w:hAnsiTheme="minorHAnsi" w:cstheme="minorHAnsi"/>
        </w:rPr>
      </w:pPr>
    </w:p>
    <w:p w14:paraId="5FFF8A0C" w14:textId="77777777" w:rsidR="00984A00" w:rsidRPr="00984A00" w:rsidRDefault="00984A00" w:rsidP="00984A00">
      <w:pPr>
        <w:contextualSpacing/>
        <w:rPr>
          <w:rFonts w:asciiTheme="minorHAnsi" w:hAnsiTheme="minorHAnsi" w:cstheme="minorHAnsi"/>
          <w:b/>
        </w:rPr>
      </w:pPr>
      <w:r w:rsidRPr="00984A00">
        <w:rPr>
          <w:rFonts w:asciiTheme="minorHAnsi" w:hAnsiTheme="minorHAnsi" w:cstheme="minorHAnsi"/>
          <w:b/>
        </w:rPr>
        <w:t>Schedule of Milestones and Deliverables</w:t>
      </w:r>
    </w:p>
    <w:p w14:paraId="695FDF0D" w14:textId="77777777" w:rsidR="00984A00" w:rsidRPr="00984A00" w:rsidRDefault="00984A00" w:rsidP="00984A00">
      <w:pPr>
        <w:contextualSpacing/>
        <w:rPr>
          <w:rFonts w:asciiTheme="minorHAnsi" w:hAnsiTheme="minorHAnsi" w:cstheme="minorHAnsi"/>
        </w:rPr>
      </w:pPr>
      <w:r w:rsidRPr="00984A00">
        <w:rPr>
          <w:rFonts w:asciiTheme="minorHAnsi" w:hAnsiTheme="minorHAnsi" w:cstheme="minorHAnsi"/>
        </w:rPr>
        <w:t xml:space="preserve">The contractor shall complete the tasks and deliverables in accordance with the following schedule. </w:t>
      </w:r>
    </w:p>
    <w:p w14:paraId="1DFCD6C2" w14:textId="77777777" w:rsidR="00984A00" w:rsidRPr="00984A00" w:rsidRDefault="00984A00" w:rsidP="00984A00">
      <w:pPr>
        <w:pStyle w:val="Level1"/>
        <w:tabs>
          <w:tab w:val="left" w:pos="540"/>
        </w:tabs>
        <w:ind w:left="0"/>
        <w:rPr>
          <w:rFonts w:ascii="Calibri" w:hAnsi="Calibri" w:cs="Calibri"/>
          <w:sz w:val="22"/>
          <w:szCs w:val="22"/>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000" w:firstRow="0" w:lastRow="0" w:firstColumn="0" w:lastColumn="0" w:noHBand="0" w:noVBand="0"/>
      </w:tblPr>
      <w:tblGrid>
        <w:gridCol w:w="3864"/>
        <w:gridCol w:w="5152"/>
      </w:tblGrid>
      <w:tr w:rsidR="00984A00" w:rsidRPr="00984A00" w14:paraId="7E93DCE0" w14:textId="77777777" w:rsidTr="00984A00">
        <w:trPr>
          <w:jc w:val="center"/>
        </w:trPr>
        <w:tc>
          <w:tcPr>
            <w:tcW w:w="2143" w:type="pct"/>
            <w:shd w:val="clear" w:color="auto" w:fill="auto"/>
            <w:vAlign w:val="center"/>
          </w:tcPr>
          <w:p w14:paraId="07C78C93" w14:textId="77777777" w:rsidR="00984A00" w:rsidRPr="00984A00" w:rsidRDefault="00984A00" w:rsidP="003C629F">
            <w:pPr>
              <w:pStyle w:val="Level1"/>
              <w:widowControl w:val="0"/>
              <w:tabs>
                <w:tab w:val="left" w:pos="540"/>
              </w:tabs>
              <w:ind w:left="0"/>
              <w:rPr>
                <w:rFonts w:ascii="Calibri" w:hAnsi="Calibri"/>
                <w:sz w:val="22"/>
                <w:szCs w:val="22"/>
              </w:rPr>
            </w:pPr>
            <w:r w:rsidRPr="00984A00">
              <w:rPr>
                <w:rFonts w:ascii="Calibri" w:hAnsi="Calibri" w:cs="Calibri"/>
                <w:sz w:val="22"/>
                <w:szCs w:val="22"/>
              </w:rPr>
              <w:t>Within two weeks of award</w:t>
            </w:r>
          </w:p>
        </w:tc>
        <w:tc>
          <w:tcPr>
            <w:tcW w:w="2857" w:type="pct"/>
            <w:vAlign w:val="center"/>
          </w:tcPr>
          <w:p w14:paraId="0D688A72" w14:textId="77777777" w:rsidR="00984A00" w:rsidRPr="00984A00" w:rsidRDefault="00984A00" w:rsidP="003C629F">
            <w:pPr>
              <w:pStyle w:val="Level1"/>
              <w:widowControl w:val="0"/>
              <w:tabs>
                <w:tab w:val="left" w:pos="540"/>
              </w:tabs>
              <w:ind w:left="0"/>
              <w:rPr>
                <w:rFonts w:ascii="Calibri" w:hAnsi="Calibri"/>
                <w:sz w:val="22"/>
                <w:szCs w:val="22"/>
              </w:rPr>
            </w:pPr>
            <w:r w:rsidRPr="00984A00">
              <w:rPr>
                <w:rFonts w:ascii="Calibri" w:hAnsi="Calibri"/>
                <w:sz w:val="22"/>
                <w:szCs w:val="22"/>
              </w:rPr>
              <w:t>Contractor selects and confirms reviewers</w:t>
            </w:r>
          </w:p>
        </w:tc>
      </w:tr>
      <w:tr w:rsidR="00984A00" w:rsidRPr="00984A00" w14:paraId="3FC33C02" w14:textId="77777777" w:rsidTr="00984A00">
        <w:trPr>
          <w:jc w:val="center"/>
        </w:trPr>
        <w:tc>
          <w:tcPr>
            <w:tcW w:w="2143" w:type="pct"/>
            <w:shd w:val="clear" w:color="auto" w:fill="auto"/>
            <w:vAlign w:val="center"/>
          </w:tcPr>
          <w:p w14:paraId="098D76B0" w14:textId="77777777" w:rsidR="00984A00" w:rsidRPr="00984A00" w:rsidRDefault="00984A00" w:rsidP="003C629F">
            <w:pPr>
              <w:pStyle w:val="Level1"/>
              <w:widowControl w:val="0"/>
              <w:tabs>
                <w:tab w:val="left" w:pos="540"/>
              </w:tabs>
              <w:ind w:left="0"/>
              <w:rPr>
                <w:rFonts w:ascii="Calibri" w:hAnsi="Calibri"/>
                <w:sz w:val="22"/>
                <w:szCs w:val="22"/>
              </w:rPr>
            </w:pPr>
            <w:r w:rsidRPr="00984A00">
              <w:rPr>
                <w:rFonts w:ascii="Calibri" w:hAnsi="Calibri"/>
                <w:sz w:val="22"/>
                <w:szCs w:val="22"/>
              </w:rPr>
              <w:t>Approximately 2 weeks later</w:t>
            </w:r>
          </w:p>
        </w:tc>
        <w:tc>
          <w:tcPr>
            <w:tcW w:w="2857" w:type="pct"/>
            <w:vAlign w:val="center"/>
          </w:tcPr>
          <w:p w14:paraId="130EF46A" w14:textId="77777777" w:rsidR="00984A00" w:rsidRPr="00984A00" w:rsidRDefault="00984A00" w:rsidP="003C629F">
            <w:pPr>
              <w:pStyle w:val="Level1"/>
              <w:widowControl w:val="0"/>
              <w:tabs>
                <w:tab w:val="left" w:pos="540"/>
              </w:tabs>
              <w:ind w:left="0"/>
              <w:rPr>
                <w:rFonts w:ascii="Calibri" w:hAnsi="Calibri"/>
                <w:sz w:val="22"/>
                <w:szCs w:val="22"/>
              </w:rPr>
            </w:pPr>
            <w:r w:rsidRPr="00984A00">
              <w:rPr>
                <w:rFonts w:ascii="Calibri" w:hAnsi="Calibri"/>
                <w:sz w:val="22"/>
                <w:szCs w:val="22"/>
              </w:rPr>
              <w:t xml:space="preserve">Contractor provides the pre-review documents to the reviewers </w:t>
            </w:r>
          </w:p>
        </w:tc>
      </w:tr>
      <w:tr w:rsidR="00984A00" w:rsidRPr="00984A00" w14:paraId="0E0AB300" w14:textId="77777777" w:rsidTr="00984A00">
        <w:trPr>
          <w:jc w:val="center"/>
        </w:trPr>
        <w:tc>
          <w:tcPr>
            <w:tcW w:w="2143" w:type="pct"/>
            <w:shd w:val="clear" w:color="auto" w:fill="auto"/>
            <w:vAlign w:val="center"/>
          </w:tcPr>
          <w:p w14:paraId="3FE1E6BA" w14:textId="77777777" w:rsidR="00984A00" w:rsidRPr="00984A00" w:rsidRDefault="00984A00" w:rsidP="003C629F">
            <w:pPr>
              <w:pStyle w:val="Level1"/>
              <w:widowControl w:val="0"/>
              <w:tabs>
                <w:tab w:val="left" w:pos="540"/>
              </w:tabs>
              <w:ind w:left="0"/>
              <w:rPr>
                <w:rFonts w:ascii="Calibri" w:hAnsi="Calibri"/>
                <w:sz w:val="22"/>
                <w:szCs w:val="22"/>
              </w:rPr>
            </w:pPr>
            <w:r w:rsidRPr="00984A00">
              <w:rPr>
                <w:rFonts w:ascii="Calibri" w:hAnsi="Calibri" w:cs="Arial"/>
                <w:sz w:val="22"/>
                <w:szCs w:val="22"/>
                <w:shd w:val="clear" w:color="auto" w:fill="FFFFFF"/>
              </w:rPr>
              <w:t>March 30-April 1, 2021</w:t>
            </w:r>
          </w:p>
        </w:tc>
        <w:tc>
          <w:tcPr>
            <w:tcW w:w="2857" w:type="pct"/>
            <w:vAlign w:val="center"/>
          </w:tcPr>
          <w:p w14:paraId="585D4AC8" w14:textId="77777777" w:rsidR="00984A00" w:rsidRPr="00984A00" w:rsidRDefault="00984A00" w:rsidP="003C629F">
            <w:pPr>
              <w:pStyle w:val="Level1"/>
              <w:widowControl w:val="0"/>
              <w:tabs>
                <w:tab w:val="left" w:pos="540"/>
              </w:tabs>
              <w:ind w:left="0"/>
              <w:rPr>
                <w:rFonts w:ascii="Calibri" w:hAnsi="Calibri"/>
                <w:sz w:val="22"/>
                <w:szCs w:val="22"/>
              </w:rPr>
            </w:pPr>
            <w:r w:rsidRPr="00984A00">
              <w:rPr>
                <w:rFonts w:ascii="Calibri" w:hAnsi="Calibri"/>
                <w:sz w:val="22"/>
                <w:szCs w:val="22"/>
              </w:rPr>
              <w:t>Panel review meeting</w:t>
            </w:r>
          </w:p>
        </w:tc>
      </w:tr>
      <w:tr w:rsidR="00984A00" w:rsidRPr="00984A00" w14:paraId="701CB606" w14:textId="77777777" w:rsidTr="00984A00">
        <w:trPr>
          <w:jc w:val="center"/>
        </w:trPr>
        <w:tc>
          <w:tcPr>
            <w:tcW w:w="2143" w:type="pct"/>
            <w:shd w:val="clear" w:color="auto" w:fill="auto"/>
            <w:vAlign w:val="center"/>
          </w:tcPr>
          <w:p w14:paraId="4B81C065" w14:textId="77777777" w:rsidR="00984A00" w:rsidRPr="00984A00" w:rsidRDefault="00984A00" w:rsidP="003C629F">
            <w:pPr>
              <w:pStyle w:val="Level1"/>
              <w:widowControl w:val="0"/>
              <w:tabs>
                <w:tab w:val="left" w:pos="540"/>
              </w:tabs>
              <w:ind w:left="0"/>
              <w:rPr>
                <w:rFonts w:ascii="Calibri" w:hAnsi="Calibri" w:cs="Calibri"/>
                <w:sz w:val="22"/>
                <w:szCs w:val="22"/>
              </w:rPr>
            </w:pPr>
            <w:r w:rsidRPr="00984A00">
              <w:rPr>
                <w:rFonts w:ascii="Calibri" w:hAnsi="Calibri"/>
                <w:sz w:val="22"/>
                <w:szCs w:val="22"/>
              </w:rPr>
              <w:t>Approximately 3 weeks later</w:t>
            </w:r>
          </w:p>
        </w:tc>
        <w:tc>
          <w:tcPr>
            <w:tcW w:w="2857" w:type="pct"/>
            <w:vAlign w:val="center"/>
          </w:tcPr>
          <w:p w14:paraId="4BBEC1C6" w14:textId="77777777" w:rsidR="00984A00" w:rsidRPr="00984A00" w:rsidRDefault="00984A00" w:rsidP="003C629F">
            <w:pPr>
              <w:pStyle w:val="Level1"/>
              <w:widowControl w:val="0"/>
              <w:tabs>
                <w:tab w:val="left" w:pos="540"/>
              </w:tabs>
              <w:ind w:left="0"/>
              <w:rPr>
                <w:rFonts w:ascii="Calibri" w:hAnsi="Calibri"/>
                <w:sz w:val="22"/>
                <w:szCs w:val="22"/>
              </w:rPr>
            </w:pPr>
            <w:r w:rsidRPr="00984A00">
              <w:rPr>
                <w:rFonts w:ascii="Calibri" w:hAnsi="Calibri"/>
                <w:sz w:val="22"/>
                <w:szCs w:val="22"/>
              </w:rPr>
              <w:t xml:space="preserve">Contractor receives draft reports </w:t>
            </w:r>
          </w:p>
        </w:tc>
      </w:tr>
      <w:tr w:rsidR="00984A00" w:rsidRPr="00984A00" w14:paraId="19E4B56F" w14:textId="77777777" w:rsidTr="00984A00">
        <w:trPr>
          <w:jc w:val="center"/>
        </w:trPr>
        <w:tc>
          <w:tcPr>
            <w:tcW w:w="2143" w:type="pct"/>
            <w:shd w:val="clear" w:color="auto" w:fill="auto"/>
            <w:vAlign w:val="center"/>
          </w:tcPr>
          <w:p w14:paraId="187FF001" w14:textId="77777777" w:rsidR="00984A00" w:rsidRPr="00984A00" w:rsidRDefault="00984A00" w:rsidP="003C629F">
            <w:pPr>
              <w:pStyle w:val="Level1"/>
              <w:widowControl w:val="0"/>
              <w:tabs>
                <w:tab w:val="left" w:pos="540"/>
              </w:tabs>
              <w:ind w:left="0"/>
              <w:rPr>
                <w:rFonts w:ascii="Calibri" w:hAnsi="Calibri"/>
                <w:sz w:val="22"/>
                <w:szCs w:val="22"/>
              </w:rPr>
            </w:pPr>
            <w:r w:rsidRPr="00984A00">
              <w:rPr>
                <w:rFonts w:ascii="Calibri" w:hAnsi="Calibri"/>
                <w:sz w:val="22"/>
                <w:szCs w:val="22"/>
              </w:rPr>
              <w:t>Within 2 weeks of receiving draft reports</w:t>
            </w:r>
          </w:p>
        </w:tc>
        <w:tc>
          <w:tcPr>
            <w:tcW w:w="2857" w:type="pct"/>
            <w:vAlign w:val="center"/>
          </w:tcPr>
          <w:p w14:paraId="7F271885" w14:textId="77777777" w:rsidR="00984A00" w:rsidRPr="00984A00" w:rsidRDefault="00984A00" w:rsidP="003C629F">
            <w:pPr>
              <w:pStyle w:val="Level1"/>
              <w:widowControl w:val="0"/>
              <w:tabs>
                <w:tab w:val="left" w:pos="540"/>
              </w:tabs>
              <w:ind w:left="0"/>
              <w:rPr>
                <w:rFonts w:ascii="Calibri" w:hAnsi="Calibri"/>
                <w:sz w:val="22"/>
                <w:szCs w:val="22"/>
              </w:rPr>
            </w:pPr>
            <w:r w:rsidRPr="00984A00">
              <w:rPr>
                <w:rFonts w:ascii="Calibri" w:hAnsi="Calibri"/>
                <w:sz w:val="22"/>
                <w:szCs w:val="22"/>
              </w:rPr>
              <w:t>Contractor submits final reports to the Government</w:t>
            </w:r>
          </w:p>
        </w:tc>
      </w:tr>
    </w:tbl>
    <w:p w14:paraId="76111466" w14:textId="77777777" w:rsidR="00984A00" w:rsidRPr="00984A00" w:rsidRDefault="00984A00" w:rsidP="00984A00">
      <w:pPr>
        <w:pStyle w:val="Level1"/>
        <w:tabs>
          <w:tab w:val="left" w:pos="540"/>
        </w:tabs>
        <w:ind w:left="0"/>
        <w:rPr>
          <w:rFonts w:asciiTheme="minorHAnsi" w:hAnsiTheme="minorHAnsi" w:cstheme="minorHAnsi"/>
          <w:sz w:val="22"/>
          <w:szCs w:val="22"/>
        </w:rPr>
      </w:pPr>
    </w:p>
    <w:p w14:paraId="08488C49" w14:textId="77777777" w:rsidR="00984A00" w:rsidRPr="006D10A4" w:rsidRDefault="00984A00" w:rsidP="00984A00">
      <w:pPr>
        <w:contextualSpacing/>
        <w:rPr>
          <w:rFonts w:asciiTheme="minorHAnsi" w:hAnsiTheme="minorHAnsi" w:cstheme="minorHAnsi"/>
          <w:b/>
          <w:szCs w:val="24"/>
        </w:rPr>
      </w:pPr>
      <w:r w:rsidRPr="006D10A4">
        <w:rPr>
          <w:rFonts w:asciiTheme="minorHAnsi" w:hAnsiTheme="minorHAnsi" w:cstheme="minorHAnsi"/>
          <w:b/>
          <w:szCs w:val="24"/>
        </w:rPr>
        <w:t xml:space="preserve">Applicable Performance Standards  </w:t>
      </w:r>
    </w:p>
    <w:p w14:paraId="0806C88C" w14:textId="734DCA47" w:rsidR="006D10A4" w:rsidRPr="006D10A4" w:rsidRDefault="00984A00" w:rsidP="006D10A4">
      <w:pPr>
        <w:contextualSpacing/>
        <w:rPr>
          <w:rFonts w:asciiTheme="minorHAnsi" w:hAnsiTheme="minorHAnsi" w:cstheme="minorHAnsi"/>
          <w:szCs w:val="24"/>
        </w:rPr>
      </w:pPr>
      <w:r w:rsidRPr="006D10A4">
        <w:rPr>
          <w:rFonts w:asciiTheme="minorHAnsi" w:hAnsiTheme="minorHAnsi" w:cstheme="minorHAnsi"/>
          <w:szCs w:val="24"/>
        </w:rPr>
        <w:t xml:space="preserve">The acceptance of the contract deliverables shall be based on three performance standards: </w:t>
      </w:r>
    </w:p>
    <w:p w14:paraId="07484CC0" w14:textId="77777777" w:rsidR="006D10A4" w:rsidRPr="006D10A4" w:rsidRDefault="006D10A4" w:rsidP="006D10A4">
      <w:pPr>
        <w:rPr>
          <w:rFonts w:asciiTheme="minorHAnsi" w:hAnsiTheme="minorHAnsi" w:cstheme="minorHAnsi"/>
          <w:szCs w:val="24"/>
        </w:rPr>
      </w:pPr>
      <w:r w:rsidRPr="006D10A4">
        <w:rPr>
          <w:rFonts w:asciiTheme="minorHAnsi" w:hAnsiTheme="minorHAnsi" w:cstheme="minorHAnsi"/>
          <w:szCs w:val="24"/>
        </w:rPr>
        <w:t>(1) The reports shall be completed in accordance with the required formatting and content; (2) The reports shall address each TOR as specified; and (3) The reports shall be delivered as specified in the schedule of milestones and deliverables.</w:t>
      </w:r>
    </w:p>
    <w:p w14:paraId="7BB50377" w14:textId="77777777" w:rsidR="006D10A4" w:rsidRPr="006D10A4" w:rsidRDefault="006D10A4" w:rsidP="006D10A4">
      <w:pPr>
        <w:contextualSpacing/>
        <w:rPr>
          <w:rFonts w:asciiTheme="minorHAnsi" w:hAnsiTheme="minorHAnsi" w:cstheme="minorHAnsi"/>
          <w:b/>
          <w:szCs w:val="24"/>
        </w:rPr>
      </w:pPr>
      <w:r w:rsidRPr="006D10A4">
        <w:rPr>
          <w:rFonts w:asciiTheme="minorHAnsi" w:hAnsiTheme="minorHAnsi" w:cstheme="minorHAnsi"/>
          <w:b/>
          <w:szCs w:val="24"/>
        </w:rPr>
        <w:t>Travel</w:t>
      </w:r>
    </w:p>
    <w:p w14:paraId="6A52E264" w14:textId="77777777" w:rsidR="006D10A4" w:rsidRPr="006D10A4" w:rsidRDefault="006D10A4" w:rsidP="006D10A4">
      <w:pPr>
        <w:contextualSpacing/>
        <w:rPr>
          <w:rFonts w:asciiTheme="minorHAnsi" w:hAnsiTheme="minorHAnsi" w:cstheme="minorHAnsi"/>
          <w:szCs w:val="24"/>
        </w:rPr>
      </w:pPr>
      <w:r w:rsidRPr="006D10A4">
        <w:rPr>
          <w:rFonts w:asciiTheme="minorHAnsi" w:hAnsiTheme="minorHAnsi" w:cstheme="minorHAnsi"/>
          <w:szCs w:val="24"/>
        </w:rPr>
        <w:t>No travel is necessary, as this meeting is being held remotely.</w:t>
      </w:r>
    </w:p>
    <w:p w14:paraId="08C40168" w14:textId="77777777" w:rsidR="006D10A4" w:rsidRPr="006D10A4" w:rsidRDefault="006D10A4" w:rsidP="006D10A4">
      <w:pPr>
        <w:contextualSpacing/>
        <w:rPr>
          <w:rFonts w:asciiTheme="minorHAnsi" w:hAnsiTheme="minorHAnsi" w:cstheme="minorHAnsi"/>
          <w:szCs w:val="24"/>
        </w:rPr>
      </w:pPr>
    </w:p>
    <w:p w14:paraId="6276958C" w14:textId="77777777" w:rsidR="006D10A4" w:rsidRPr="006D10A4" w:rsidRDefault="006D10A4" w:rsidP="006D10A4">
      <w:pPr>
        <w:contextualSpacing/>
        <w:rPr>
          <w:rFonts w:asciiTheme="minorHAnsi" w:hAnsiTheme="minorHAnsi" w:cstheme="minorHAnsi"/>
          <w:b/>
          <w:szCs w:val="24"/>
        </w:rPr>
      </w:pPr>
      <w:r w:rsidRPr="006D10A4">
        <w:rPr>
          <w:rFonts w:asciiTheme="minorHAnsi" w:hAnsiTheme="minorHAnsi" w:cstheme="minorHAnsi"/>
          <w:b/>
          <w:szCs w:val="24"/>
        </w:rPr>
        <w:t>Restricted or Limited Use of Data</w:t>
      </w:r>
    </w:p>
    <w:p w14:paraId="7A54007C" w14:textId="77777777" w:rsidR="006D10A4" w:rsidRPr="006D10A4" w:rsidRDefault="006D10A4" w:rsidP="006D10A4">
      <w:pPr>
        <w:contextualSpacing/>
        <w:rPr>
          <w:rFonts w:asciiTheme="minorHAnsi" w:hAnsiTheme="minorHAnsi" w:cstheme="minorHAnsi"/>
          <w:szCs w:val="24"/>
        </w:rPr>
      </w:pPr>
      <w:r w:rsidRPr="006D10A4">
        <w:rPr>
          <w:rFonts w:asciiTheme="minorHAnsi" w:hAnsiTheme="minorHAnsi" w:cstheme="minorHAnsi"/>
          <w:szCs w:val="24"/>
        </w:rPr>
        <w:t>The contractors may be required to sign and adhere to a non-disclosure agreement.</w:t>
      </w:r>
    </w:p>
    <w:p w14:paraId="03A39315" w14:textId="77777777" w:rsidR="006D10A4" w:rsidRPr="006D10A4" w:rsidRDefault="006D10A4" w:rsidP="006D10A4">
      <w:pPr>
        <w:spacing w:after="0"/>
        <w:rPr>
          <w:rFonts w:asciiTheme="minorHAnsi" w:hAnsiTheme="minorHAnsi" w:cstheme="minorHAnsi"/>
          <w:b/>
          <w:szCs w:val="24"/>
        </w:rPr>
      </w:pPr>
    </w:p>
    <w:p w14:paraId="354E2DD3" w14:textId="77777777" w:rsidR="006D10A4" w:rsidRPr="006D10A4" w:rsidRDefault="006D10A4" w:rsidP="006D10A4">
      <w:pPr>
        <w:spacing w:after="0"/>
        <w:rPr>
          <w:rFonts w:asciiTheme="minorHAnsi" w:hAnsiTheme="minorHAnsi" w:cstheme="minorHAnsi"/>
          <w:b/>
          <w:szCs w:val="24"/>
        </w:rPr>
      </w:pPr>
      <w:r w:rsidRPr="006D10A4">
        <w:rPr>
          <w:rFonts w:asciiTheme="minorHAnsi" w:hAnsiTheme="minorHAnsi" w:cstheme="minorHAnsi"/>
          <w:b/>
          <w:szCs w:val="24"/>
        </w:rPr>
        <w:t>Project Contact(s):</w:t>
      </w:r>
    </w:p>
    <w:p w14:paraId="1340BD0A" w14:textId="77777777" w:rsidR="006D10A4" w:rsidRPr="006D10A4" w:rsidRDefault="006D10A4" w:rsidP="006D10A4">
      <w:pPr>
        <w:spacing w:after="0"/>
        <w:rPr>
          <w:rFonts w:asciiTheme="minorHAnsi" w:hAnsiTheme="minorHAnsi" w:cstheme="minorHAnsi"/>
          <w:szCs w:val="24"/>
        </w:rPr>
      </w:pPr>
      <w:r w:rsidRPr="006D10A4">
        <w:rPr>
          <w:rFonts w:asciiTheme="minorHAnsi" w:hAnsiTheme="minorHAnsi" w:cstheme="minorHAnsi"/>
          <w:szCs w:val="24"/>
        </w:rPr>
        <w:t>Pete Hulson</w:t>
      </w:r>
    </w:p>
    <w:p w14:paraId="35A0E3C1" w14:textId="77777777" w:rsidR="006D10A4" w:rsidRPr="006D10A4" w:rsidRDefault="006D10A4" w:rsidP="006D10A4">
      <w:pPr>
        <w:spacing w:after="0"/>
        <w:rPr>
          <w:rFonts w:asciiTheme="minorHAnsi" w:hAnsiTheme="minorHAnsi" w:cstheme="minorHAnsi"/>
          <w:szCs w:val="24"/>
        </w:rPr>
      </w:pPr>
      <w:r w:rsidRPr="006D10A4">
        <w:rPr>
          <w:rFonts w:asciiTheme="minorHAnsi" w:hAnsiTheme="minorHAnsi" w:cstheme="minorHAnsi"/>
          <w:szCs w:val="24"/>
        </w:rPr>
        <w:t>Auke Bay Laboratories</w:t>
      </w:r>
    </w:p>
    <w:p w14:paraId="784E22A6" w14:textId="77777777" w:rsidR="006D10A4" w:rsidRPr="006D10A4" w:rsidRDefault="006D10A4" w:rsidP="006D10A4">
      <w:pPr>
        <w:spacing w:after="0"/>
        <w:rPr>
          <w:rFonts w:asciiTheme="minorHAnsi" w:hAnsiTheme="minorHAnsi" w:cstheme="minorHAnsi"/>
          <w:szCs w:val="24"/>
        </w:rPr>
      </w:pPr>
      <w:r w:rsidRPr="006D10A4">
        <w:rPr>
          <w:rFonts w:asciiTheme="minorHAnsi" w:hAnsiTheme="minorHAnsi" w:cstheme="minorHAnsi"/>
          <w:szCs w:val="24"/>
        </w:rPr>
        <w:t>NMFS, Alaska Fisheries Science Center</w:t>
      </w:r>
    </w:p>
    <w:p w14:paraId="68943BB4" w14:textId="77777777" w:rsidR="006D10A4" w:rsidRPr="006D10A4" w:rsidRDefault="006D10A4" w:rsidP="006D10A4">
      <w:pPr>
        <w:spacing w:after="0"/>
        <w:rPr>
          <w:rFonts w:asciiTheme="minorHAnsi" w:hAnsiTheme="minorHAnsi" w:cstheme="minorHAnsi"/>
          <w:szCs w:val="24"/>
        </w:rPr>
      </w:pPr>
      <w:r w:rsidRPr="006D10A4">
        <w:rPr>
          <w:rFonts w:asciiTheme="minorHAnsi" w:hAnsiTheme="minorHAnsi" w:cstheme="minorHAnsi"/>
          <w:szCs w:val="24"/>
        </w:rPr>
        <w:t>17109 Point Lena Loop Rd., Juneau, AK, 99801</w:t>
      </w:r>
    </w:p>
    <w:p w14:paraId="19C35CE8" w14:textId="77777777" w:rsidR="006D10A4" w:rsidRPr="006D10A4" w:rsidRDefault="006D10A4" w:rsidP="006D10A4">
      <w:pPr>
        <w:spacing w:after="0"/>
        <w:rPr>
          <w:rFonts w:asciiTheme="minorHAnsi" w:hAnsiTheme="minorHAnsi" w:cstheme="minorHAnsi"/>
          <w:szCs w:val="24"/>
        </w:rPr>
      </w:pPr>
      <w:r w:rsidRPr="006D10A4">
        <w:rPr>
          <w:rFonts w:asciiTheme="minorHAnsi" w:hAnsiTheme="minorHAnsi" w:cstheme="minorHAnsi"/>
          <w:szCs w:val="24"/>
        </w:rPr>
        <w:t>Phone: 907-789-6060</w:t>
      </w:r>
    </w:p>
    <w:p w14:paraId="76CFF510" w14:textId="363AFF51" w:rsidR="006D10A4" w:rsidRPr="006D10A4" w:rsidRDefault="00B4254F" w:rsidP="006D10A4">
      <w:pPr>
        <w:spacing w:after="0"/>
        <w:rPr>
          <w:rFonts w:asciiTheme="minorHAnsi" w:hAnsiTheme="minorHAnsi" w:cstheme="minorHAnsi"/>
          <w:szCs w:val="24"/>
        </w:rPr>
      </w:pPr>
      <w:hyperlink r:id="rId55" w:history="1">
        <w:r w:rsidR="006D10A4" w:rsidRPr="006D10A4">
          <w:rPr>
            <w:rStyle w:val="Hyperlink"/>
            <w:rFonts w:asciiTheme="minorHAnsi" w:hAnsiTheme="minorHAnsi" w:cstheme="minorHAnsi"/>
            <w:szCs w:val="24"/>
          </w:rPr>
          <w:t>pete.hulson@noaa.gov</w:t>
        </w:r>
      </w:hyperlink>
    </w:p>
    <w:p w14:paraId="22F95D47" w14:textId="77777777" w:rsidR="006D10A4" w:rsidRPr="006D10A4" w:rsidRDefault="006D10A4" w:rsidP="006D10A4">
      <w:pPr>
        <w:spacing w:after="0"/>
        <w:rPr>
          <w:rFonts w:asciiTheme="minorHAnsi" w:hAnsiTheme="minorHAnsi" w:cstheme="minorHAnsi"/>
          <w:color w:val="FF0000"/>
          <w:szCs w:val="24"/>
        </w:rPr>
      </w:pPr>
    </w:p>
    <w:p w14:paraId="537C2703" w14:textId="77777777" w:rsidR="006D10A4" w:rsidRPr="006D10A4" w:rsidRDefault="006D10A4" w:rsidP="006D10A4">
      <w:pPr>
        <w:spacing w:after="0"/>
        <w:rPr>
          <w:rFonts w:asciiTheme="minorHAnsi" w:hAnsiTheme="minorHAnsi" w:cstheme="minorHAnsi"/>
          <w:szCs w:val="24"/>
        </w:rPr>
      </w:pPr>
    </w:p>
    <w:p w14:paraId="33A5470D" w14:textId="77777777" w:rsidR="00FE5830" w:rsidRDefault="00FE5830" w:rsidP="00FE5830">
      <w:pPr>
        <w:pStyle w:val="Default"/>
        <w:rPr>
          <w:color w:val="auto"/>
        </w:rPr>
      </w:pPr>
    </w:p>
    <w:p w14:paraId="4515C0D2" w14:textId="77777777" w:rsidR="009B45A4" w:rsidRDefault="009B45A4">
      <w:pPr>
        <w:spacing w:line="259" w:lineRule="auto"/>
        <w:rPr>
          <w:rFonts w:ascii="Calibri" w:hAnsi="Calibri" w:cs="Calibri"/>
          <w:b/>
          <w:bCs/>
          <w:szCs w:val="24"/>
        </w:rPr>
      </w:pPr>
      <w:r>
        <w:rPr>
          <w:rFonts w:ascii="Calibri" w:hAnsi="Calibri" w:cs="Calibri"/>
          <w:b/>
          <w:bCs/>
        </w:rPr>
        <w:br w:type="page"/>
      </w:r>
    </w:p>
    <w:p w14:paraId="66A39AEE" w14:textId="55A8BADE" w:rsidR="00FE5830" w:rsidRDefault="00FE5830" w:rsidP="002F03F3">
      <w:pPr>
        <w:pStyle w:val="Default"/>
        <w:jc w:val="center"/>
        <w:rPr>
          <w:rFonts w:ascii="Calibri" w:hAnsi="Calibri" w:cs="Calibri"/>
          <w:b/>
          <w:bCs/>
          <w:color w:val="auto"/>
        </w:rPr>
      </w:pPr>
      <w:r w:rsidRPr="002F03F3">
        <w:rPr>
          <w:rFonts w:ascii="Calibri" w:hAnsi="Calibri" w:cs="Calibri"/>
          <w:b/>
          <w:bCs/>
          <w:color w:val="auto"/>
        </w:rPr>
        <w:lastRenderedPageBreak/>
        <w:t>Annex 1: Peer Review Report Requirements</w:t>
      </w:r>
    </w:p>
    <w:p w14:paraId="5722DCD9" w14:textId="77777777" w:rsidR="002F03F3" w:rsidRPr="002F03F3" w:rsidRDefault="002F03F3" w:rsidP="002F03F3">
      <w:pPr>
        <w:pStyle w:val="Default"/>
        <w:jc w:val="center"/>
        <w:rPr>
          <w:rFonts w:ascii="Calibri" w:hAnsi="Calibri" w:cs="Calibri"/>
          <w:color w:val="auto"/>
        </w:rPr>
      </w:pPr>
    </w:p>
    <w:p w14:paraId="2D7B9B2B" w14:textId="77777777" w:rsidR="00FE5830" w:rsidRPr="002F03F3" w:rsidRDefault="00FE5830" w:rsidP="00FE5830">
      <w:pPr>
        <w:pStyle w:val="Default"/>
        <w:spacing w:after="61"/>
        <w:rPr>
          <w:rFonts w:ascii="Calibri" w:hAnsi="Calibri" w:cs="Calibri"/>
          <w:color w:val="auto"/>
        </w:rPr>
      </w:pPr>
      <w:r w:rsidRPr="002F03F3">
        <w:rPr>
          <w:rFonts w:ascii="Calibri" w:hAnsi="Calibri" w:cs="Calibri"/>
          <w:color w:val="auto"/>
        </w:rPr>
        <w:t xml:space="preserve">1. The report must be prefaced with an Executive Summary providing a concise summary of the findings and recommendations, and specify whether the science reviewed is the best scientific information available. </w:t>
      </w:r>
    </w:p>
    <w:p w14:paraId="021E31A0" w14:textId="77777777" w:rsidR="002F03F3" w:rsidRPr="002F03F3" w:rsidRDefault="00FE5830" w:rsidP="00FE5830">
      <w:pPr>
        <w:pStyle w:val="Default"/>
        <w:spacing w:after="66"/>
        <w:rPr>
          <w:rFonts w:ascii="Calibri" w:hAnsi="Calibri" w:cs="Calibri"/>
          <w:color w:val="auto"/>
        </w:rPr>
      </w:pPr>
      <w:r w:rsidRPr="002F03F3">
        <w:rPr>
          <w:rFonts w:ascii="Calibri" w:hAnsi="Calibri" w:cs="Calibri"/>
          <w:color w:val="auto"/>
        </w:rPr>
        <w:t xml:space="preserve">2. The report must contain a background section, description of the individual reviewers’ roles in the review activities, summary of findings for each TOR in which the weaknesses and strengths are described, and conclusions and recommendations in accordance with the TORs. </w:t>
      </w:r>
    </w:p>
    <w:p w14:paraId="79FC7A03" w14:textId="6F7F4F9D" w:rsidR="00FE5830" w:rsidRPr="002F03F3" w:rsidRDefault="00FE5830" w:rsidP="00FE5830">
      <w:pPr>
        <w:pStyle w:val="Default"/>
        <w:spacing w:after="66"/>
        <w:rPr>
          <w:rFonts w:ascii="Calibri" w:hAnsi="Calibri" w:cs="Calibri"/>
          <w:color w:val="auto"/>
        </w:rPr>
      </w:pPr>
      <w:r w:rsidRPr="002F03F3">
        <w:rPr>
          <w:rFonts w:ascii="Calibri" w:hAnsi="Calibri" w:cs="Calibri"/>
          <w:color w:val="auto"/>
        </w:rPr>
        <w:t xml:space="preserve">a. Reviewers must describe in their own words the review activities completed during the panel review meeting, including a brief summary of findings, of the science, conclusions, and recommendations. </w:t>
      </w:r>
    </w:p>
    <w:p w14:paraId="65E1CA89" w14:textId="77777777" w:rsidR="00FE5830" w:rsidRPr="002F03F3" w:rsidRDefault="00FE5830" w:rsidP="00FE5830">
      <w:pPr>
        <w:pStyle w:val="Default"/>
        <w:spacing w:after="66"/>
        <w:rPr>
          <w:rFonts w:ascii="Calibri" w:hAnsi="Calibri" w:cs="Calibri"/>
          <w:color w:val="auto"/>
        </w:rPr>
      </w:pPr>
      <w:r w:rsidRPr="002F03F3">
        <w:rPr>
          <w:rFonts w:ascii="Calibri" w:hAnsi="Calibri" w:cs="Calibri"/>
          <w:color w:val="auto"/>
        </w:rPr>
        <w:t xml:space="preserve">b. Reviewers should discuss their independent views on each TOR even if these were consistent with those of other panelists, but especially where there were divergent views. </w:t>
      </w:r>
    </w:p>
    <w:p w14:paraId="2223D6F1" w14:textId="77777777" w:rsidR="00FE5830" w:rsidRPr="002F03F3" w:rsidRDefault="00FE5830" w:rsidP="00FE5830">
      <w:pPr>
        <w:pStyle w:val="Default"/>
        <w:spacing w:after="66"/>
        <w:rPr>
          <w:rFonts w:ascii="Calibri" w:hAnsi="Calibri" w:cs="Calibri"/>
          <w:color w:val="auto"/>
        </w:rPr>
      </w:pPr>
      <w:r w:rsidRPr="002F03F3">
        <w:rPr>
          <w:rFonts w:ascii="Calibri" w:hAnsi="Calibri" w:cs="Calibri"/>
          <w:color w:val="auto"/>
        </w:rPr>
        <w:t xml:space="preserve">c. Reviewers should elaborate on any points raised in the summary report that they believe might require further clarification. </w:t>
      </w:r>
    </w:p>
    <w:p w14:paraId="53F9A7FA" w14:textId="77777777" w:rsidR="00FE5830" w:rsidRPr="002F03F3" w:rsidRDefault="00FE5830" w:rsidP="00FE5830">
      <w:pPr>
        <w:pStyle w:val="Default"/>
        <w:spacing w:after="66"/>
        <w:rPr>
          <w:rFonts w:ascii="Calibri" w:hAnsi="Calibri" w:cs="Calibri"/>
          <w:color w:val="auto"/>
        </w:rPr>
      </w:pPr>
      <w:r w:rsidRPr="002F03F3">
        <w:rPr>
          <w:rFonts w:ascii="Calibri" w:hAnsi="Calibri" w:cs="Calibri"/>
          <w:color w:val="auto"/>
        </w:rPr>
        <w:t xml:space="preserve">d. Reviewers shall provide a critique of the NMFS review process, including suggestions for improvements of both process and products. </w:t>
      </w:r>
    </w:p>
    <w:p w14:paraId="2BAE0627" w14:textId="77777777" w:rsidR="00FE5830" w:rsidRPr="002F03F3" w:rsidRDefault="00FE5830" w:rsidP="00FE5830">
      <w:pPr>
        <w:pStyle w:val="Default"/>
        <w:rPr>
          <w:rFonts w:ascii="Calibri" w:hAnsi="Calibri" w:cs="Calibri"/>
          <w:color w:val="auto"/>
        </w:rPr>
      </w:pPr>
      <w:r w:rsidRPr="002F03F3">
        <w:rPr>
          <w:rFonts w:ascii="Calibri" w:hAnsi="Calibri" w:cs="Calibri"/>
          <w:color w:val="auto"/>
        </w:rPr>
        <w:t xml:space="preserve">e. The report shall be a stand-alone document for others to understand the weaknesses and strengths of the science reviewed, regardless of whether or not they read the summary report. The report shall represent the peer review of each TOR, and shall not simply repeat the contents of the summary report. </w:t>
      </w:r>
    </w:p>
    <w:p w14:paraId="4E2EC1F6" w14:textId="77777777" w:rsidR="00FE5830" w:rsidRPr="002F03F3" w:rsidRDefault="00FE5830" w:rsidP="00FE5830">
      <w:pPr>
        <w:pStyle w:val="Default"/>
        <w:rPr>
          <w:rFonts w:ascii="Calibri" w:hAnsi="Calibri" w:cs="Calibri"/>
          <w:color w:val="auto"/>
        </w:rPr>
      </w:pPr>
    </w:p>
    <w:p w14:paraId="72D3D241" w14:textId="77777777" w:rsidR="00FE5830" w:rsidRPr="002F03F3" w:rsidRDefault="00FE5830" w:rsidP="00FE5830">
      <w:pPr>
        <w:pStyle w:val="Default"/>
        <w:rPr>
          <w:rFonts w:ascii="Calibri" w:hAnsi="Calibri" w:cs="Calibri"/>
          <w:color w:val="auto"/>
        </w:rPr>
      </w:pPr>
      <w:r w:rsidRPr="002F03F3">
        <w:rPr>
          <w:rFonts w:ascii="Calibri" w:hAnsi="Calibri" w:cs="Calibri"/>
          <w:color w:val="auto"/>
        </w:rPr>
        <w:t xml:space="preserve">3. The report shall include the following appendices: </w:t>
      </w:r>
    </w:p>
    <w:p w14:paraId="43360A4A" w14:textId="77777777" w:rsidR="00FE5830" w:rsidRPr="002F03F3" w:rsidRDefault="00FE5830" w:rsidP="00FE5830">
      <w:pPr>
        <w:pStyle w:val="Default"/>
        <w:rPr>
          <w:rFonts w:ascii="Calibri" w:hAnsi="Calibri" w:cs="Calibri"/>
          <w:color w:val="auto"/>
        </w:rPr>
      </w:pPr>
    </w:p>
    <w:p w14:paraId="0B358A55" w14:textId="77777777" w:rsidR="00FE5830" w:rsidRPr="002F03F3" w:rsidRDefault="00FE5830" w:rsidP="00FE5830">
      <w:pPr>
        <w:pStyle w:val="Default"/>
        <w:rPr>
          <w:rFonts w:ascii="Calibri" w:hAnsi="Calibri" w:cs="Calibri"/>
          <w:color w:val="auto"/>
        </w:rPr>
      </w:pPr>
      <w:r w:rsidRPr="002F03F3">
        <w:rPr>
          <w:rFonts w:ascii="Calibri" w:hAnsi="Calibri" w:cs="Calibri"/>
          <w:color w:val="auto"/>
        </w:rPr>
        <w:t xml:space="preserve">Appendix 1: Bibliography of materials provided for review </w:t>
      </w:r>
    </w:p>
    <w:p w14:paraId="2008A35E" w14:textId="77777777" w:rsidR="00FE5830" w:rsidRPr="002F03F3" w:rsidRDefault="00FE5830" w:rsidP="00FE5830">
      <w:pPr>
        <w:pStyle w:val="Default"/>
        <w:rPr>
          <w:rFonts w:ascii="Calibri" w:hAnsi="Calibri" w:cs="Calibri"/>
          <w:color w:val="auto"/>
        </w:rPr>
      </w:pPr>
      <w:r w:rsidRPr="002F03F3">
        <w:rPr>
          <w:rFonts w:ascii="Calibri" w:hAnsi="Calibri" w:cs="Calibri"/>
          <w:color w:val="auto"/>
        </w:rPr>
        <w:t xml:space="preserve">Appendix 2: A copy of this Performance Work Statement </w:t>
      </w:r>
    </w:p>
    <w:p w14:paraId="06700161" w14:textId="77777777" w:rsidR="00FE5830" w:rsidRPr="002F03F3" w:rsidRDefault="00FE5830" w:rsidP="00FE5830">
      <w:pPr>
        <w:pStyle w:val="Default"/>
        <w:rPr>
          <w:rFonts w:ascii="Calibri" w:hAnsi="Calibri" w:cs="Calibri"/>
          <w:color w:val="auto"/>
        </w:rPr>
      </w:pPr>
      <w:r w:rsidRPr="002F03F3">
        <w:rPr>
          <w:rFonts w:ascii="Calibri" w:hAnsi="Calibri" w:cs="Calibri"/>
          <w:color w:val="auto"/>
        </w:rPr>
        <w:t>Appendix 3: Panel membership or other pertinent information from the panel review meeting.</w:t>
      </w:r>
    </w:p>
    <w:p w14:paraId="2BC21E5D" w14:textId="77777777" w:rsidR="002F03F3" w:rsidRDefault="002F03F3" w:rsidP="00FE5830">
      <w:pPr>
        <w:pStyle w:val="Default"/>
        <w:rPr>
          <w:rFonts w:ascii="Calibri" w:hAnsi="Calibri" w:cs="Calibri"/>
          <w:color w:val="auto"/>
          <w:sz w:val="23"/>
          <w:szCs w:val="23"/>
        </w:rPr>
      </w:pPr>
    </w:p>
    <w:p w14:paraId="1D61942F" w14:textId="77777777" w:rsidR="009B45A4" w:rsidRDefault="009B45A4">
      <w:pPr>
        <w:spacing w:line="259" w:lineRule="auto"/>
        <w:rPr>
          <w:rFonts w:ascii="Calibri" w:hAnsi="Calibri" w:cs="Calibri"/>
          <w:b/>
          <w:bCs/>
          <w:szCs w:val="24"/>
        </w:rPr>
      </w:pPr>
      <w:r>
        <w:rPr>
          <w:rFonts w:ascii="Calibri" w:hAnsi="Calibri" w:cs="Calibri"/>
          <w:b/>
          <w:bCs/>
        </w:rPr>
        <w:br w:type="page"/>
      </w:r>
    </w:p>
    <w:p w14:paraId="7A5B4D67" w14:textId="6E9320E3" w:rsidR="00FE5830" w:rsidRPr="002F03F3" w:rsidRDefault="00FE5830" w:rsidP="00DD5079">
      <w:pPr>
        <w:pStyle w:val="Default"/>
        <w:jc w:val="center"/>
        <w:rPr>
          <w:rFonts w:ascii="Calibri" w:hAnsi="Calibri" w:cs="Calibri"/>
          <w:color w:val="auto"/>
        </w:rPr>
      </w:pPr>
      <w:r w:rsidRPr="002F03F3">
        <w:rPr>
          <w:rFonts w:ascii="Calibri" w:hAnsi="Calibri" w:cs="Calibri"/>
          <w:b/>
          <w:bCs/>
          <w:color w:val="auto"/>
        </w:rPr>
        <w:lastRenderedPageBreak/>
        <w:t>Annex 2: Terms of Reference for the Peer Review</w:t>
      </w:r>
    </w:p>
    <w:p w14:paraId="1BB560C1" w14:textId="77777777" w:rsidR="00FE5830" w:rsidRPr="002F03F3" w:rsidRDefault="00FE5830" w:rsidP="00FE5830">
      <w:pPr>
        <w:pStyle w:val="Default"/>
        <w:spacing w:after="61"/>
        <w:rPr>
          <w:rFonts w:ascii="Calibri" w:hAnsi="Calibri" w:cs="Calibri"/>
          <w:color w:val="auto"/>
        </w:rPr>
      </w:pPr>
      <w:r w:rsidRPr="002F03F3">
        <w:rPr>
          <w:rFonts w:ascii="Calibri" w:hAnsi="Calibri" w:cs="Calibri"/>
          <w:color w:val="auto"/>
        </w:rPr>
        <w:t xml:space="preserve">1. Evaluate the data used in the assessments, specifically trawl survey estimates of biomass, and recommend how data should be treated within the assessment model </w:t>
      </w:r>
    </w:p>
    <w:p w14:paraId="184D9B2A" w14:textId="77777777" w:rsidR="00FE5830" w:rsidRPr="002F03F3" w:rsidRDefault="00FE5830" w:rsidP="00FE5830">
      <w:pPr>
        <w:pStyle w:val="Default"/>
        <w:spacing w:after="61"/>
        <w:rPr>
          <w:rFonts w:ascii="Calibri" w:hAnsi="Calibri" w:cs="Calibri"/>
          <w:color w:val="auto"/>
        </w:rPr>
      </w:pPr>
      <w:r w:rsidRPr="002F03F3">
        <w:rPr>
          <w:rFonts w:ascii="Calibri" w:hAnsi="Calibri" w:cs="Calibri"/>
          <w:color w:val="auto"/>
        </w:rPr>
        <w:t xml:space="preserve">2. Evaluate the stock assessment model for GOA Pacific ocean perch in general and comment on appropriateness of parameter estimates to assess stock status determinations </w:t>
      </w:r>
    </w:p>
    <w:p w14:paraId="744665EF" w14:textId="77777777" w:rsidR="00FE5830" w:rsidRPr="002F03F3" w:rsidRDefault="00FE5830" w:rsidP="00FE5830">
      <w:pPr>
        <w:pStyle w:val="Default"/>
        <w:spacing w:after="61"/>
        <w:rPr>
          <w:rFonts w:ascii="Calibri" w:hAnsi="Calibri" w:cs="Calibri"/>
          <w:color w:val="auto"/>
        </w:rPr>
      </w:pPr>
      <w:r w:rsidRPr="002F03F3">
        <w:rPr>
          <w:rFonts w:ascii="Calibri" w:hAnsi="Calibri" w:cs="Calibri"/>
          <w:color w:val="auto"/>
        </w:rPr>
        <w:t xml:space="preserve">3. Evaluate the strengths and weaknesses in the stock assessment model for GOA Pacific ocean </w:t>
      </w:r>
      <w:proofErr w:type="gramStart"/>
      <w:r w:rsidRPr="002F03F3">
        <w:rPr>
          <w:rFonts w:ascii="Calibri" w:hAnsi="Calibri" w:cs="Calibri"/>
          <w:color w:val="auto"/>
        </w:rPr>
        <w:t>perch, and</w:t>
      </w:r>
      <w:proofErr w:type="gramEnd"/>
      <w:r w:rsidRPr="002F03F3">
        <w:rPr>
          <w:rFonts w:ascii="Calibri" w:hAnsi="Calibri" w:cs="Calibri"/>
          <w:color w:val="auto"/>
        </w:rPr>
        <w:t xml:space="preserve"> recommend any improvements to the assessment model. </w:t>
      </w:r>
    </w:p>
    <w:p w14:paraId="4BC16D32" w14:textId="77777777" w:rsidR="00FE5830" w:rsidRPr="002F03F3" w:rsidRDefault="00FE5830" w:rsidP="00FE5830">
      <w:pPr>
        <w:pStyle w:val="Default"/>
        <w:spacing w:after="61"/>
        <w:rPr>
          <w:rFonts w:ascii="Calibri" w:hAnsi="Calibri" w:cs="Calibri"/>
          <w:color w:val="auto"/>
        </w:rPr>
      </w:pPr>
      <w:r w:rsidRPr="002F03F3">
        <w:rPr>
          <w:rFonts w:ascii="Calibri" w:hAnsi="Calibri" w:cs="Calibri"/>
          <w:color w:val="auto"/>
        </w:rPr>
        <w:t xml:space="preserve">4. Evaluate and recommend how survey data are used for biomass indices within the assessment. Specifically, advise on trawl survey indices arising from design-based methods versus model-based approaches. </w:t>
      </w:r>
    </w:p>
    <w:p w14:paraId="5686FC3E" w14:textId="77777777" w:rsidR="00FE5830" w:rsidRPr="002F03F3" w:rsidRDefault="00FE5830" w:rsidP="00FE5830">
      <w:pPr>
        <w:pStyle w:val="Default"/>
        <w:rPr>
          <w:rFonts w:ascii="Calibri" w:hAnsi="Calibri" w:cs="Calibri"/>
          <w:color w:val="auto"/>
        </w:rPr>
      </w:pPr>
      <w:r w:rsidRPr="002F03F3">
        <w:rPr>
          <w:rFonts w:ascii="Calibri" w:hAnsi="Calibri" w:cs="Calibri"/>
          <w:color w:val="auto"/>
        </w:rPr>
        <w:t xml:space="preserve">5. Evaluate abundance estimates from summer acoustic-trawl data, and recommend how it may be used within the assessment. </w:t>
      </w:r>
    </w:p>
    <w:p w14:paraId="1387B1A4" w14:textId="77777777" w:rsidR="00FE5830" w:rsidRPr="002F03F3" w:rsidRDefault="00FE5830" w:rsidP="00FE5830">
      <w:pPr>
        <w:pStyle w:val="Default"/>
        <w:rPr>
          <w:rFonts w:ascii="Calibri" w:hAnsi="Calibri" w:cs="Calibri"/>
          <w:color w:val="auto"/>
        </w:rPr>
      </w:pPr>
    </w:p>
    <w:p w14:paraId="6C25F60F" w14:textId="77777777" w:rsidR="009B45A4" w:rsidRDefault="009B45A4">
      <w:pPr>
        <w:spacing w:line="259" w:lineRule="auto"/>
        <w:rPr>
          <w:rFonts w:ascii="Calibri" w:hAnsi="Calibri" w:cs="Calibri"/>
          <w:b/>
          <w:bCs/>
          <w:szCs w:val="24"/>
        </w:rPr>
      </w:pPr>
      <w:r>
        <w:rPr>
          <w:rFonts w:ascii="Calibri" w:hAnsi="Calibri" w:cs="Calibri"/>
          <w:b/>
          <w:bCs/>
        </w:rPr>
        <w:br w:type="page"/>
      </w:r>
    </w:p>
    <w:p w14:paraId="3EBC981E" w14:textId="437EA252" w:rsidR="00C05008" w:rsidRPr="005C17B0" w:rsidRDefault="00FE5830" w:rsidP="005C17B0">
      <w:pPr>
        <w:pStyle w:val="Default"/>
        <w:jc w:val="center"/>
        <w:rPr>
          <w:rFonts w:ascii="Calibri" w:hAnsi="Calibri" w:cs="Calibri"/>
          <w:color w:val="auto"/>
        </w:rPr>
      </w:pPr>
      <w:r w:rsidRPr="00DD5079">
        <w:rPr>
          <w:rFonts w:ascii="Calibri" w:hAnsi="Calibri" w:cs="Calibri"/>
          <w:b/>
          <w:bCs/>
          <w:color w:val="auto"/>
        </w:rPr>
        <w:lastRenderedPageBreak/>
        <w:t>Annex 3: Tentative Agenda</w:t>
      </w:r>
    </w:p>
    <w:p w14:paraId="764CF576" w14:textId="10B0A009" w:rsidR="004F00CD" w:rsidRPr="004F00CD" w:rsidRDefault="004F00CD" w:rsidP="005C17B0">
      <w:pPr>
        <w:shd w:val="clear" w:color="auto" w:fill="FFFFFF"/>
        <w:spacing w:after="100" w:afterAutospacing="1"/>
        <w:outlineLvl w:val="0"/>
        <w:rPr>
          <w:rFonts w:eastAsia="Times New Roman" w:cs="Times New Roman"/>
          <w:b/>
          <w:bCs/>
          <w:color w:val="000000"/>
          <w:kern w:val="36"/>
          <w:szCs w:val="24"/>
        </w:rPr>
      </w:pPr>
      <w:r w:rsidRPr="004F00CD">
        <w:rPr>
          <w:rFonts w:eastAsia="Times New Roman" w:cs="Times New Roman"/>
          <w:b/>
          <w:bCs/>
          <w:color w:val="000000"/>
          <w:kern w:val="36"/>
          <w:szCs w:val="24"/>
        </w:rPr>
        <w:t>Review of Gulf of Alaska Pacific ocean perch Stock Assessment</w:t>
      </w:r>
      <w:r w:rsidRPr="004F00CD">
        <w:rPr>
          <w:rFonts w:ascii="Calibri" w:eastAsia="Times New Roman" w:hAnsi="Calibri" w:cs="Calibri"/>
          <w:color w:val="000000"/>
          <w:szCs w:val="24"/>
        </w:rPr>
        <w:br/>
      </w:r>
      <w:r w:rsidRPr="004F00CD">
        <w:rPr>
          <w:rFonts w:eastAsia="Times New Roman" w:cs="Times New Roman"/>
          <w:b/>
          <w:bCs/>
          <w:color w:val="000000"/>
          <w:szCs w:val="24"/>
        </w:rPr>
        <w:t>March 30 - April 1, 2021</w:t>
      </w:r>
    </w:p>
    <w:p w14:paraId="0171AA3B" w14:textId="10618C0A" w:rsidR="004F00CD" w:rsidRPr="004F00CD" w:rsidRDefault="004F00CD" w:rsidP="004F00CD">
      <w:pPr>
        <w:shd w:val="clear" w:color="auto" w:fill="FFFFFF"/>
        <w:spacing w:after="0"/>
        <w:rPr>
          <w:rFonts w:eastAsia="Times New Roman" w:cs="Times New Roman"/>
          <w:color w:val="000000"/>
          <w:szCs w:val="24"/>
        </w:rPr>
      </w:pPr>
      <w:r w:rsidRPr="004F00CD">
        <w:rPr>
          <w:rFonts w:eastAsia="Times New Roman" w:cs="Times New Roman"/>
          <w:color w:val="000000"/>
          <w:szCs w:val="24"/>
        </w:rPr>
        <w:t>Alaska Fisheries Science Center, </w:t>
      </w:r>
      <w:hyperlink r:id="rId56" w:history="1">
        <w:r w:rsidRPr="004F00CD">
          <w:rPr>
            <w:rFonts w:eastAsia="Times New Roman" w:cs="Times New Roman"/>
            <w:color w:val="003399"/>
            <w:szCs w:val="24"/>
            <w:u w:val="single"/>
          </w:rPr>
          <w:t>Meeting link</w:t>
        </w:r>
      </w:hyperlink>
      <w:r w:rsidRPr="004F00CD">
        <w:rPr>
          <w:rFonts w:eastAsia="Times New Roman" w:cs="Times New Roman"/>
          <w:color w:val="000000"/>
          <w:szCs w:val="24"/>
        </w:rPr>
        <w:t xml:space="preserve"> (virtual meeting)</w:t>
      </w:r>
    </w:p>
    <w:p w14:paraId="009C3E61" w14:textId="77777777" w:rsidR="004F00CD" w:rsidRPr="004F00CD" w:rsidRDefault="004F00CD" w:rsidP="004F00CD">
      <w:pPr>
        <w:shd w:val="clear" w:color="auto" w:fill="FFFFFF"/>
        <w:spacing w:after="0"/>
        <w:rPr>
          <w:rFonts w:eastAsia="Times New Roman" w:cs="Times New Roman"/>
          <w:color w:val="000000"/>
          <w:sz w:val="27"/>
          <w:szCs w:val="27"/>
        </w:rPr>
      </w:pPr>
      <w:r w:rsidRPr="004F00CD">
        <w:rPr>
          <w:rFonts w:eastAsia="Times New Roman" w:cs="Times New Roman"/>
          <w:color w:val="000000"/>
          <w:sz w:val="27"/>
          <w:szCs w:val="27"/>
        </w:rPr>
        <w:t> </w:t>
      </w:r>
    </w:p>
    <w:p w14:paraId="0511B169" w14:textId="77777777" w:rsidR="004F00CD" w:rsidRPr="004F00CD" w:rsidRDefault="004F00CD" w:rsidP="004F00CD">
      <w:pPr>
        <w:shd w:val="clear" w:color="auto" w:fill="FFFFFF"/>
        <w:spacing w:after="0"/>
        <w:rPr>
          <w:rFonts w:eastAsia="Times New Roman" w:cs="Times New Roman"/>
          <w:color w:val="000000"/>
          <w:szCs w:val="24"/>
        </w:rPr>
      </w:pPr>
      <w:r w:rsidRPr="004F00CD">
        <w:rPr>
          <w:rFonts w:eastAsia="Times New Roman" w:cs="Times New Roman"/>
          <w:color w:val="000000"/>
          <w:szCs w:val="24"/>
        </w:rPr>
        <w:t>For further information:</w:t>
      </w:r>
    </w:p>
    <w:p w14:paraId="12CFC187" w14:textId="5E45E7C9" w:rsidR="004F00CD" w:rsidRPr="004F00CD" w:rsidRDefault="00B4254F" w:rsidP="004F00CD">
      <w:pPr>
        <w:shd w:val="clear" w:color="auto" w:fill="FFFFFF"/>
        <w:spacing w:after="0"/>
        <w:rPr>
          <w:rFonts w:eastAsia="Times New Roman" w:cs="Times New Roman"/>
          <w:color w:val="000000"/>
          <w:szCs w:val="24"/>
        </w:rPr>
      </w:pPr>
      <w:hyperlink r:id="rId57" w:history="1">
        <w:r w:rsidR="004F00CD" w:rsidRPr="004F00CD">
          <w:rPr>
            <w:rFonts w:eastAsia="Times New Roman" w:cs="Times New Roman"/>
            <w:color w:val="1155CC"/>
            <w:szCs w:val="24"/>
            <w:u w:val="single"/>
          </w:rPr>
          <w:t>Pete.Hulson@noaa.gov</w:t>
        </w:r>
      </w:hyperlink>
      <w:r w:rsidR="004F00CD" w:rsidRPr="004F00CD">
        <w:rPr>
          <w:rFonts w:eastAsia="Times New Roman" w:cs="Times New Roman"/>
          <w:color w:val="000000"/>
          <w:szCs w:val="24"/>
        </w:rPr>
        <w:t>, </w:t>
      </w:r>
      <w:hyperlink r:id="rId58" w:history="1">
        <w:r w:rsidR="004F00CD" w:rsidRPr="004F00CD">
          <w:rPr>
            <w:rFonts w:eastAsia="Times New Roman" w:cs="Times New Roman"/>
            <w:color w:val="1155CC"/>
            <w:szCs w:val="24"/>
            <w:u w:val="single"/>
          </w:rPr>
          <w:t>Paul.Spencer@noaa.gov</w:t>
        </w:r>
      </w:hyperlink>
    </w:p>
    <w:p w14:paraId="37434AB9" w14:textId="2B965B46" w:rsidR="00C05008" w:rsidRDefault="00C05008"/>
    <w:p w14:paraId="53092C19" w14:textId="718B2A09" w:rsidR="003C629F" w:rsidRPr="004F00CD" w:rsidRDefault="003C629F" w:rsidP="004F00CD">
      <w:pPr>
        <w:pStyle w:val="Heading2"/>
        <w:spacing w:after="0"/>
        <w:rPr>
          <w:rFonts w:cs="Times New Roman"/>
          <w:sz w:val="24"/>
          <w:szCs w:val="24"/>
        </w:rPr>
      </w:pPr>
      <w:r w:rsidRPr="004F00CD">
        <w:rPr>
          <w:rFonts w:cs="Times New Roman"/>
          <w:sz w:val="24"/>
          <w:szCs w:val="24"/>
        </w:rPr>
        <w:t>Presentations</w:t>
      </w:r>
    </w:p>
    <w:p w14:paraId="0003BC2A" w14:textId="78AE553E" w:rsidR="003C629F" w:rsidRPr="003C629F" w:rsidRDefault="003C629F" w:rsidP="003C629F">
      <w:pPr>
        <w:shd w:val="clear" w:color="auto" w:fill="FFFFFF"/>
        <w:rPr>
          <w:rFonts w:asciiTheme="minorHAnsi" w:eastAsia="Times New Roman" w:hAnsiTheme="minorHAnsi" w:cstheme="minorHAnsi"/>
          <w:color w:val="000000"/>
          <w:sz w:val="22"/>
        </w:rPr>
      </w:pPr>
      <w:r w:rsidRPr="003C629F">
        <w:rPr>
          <w:rFonts w:asciiTheme="minorHAnsi" w:eastAsia="Times New Roman" w:hAnsiTheme="minorHAnsi" w:cstheme="minorHAnsi"/>
          <w:color w:val="222222"/>
          <w:sz w:val="22"/>
        </w:rPr>
        <w:t>Day 1:</w:t>
      </w:r>
    </w:p>
    <w:p w14:paraId="2A565560" w14:textId="3AD9E62F" w:rsidR="003C629F" w:rsidRPr="003C629F" w:rsidRDefault="00B4254F" w:rsidP="003C629F">
      <w:pPr>
        <w:shd w:val="clear" w:color="auto" w:fill="FFFFFF"/>
        <w:spacing w:after="0"/>
        <w:rPr>
          <w:rFonts w:asciiTheme="minorHAnsi" w:eastAsia="Times New Roman" w:hAnsiTheme="minorHAnsi" w:cstheme="minorHAnsi"/>
          <w:color w:val="000000"/>
          <w:sz w:val="22"/>
        </w:rPr>
      </w:pPr>
      <w:hyperlink r:id="rId59" w:history="1">
        <w:r w:rsidR="003C629F" w:rsidRPr="003C629F">
          <w:rPr>
            <w:rFonts w:asciiTheme="minorHAnsi" w:eastAsia="Times New Roman" w:hAnsiTheme="minorHAnsi" w:cstheme="minorHAnsi"/>
            <w:color w:val="003399"/>
            <w:sz w:val="22"/>
          </w:rPr>
          <w:t>Overview of rockfish biology, fishery, and history of assessment</w:t>
        </w:r>
      </w:hyperlink>
    </w:p>
    <w:p w14:paraId="4D160D9B" w14:textId="54605C95" w:rsidR="003C629F" w:rsidRPr="003C629F" w:rsidRDefault="00B4254F" w:rsidP="003C629F">
      <w:pPr>
        <w:shd w:val="clear" w:color="auto" w:fill="FFFFFF"/>
        <w:spacing w:after="0"/>
        <w:rPr>
          <w:rFonts w:asciiTheme="minorHAnsi" w:eastAsia="Times New Roman" w:hAnsiTheme="minorHAnsi" w:cstheme="minorHAnsi"/>
          <w:color w:val="000000"/>
          <w:sz w:val="22"/>
        </w:rPr>
      </w:pPr>
      <w:hyperlink r:id="rId60" w:history="1">
        <w:r w:rsidR="003C629F" w:rsidRPr="003C629F">
          <w:rPr>
            <w:rFonts w:asciiTheme="minorHAnsi" w:eastAsia="Times New Roman" w:hAnsiTheme="minorHAnsi" w:cstheme="minorHAnsi"/>
            <w:color w:val="003399"/>
            <w:sz w:val="22"/>
          </w:rPr>
          <w:t>Bottom trawl survey</w:t>
        </w:r>
      </w:hyperlink>
    </w:p>
    <w:p w14:paraId="6214D0C8" w14:textId="0FCCB339" w:rsidR="003C629F" w:rsidRPr="003C629F" w:rsidRDefault="00B4254F" w:rsidP="003C629F">
      <w:pPr>
        <w:shd w:val="clear" w:color="auto" w:fill="FFFFFF"/>
        <w:spacing w:after="0"/>
        <w:rPr>
          <w:rFonts w:asciiTheme="minorHAnsi" w:eastAsia="Times New Roman" w:hAnsiTheme="minorHAnsi" w:cstheme="minorHAnsi"/>
          <w:color w:val="000000"/>
          <w:sz w:val="22"/>
        </w:rPr>
      </w:pPr>
      <w:hyperlink r:id="rId61" w:history="1">
        <w:r w:rsidR="003C629F" w:rsidRPr="003C629F">
          <w:rPr>
            <w:rFonts w:asciiTheme="minorHAnsi" w:eastAsia="Times New Roman" w:hAnsiTheme="minorHAnsi" w:cstheme="minorHAnsi"/>
            <w:color w:val="003399"/>
            <w:sz w:val="22"/>
          </w:rPr>
          <w:t>VAST approach to survey indices</w:t>
        </w:r>
      </w:hyperlink>
    </w:p>
    <w:p w14:paraId="539A662A" w14:textId="3B04452F" w:rsidR="003C629F" w:rsidRPr="003C629F" w:rsidRDefault="00B4254F" w:rsidP="003C629F">
      <w:pPr>
        <w:shd w:val="clear" w:color="auto" w:fill="FFFFFF"/>
        <w:spacing w:after="0"/>
        <w:rPr>
          <w:rFonts w:asciiTheme="minorHAnsi" w:eastAsia="Times New Roman" w:hAnsiTheme="minorHAnsi" w:cstheme="minorHAnsi"/>
          <w:color w:val="000000"/>
          <w:sz w:val="22"/>
        </w:rPr>
      </w:pPr>
      <w:hyperlink r:id="rId62" w:history="1">
        <w:r w:rsidR="003C629F" w:rsidRPr="003C629F">
          <w:rPr>
            <w:rFonts w:asciiTheme="minorHAnsi" w:eastAsia="Times New Roman" w:hAnsiTheme="minorHAnsi" w:cstheme="minorHAnsi"/>
            <w:color w:val="003399"/>
            <w:sz w:val="22"/>
          </w:rPr>
          <w:t>Fishery data</w:t>
        </w:r>
      </w:hyperlink>
    </w:p>
    <w:p w14:paraId="654E4D78" w14:textId="2DDEEDBF" w:rsidR="003C629F" w:rsidRPr="003C629F" w:rsidRDefault="00B4254F" w:rsidP="003C629F">
      <w:pPr>
        <w:shd w:val="clear" w:color="auto" w:fill="FFFFFF"/>
        <w:spacing w:after="0"/>
        <w:rPr>
          <w:rFonts w:asciiTheme="minorHAnsi" w:eastAsia="Times New Roman" w:hAnsiTheme="minorHAnsi" w:cstheme="minorHAnsi"/>
          <w:color w:val="000000"/>
          <w:sz w:val="22"/>
        </w:rPr>
      </w:pPr>
      <w:hyperlink r:id="rId63" w:history="1">
        <w:r w:rsidR="003C629F" w:rsidRPr="003C629F">
          <w:rPr>
            <w:rFonts w:asciiTheme="minorHAnsi" w:eastAsia="Times New Roman" w:hAnsiTheme="minorHAnsi" w:cstheme="minorHAnsi"/>
            <w:color w:val="003399"/>
            <w:sz w:val="22"/>
          </w:rPr>
          <w:t>Age and growth</w:t>
        </w:r>
      </w:hyperlink>
    </w:p>
    <w:p w14:paraId="07FEEA3C" w14:textId="5C5391C6" w:rsidR="003C629F" w:rsidRPr="003C629F" w:rsidRDefault="00B4254F" w:rsidP="003C629F">
      <w:pPr>
        <w:shd w:val="clear" w:color="auto" w:fill="FFFFFF"/>
        <w:spacing w:after="0"/>
        <w:rPr>
          <w:rFonts w:asciiTheme="minorHAnsi" w:eastAsia="Times New Roman" w:hAnsiTheme="minorHAnsi" w:cstheme="minorHAnsi"/>
          <w:color w:val="000000"/>
          <w:sz w:val="22"/>
        </w:rPr>
      </w:pPr>
      <w:hyperlink r:id="rId64" w:history="1">
        <w:r w:rsidR="003C629F" w:rsidRPr="003C629F">
          <w:rPr>
            <w:rFonts w:asciiTheme="minorHAnsi" w:eastAsia="Times New Roman" w:hAnsiTheme="minorHAnsi" w:cstheme="minorHAnsi"/>
            <w:color w:val="003399"/>
            <w:sz w:val="22"/>
          </w:rPr>
          <w:t>Input data</w:t>
        </w:r>
      </w:hyperlink>
      <w:r w:rsidR="003C629F" w:rsidRPr="003C629F">
        <w:rPr>
          <w:rFonts w:asciiTheme="minorHAnsi" w:eastAsia="Times New Roman" w:hAnsiTheme="minorHAnsi" w:cstheme="minorHAnsi"/>
          <w:color w:val="000000"/>
          <w:sz w:val="22"/>
        </w:rPr>
        <w:t> version 2</w:t>
      </w:r>
    </w:p>
    <w:p w14:paraId="596CBA04" w14:textId="77777777" w:rsidR="003C629F" w:rsidRPr="003C629F" w:rsidRDefault="003C629F" w:rsidP="003C629F">
      <w:pPr>
        <w:shd w:val="clear" w:color="auto" w:fill="FFFFFF"/>
        <w:spacing w:after="0"/>
        <w:rPr>
          <w:rFonts w:asciiTheme="minorHAnsi" w:eastAsia="Times New Roman" w:hAnsiTheme="minorHAnsi" w:cstheme="minorHAnsi"/>
          <w:color w:val="000000"/>
          <w:sz w:val="22"/>
        </w:rPr>
      </w:pPr>
      <w:r w:rsidRPr="003C629F">
        <w:rPr>
          <w:rFonts w:asciiTheme="minorHAnsi" w:eastAsia="Times New Roman" w:hAnsiTheme="minorHAnsi" w:cstheme="minorHAnsi"/>
          <w:color w:val="222222"/>
          <w:sz w:val="22"/>
        </w:rPr>
        <w:t> </w:t>
      </w:r>
    </w:p>
    <w:p w14:paraId="3B290A76" w14:textId="77777777" w:rsidR="003C629F" w:rsidRPr="003C629F" w:rsidRDefault="003C629F" w:rsidP="003C629F">
      <w:pPr>
        <w:shd w:val="clear" w:color="auto" w:fill="FFFFFF"/>
        <w:spacing w:after="0"/>
        <w:rPr>
          <w:rFonts w:asciiTheme="minorHAnsi" w:eastAsia="Times New Roman" w:hAnsiTheme="minorHAnsi" w:cstheme="minorHAnsi"/>
          <w:color w:val="000000"/>
          <w:sz w:val="22"/>
        </w:rPr>
      </w:pPr>
      <w:r w:rsidRPr="003C629F">
        <w:rPr>
          <w:rFonts w:asciiTheme="minorHAnsi" w:eastAsia="Times New Roman" w:hAnsiTheme="minorHAnsi" w:cstheme="minorHAnsi"/>
          <w:color w:val="222222"/>
          <w:sz w:val="22"/>
        </w:rPr>
        <w:t>Day 2 and 3:</w:t>
      </w:r>
    </w:p>
    <w:p w14:paraId="308336FF" w14:textId="0D0C4D86" w:rsidR="003C629F" w:rsidRPr="003C629F" w:rsidRDefault="00B4254F" w:rsidP="003C629F">
      <w:pPr>
        <w:shd w:val="clear" w:color="auto" w:fill="FFFFFF"/>
        <w:spacing w:after="0"/>
        <w:rPr>
          <w:rFonts w:asciiTheme="minorHAnsi" w:eastAsia="Times New Roman" w:hAnsiTheme="minorHAnsi" w:cstheme="minorHAnsi"/>
          <w:color w:val="000000"/>
          <w:sz w:val="22"/>
        </w:rPr>
      </w:pPr>
      <w:hyperlink r:id="rId65" w:history="1">
        <w:r w:rsidR="003C629F" w:rsidRPr="003C629F">
          <w:rPr>
            <w:rFonts w:asciiTheme="minorHAnsi" w:eastAsia="Times New Roman" w:hAnsiTheme="minorHAnsi" w:cstheme="minorHAnsi"/>
            <w:color w:val="003399"/>
            <w:sz w:val="22"/>
          </w:rPr>
          <w:t>Model </w:t>
        </w:r>
        <w:r w:rsidR="003C629F" w:rsidRPr="00522234">
          <w:rPr>
            <w:rFonts w:asciiTheme="minorHAnsi" w:eastAsia="Times New Roman" w:hAnsiTheme="minorHAnsi" w:cstheme="minorHAnsi"/>
            <w:color w:val="003399"/>
            <w:sz w:val="22"/>
          </w:rPr>
          <w:t>presentation</w:t>
        </w:r>
      </w:hyperlink>
    </w:p>
    <w:p w14:paraId="34E19E38" w14:textId="2C06B312" w:rsidR="003C629F" w:rsidRPr="003C629F" w:rsidRDefault="00B4254F" w:rsidP="003C629F">
      <w:pPr>
        <w:shd w:val="clear" w:color="auto" w:fill="FFFFFF"/>
        <w:spacing w:after="0"/>
        <w:rPr>
          <w:rFonts w:asciiTheme="minorHAnsi" w:eastAsia="Times New Roman" w:hAnsiTheme="minorHAnsi" w:cstheme="minorHAnsi"/>
          <w:color w:val="000000"/>
          <w:sz w:val="22"/>
        </w:rPr>
      </w:pPr>
      <w:hyperlink r:id="rId66" w:history="1">
        <w:r w:rsidR="003C629F" w:rsidRPr="003C629F">
          <w:rPr>
            <w:rFonts w:asciiTheme="minorHAnsi" w:eastAsia="Times New Roman" w:hAnsiTheme="minorHAnsi" w:cstheme="minorHAnsi"/>
            <w:color w:val="003399"/>
            <w:sz w:val="22"/>
          </w:rPr>
          <w:t>Acoustic survey and catchability (video)</w:t>
        </w:r>
      </w:hyperlink>
    </w:p>
    <w:p w14:paraId="4E7F8C0E" w14:textId="18108585" w:rsidR="003C629F" w:rsidRPr="003C629F" w:rsidRDefault="00B4254F" w:rsidP="003C629F">
      <w:pPr>
        <w:shd w:val="clear" w:color="auto" w:fill="FFFFFF"/>
        <w:spacing w:after="0"/>
        <w:rPr>
          <w:rFonts w:asciiTheme="minorHAnsi" w:eastAsia="Times New Roman" w:hAnsiTheme="minorHAnsi" w:cstheme="minorHAnsi"/>
          <w:color w:val="000000"/>
          <w:sz w:val="22"/>
        </w:rPr>
      </w:pPr>
      <w:hyperlink r:id="rId67" w:history="1">
        <w:r w:rsidR="003C629F" w:rsidRPr="003C629F">
          <w:rPr>
            <w:rFonts w:asciiTheme="minorHAnsi" w:eastAsia="Times New Roman" w:hAnsiTheme="minorHAnsi" w:cstheme="minorHAnsi"/>
            <w:color w:val="003399"/>
            <w:sz w:val="22"/>
          </w:rPr>
          <w:t>Acoustic survey and catchability (slides)</w:t>
        </w:r>
      </w:hyperlink>
    </w:p>
    <w:p w14:paraId="0E2CDA64" w14:textId="4CDEF9D6" w:rsidR="003C629F" w:rsidRPr="003C629F" w:rsidRDefault="00B4254F" w:rsidP="003C629F">
      <w:pPr>
        <w:shd w:val="clear" w:color="auto" w:fill="FFFFFF"/>
        <w:spacing w:after="0"/>
        <w:rPr>
          <w:rFonts w:asciiTheme="minorHAnsi" w:eastAsia="Times New Roman" w:hAnsiTheme="minorHAnsi" w:cstheme="minorHAnsi"/>
          <w:color w:val="000000"/>
          <w:sz w:val="22"/>
        </w:rPr>
      </w:pPr>
      <w:hyperlink r:id="rId68" w:history="1">
        <w:r w:rsidR="003C629F" w:rsidRPr="003C629F">
          <w:rPr>
            <w:rFonts w:asciiTheme="minorHAnsi" w:eastAsia="Times New Roman" w:hAnsiTheme="minorHAnsi" w:cstheme="minorHAnsi"/>
            <w:color w:val="003399"/>
            <w:sz w:val="22"/>
          </w:rPr>
          <w:t>Vast history </w:t>
        </w:r>
        <w:proofErr w:type="spellStart"/>
        <w:r w:rsidR="003C629F" w:rsidRPr="003C629F">
          <w:rPr>
            <w:rFonts w:asciiTheme="minorHAnsi" w:eastAsia="Times New Roman" w:hAnsiTheme="minorHAnsi" w:cstheme="minorHAnsi"/>
            <w:color w:val="003399"/>
            <w:sz w:val="22"/>
            <w:u w:val="single"/>
          </w:rPr>
          <w:t>etc</w:t>
        </w:r>
        <w:proofErr w:type="spellEnd"/>
      </w:hyperlink>
    </w:p>
    <w:p w14:paraId="40A95D41" w14:textId="3247569D" w:rsidR="003C629F" w:rsidRPr="003C629F" w:rsidRDefault="003C629F" w:rsidP="003C629F">
      <w:pPr>
        <w:shd w:val="clear" w:color="auto" w:fill="FFFFFF"/>
        <w:spacing w:after="0"/>
        <w:rPr>
          <w:rFonts w:asciiTheme="minorHAnsi" w:eastAsia="Times New Roman" w:hAnsiTheme="minorHAnsi" w:cstheme="minorHAnsi"/>
          <w:color w:val="000000"/>
          <w:sz w:val="22"/>
        </w:rPr>
      </w:pPr>
      <w:r w:rsidRPr="003C629F">
        <w:rPr>
          <w:rFonts w:asciiTheme="minorHAnsi" w:eastAsia="Times New Roman" w:hAnsiTheme="minorHAnsi" w:cstheme="minorHAnsi"/>
          <w:color w:val="000000"/>
          <w:sz w:val="22"/>
        </w:rPr>
        <w:t> </w:t>
      </w:r>
    </w:p>
    <w:p w14:paraId="3C6B50B8" w14:textId="42885967" w:rsidR="003C629F" w:rsidRDefault="003C629F" w:rsidP="003C629F">
      <w:pPr>
        <w:shd w:val="clear" w:color="auto" w:fill="FFFFFF"/>
        <w:spacing w:after="0"/>
        <w:rPr>
          <w:rFonts w:asciiTheme="minorHAnsi" w:eastAsia="Times New Roman" w:hAnsiTheme="minorHAnsi" w:cstheme="minorHAnsi"/>
          <w:color w:val="000000"/>
          <w:sz w:val="22"/>
        </w:rPr>
      </w:pPr>
      <w:r w:rsidRPr="003C629F">
        <w:rPr>
          <w:rFonts w:asciiTheme="minorHAnsi" w:eastAsia="Times New Roman" w:hAnsiTheme="minorHAnsi" w:cstheme="minorHAnsi"/>
          <w:color w:val="000000"/>
          <w:sz w:val="22"/>
        </w:rPr>
        <w:t> </w:t>
      </w:r>
    </w:p>
    <w:p w14:paraId="03DAABC0" w14:textId="0556B67F" w:rsidR="003C629F" w:rsidRPr="004F00CD" w:rsidRDefault="003C629F" w:rsidP="003C629F">
      <w:pPr>
        <w:pStyle w:val="Heading2"/>
        <w:spacing w:after="0"/>
        <w:rPr>
          <w:rFonts w:cs="Times New Roman"/>
          <w:sz w:val="24"/>
          <w:szCs w:val="24"/>
        </w:rPr>
      </w:pPr>
      <w:r w:rsidRPr="004F00CD">
        <w:rPr>
          <w:rFonts w:cs="Times New Roman"/>
          <w:sz w:val="24"/>
          <w:szCs w:val="24"/>
        </w:rPr>
        <w:t>Schedule</w:t>
      </w:r>
    </w:p>
    <w:p w14:paraId="0854A4EA" w14:textId="77777777" w:rsidR="003C629F" w:rsidRDefault="003C629F" w:rsidP="003C629F">
      <w:pPr>
        <w:shd w:val="clear" w:color="auto" w:fill="FFFFFF"/>
        <w:spacing w:after="0"/>
        <w:rPr>
          <w:rFonts w:eastAsia="Times New Roman" w:cs="Times New Roman"/>
          <w:b/>
          <w:bCs/>
          <w:color w:val="000000"/>
          <w:sz w:val="22"/>
        </w:rPr>
      </w:pPr>
    </w:p>
    <w:p w14:paraId="605EEDC8" w14:textId="6A98F0A4" w:rsidR="003C629F" w:rsidRPr="003C629F" w:rsidRDefault="003C629F" w:rsidP="003C629F">
      <w:pPr>
        <w:shd w:val="clear" w:color="auto" w:fill="FFFFFF"/>
        <w:spacing w:after="0"/>
        <w:rPr>
          <w:rFonts w:eastAsia="Times New Roman" w:cs="Times New Roman"/>
          <w:color w:val="000000"/>
          <w:sz w:val="22"/>
        </w:rPr>
      </w:pPr>
      <w:r w:rsidRPr="003C629F">
        <w:rPr>
          <w:rFonts w:eastAsia="Times New Roman" w:cs="Times New Roman"/>
          <w:b/>
          <w:bCs/>
          <w:color w:val="000000"/>
          <w:sz w:val="22"/>
        </w:rPr>
        <w:t>All times below are Pacific Daylight Time</w:t>
      </w:r>
      <w:r w:rsidRPr="003C629F">
        <w:rPr>
          <w:rFonts w:eastAsia="Times New Roman" w:cs="Times New Roman"/>
          <w:color w:val="000000"/>
          <w:sz w:val="22"/>
        </w:rPr>
        <w:br/>
        <w:t>Daily breaks at 11:30AM and 3:45PM, Lunch 1PM-2PM</w:t>
      </w:r>
      <w:bookmarkStart w:id="10" w:name="_ch0w1vo03d4c"/>
      <w:bookmarkEnd w:id="10"/>
    </w:p>
    <w:tbl>
      <w:tblPr>
        <w:tblW w:w="0" w:type="auto"/>
        <w:shd w:val="clear" w:color="auto" w:fill="FFFFFF"/>
        <w:tblCellMar>
          <w:left w:w="0" w:type="dxa"/>
          <w:right w:w="0" w:type="dxa"/>
        </w:tblCellMar>
        <w:tblLook w:val="04A0" w:firstRow="1" w:lastRow="0" w:firstColumn="1" w:lastColumn="0" w:noHBand="0" w:noVBand="1"/>
      </w:tblPr>
      <w:tblGrid>
        <w:gridCol w:w="638"/>
        <w:gridCol w:w="5007"/>
        <w:gridCol w:w="3381"/>
      </w:tblGrid>
      <w:tr w:rsidR="003C629F" w:rsidRPr="003C629F" w14:paraId="3347E071" w14:textId="77777777" w:rsidTr="003C629F">
        <w:tc>
          <w:tcPr>
            <w:tcW w:w="5850" w:type="dxa"/>
            <w:gridSpan w:val="2"/>
            <w:tcBorders>
              <w:top w:val="single" w:sz="8" w:space="0" w:color="auto"/>
              <w:left w:val="nil"/>
              <w:bottom w:val="single" w:sz="8" w:space="0" w:color="auto"/>
              <w:right w:val="nil"/>
            </w:tcBorders>
            <w:shd w:val="clear" w:color="auto" w:fill="FFFFFF"/>
            <w:tcMar>
              <w:top w:w="0" w:type="dxa"/>
              <w:left w:w="108" w:type="dxa"/>
              <w:bottom w:w="0" w:type="dxa"/>
              <w:right w:w="108" w:type="dxa"/>
            </w:tcMar>
            <w:hideMark/>
          </w:tcPr>
          <w:p w14:paraId="34D4F7EF" w14:textId="77777777" w:rsidR="003C629F" w:rsidRPr="003C629F" w:rsidRDefault="003C629F" w:rsidP="003C629F">
            <w:pPr>
              <w:spacing w:after="0"/>
              <w:ind w:left="720" w:hanging="360"/>
              <w:rPr>
                <w:rFonts w:eastAsia="Times New Roman" w:cs="Times New Roman"/>
                <w:sz w:val="22"/>
              </w:rPr>
            </w:pPr>
            <w:r w:rsidRPr="003C629F">
              <w:rPr>
                <w:rFonts w:ascii="Arial" w:eastAsia="Times New Roman" w:hAnsi="Arial" w:cs="Arial"/>
                <w:b/>
                <w:bCs/>
                <w:sz w:val="22"/>
                <w:lang w:val="en"/>
              </w:rPr>
              <w:t>Tuesday, March 30</w:t>
            </w:r>
          </w:p>
        </w:tc>
        <w:tc>
          <w:tcPr>
            <w:tcW w:w="3500" w:type="dxa"/>
            <w:tcBorders>
              <w:top w:val="single" w:sz="8" w:space="0" w:color="auto"/>
              <w:left w:val="nil"/>
              <w:bottom w:val="single" w:sz="8" w:space="0" w:color="auto"/>
              <w:right w:val="nil"/>
            </w:tcBorders>
            <w:shd w:val="clear" w:color="auto" w:fill="FFFFFF"/>
            <w:tcMar>
              <w:top w:w="0" w:type="dxa"/>
              <w:left w:w="108" w:type="dxa"/>
              <w:bottom w:w="0" w:type="dxa"/>
              <w:right w:w="108" w:type="dxa"/>
            </w:tcMar>
            <w:hideMark/>
          </w:tcPr>
          <w:p w14:paraId="69386357" w14:textId="77777777" w:rsidR="003C629F" w:rsidRPr="003C629F" w:rsidRDefault="003C629F" w:rsidP="003C629F">
            <w:pPr>
              <w:spacing w:after="0"/>
              <w:ind w:left="720" w:hanging="360"/>
              <w:rPr>
                <w:rFonts w:eastAsia="Times New Roman" w:cs="Times New Roman"/>
                <w:sz w:val="22"/>
              </w:rPr>
            </w:pPr>
            <w:r w:rsidRPr="003C629F">
              <w:rPr>
                <w:rFonts w:ascii="Arial" w:eastAsia="Times New Roman" w:hAnsi="Arial" w:cs="Arial"/>
                <w:b/>
                <w:bCs/>
                <w:sz w:val="22"/>
                <w:lang w:val="en"/>
              </w:rPr>
              <w:t> </w:t>
            </w:r>
          </w:p>
        </w:tc>
      </w:tr>
      <w:tr w:rsidR="003C629F" w:rsidRPr="003C629F" w14:paraId="650CA00C" w14:textId="77777777" w:rsidTr="003C629F">
        <w:tc>
          <w:tcPr>
            <w:tcW w:w="5850" w:type="dxa"/>
            <w:gridSpan w:val="2"/>
            <w:tcBorders>
              <w:top w:val="nil"/>
              <w:left w:val="nil"/>
              <w:bottom w:val="single" w:sz="8" w:space="0" w:color="auto"/>
              <w:right w:val="nil"/>
            </w:tcBorders>
            <w:shd w:val="clear" w:color="auto" w:fill="FFFFFF"/>
            <w:tcMar>
              <w:top w:w="0" w:type="dxa"/>
              <w:left w:w="108" w:type="dxa"/>
              <w:bottom w:w="0" w:type="dxa"/>
              <w:right w:w="108" w:type="dxa"/>
            </w:tcMar>
            <w:hideMark/>
          </w:tcPr>
          <w:p w14:paraId="677A0EBD" w14:textId="77777777" w:rsidR="003C629F" w:rsidRPr="003C629F" w:rsidRDefault="003C629F" w:rsidP="003C629F">
            <w:pPr>
              <w:spacing w:after="0"/>
              <w:rPr>
                <w:rFonts w:eastAsia="Times New Roman" w:cs="Times New Roman"/>
                <w:sz w:val="22"/>
              </w:rPr>
            </w:pPr>
            <w:r w:rsidRPr="003C629F">
              <w:rPr>
                <w:rFonts w:ascii="Arial" w:eastAsia="Times New Roman" w:hAnsi="Arial" w:cs="Arial"/>
                <w:bCs/>
                <w:color w:val="980000"/>
                <w:sz w:val="22"/>
                <w:lang w:val="en"/>
              </w:rPr>
              <w:t>10:00 AM – 11:30 AM</w:t>
            </w:r>
            <w:r w:rsidRPr="003C629F">
              <w:rPr>
                <w:rFonts w:ascii="Arial" w:eastAsia="Times New Roman" w:hAnsi="Arial" w:cs="Arial"/>
                <w:bCs/>
                <w:sz w:val="22"/>
                <w:lang w:val="en"/>
              </w:rPr>
              <w:t>:</w:t>
            </w:r>
            <w:r w:rsidRPr="003C629F">
              <w:rPr>
                <w:rFonts w:ascii="Arial" w:eastAsia="Times New Roman" w:hAnsi="Arial" w:cs="Arial"/>
                <w:sz w:val="22"/>
                <w:lang w:val="en"/>
              </w:rPr>
              <w:t> </w:t>
            </w:r>
            <w:r w:rsidRPr="003C629F">
              <w:rPr>
                <w:rFonts w:ascii="Arial" w:eastAsia="Times New Roman" w:hAnsi="Arial" w:cs="Arial"/>
                <w:bCs/>
                <w:sz w:val="22"/>
                <w:lang w:val="en"/>
              </w:rPr>
              <w:t>Introduction/Background</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09451A2" w14:textId="77777777" w:rsidR="003C629F" w:rsidRPr="003C629F" w:rsidRDefault="003C629F" w:rsidP="003C629F">
            <w:pPr>
              <w:spacing w:after="0"/>
              <w:ind w:left="720" w:hanging="360"/>
              <w:rPr>
                <w:rFonts w:eastAsia="Times New Roman" w:cs="Times New Roman"/>
                <w:sz w:val="22"/>
              </w:rPr>
            </w:pPr>
            <w:r w:rsidRPr="003C629F">
              <w:rPr>
                <w:rFonts w:ascii="Arial" w:eastAsia="Times New Roman" w:hAnsi="Arial" w:cs="Arial"/>
                <w:sz w:val="22"/>
                <w:lang w:val="en"/>
              </w:rPr>
              <w:t> </w:t>
            </w:r>
          </w:p>
        </w:tc>
      </w:tr>
      <w:tr w:rsidR="003C629F" w:rsidRPr="003C629F" w14:paraId="2B24509B" w14:textId="77777777" w:rsidTr="003C629F">
        <w:tc>
          <w:tcPr>
            <w:tcW w:w="27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064D14A" w14:textId="77777777" w:rsidR="003C629F" w:rsidRPr="003C629F" w:rsidRDefault="003C629F" w:rsidP="003C629F">
            <w:pPr>
              <w:spacing w:after="0"/>
              <w:ind w:left="720" w:hanging="360"/>
              <w:rPr>
                <w:rFonts w:eastAsia="Times New Roman" w:cs="Times New Roman"/>
                <w:sz w:val="22"/>
              </w:rPr>
            </w:pPr>
            <w:r w:rsidRPr="003C629F">
              <w:rPr>
                <w:rFonts w:ascii="Arial" w:eastAsia="Times New Roman" w:hAnsi="Arial" w:cs="Arial"/>
                <w:sz w:val="22"/>
                <w:lang w:val="en"/>
              </w:rPr>
              <w:t> </w:t>
            </w:r>
          </w:p>
        </w:tc>
        <w:tc>
          <w:tcPr>
            <w:tcW w:w="558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6BDD110" w14:textId="77777777" w:rsidR="003C629F" w:rsidRPr="003C629F" w:rsidRDefault="003C629F" w:rsidP="003C629F">
            <w:pPr>
              <w:spacing w:after="0"/>
              <w:rPr>
                <w:rFonts w:eastAsia="Times New Roman" w:cs="Times New Roman"/>
                <w:sz w:val="22"/>
              </w:rPr>
            </w:pPr>
            <w:r w:rsidRPr="003C629F">
              <w:rPr>
                <w:rFonts w:ascii="Arial" w:eastAsia="Times New Roman" w:hAnsi="Arial" w:cs="Arial"/>
                <w:sz w:val="22"/>
                <w:lang w:val="en"/>
              </w:rPr>
              <w:t>Introductions and agenda</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B0A09BC" w14:textId="77777777" w:rsidR="003C629F" w:rsidRPr="003C629F" w:rsidRDefault="003C629F" w:rsidP="003C629F">
            <w:pPr>
              <w:spacing w:after="0"/>
              <w:jc w:val="right"/>
              <w:rPr>
                <w:rFonts w:eastAsia="Times New Roman" w:cs="Times New Roman"/>
                <w:sz w:val="22"/>
              </w:rPr>
            </w:pPr>
            <w:r w:rsidRPr="003C629F">
              <w:rPr>
                <w:rFonts w:ascii="Arial" w:eastAsia="Times New Roman" w:hAnsi="Arial" w:cs="Arial"/>
                <w:sz w:val="22"/>
                <w:lang w:val="en"/>
              </w:rPr>
              <w:t>Paul Spencer</w:t>
            </w:r>
          </w:p>
        </w:tc>
      </w:tr>
      <w:tr w:rsidR="003C629F" w:rsidRPr="003C629F" w14:paraId="14EE2536" w14:textId="77777777" w:rsidTr="003C629F">
        <w:tc>
          <w:tcPr>
            <w:tcW w:w="27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B3525F3" w14:textId="77777777" w:rsidR="003C629F" w:rsidRPr="003C629F" w:rsidRDefault="003C629F" w:rsidP="003C629F">
            <w:pPr>
              <w:spacing w:after="0"/>
              <w:ind w:left="720" w:hanging="360"/>
              <w:rPr>
                <w:rFonts w:eastAsia="Times New Roman" w:cs="Times New Roman"/>
                <w:sz w:val="22"/>
              </w:rPr>
            </w:pPr>
            <w:r w:rsidRPr="003C629F">
              <w:rPr>
                <w:rFonts w:ascii="Arial" w:eastAsia="Times New Roman" w:hAnsi="Arial" w:cs="Arial"/>
                <w:sz w:val="22"/>
                <w:lang w:val="en"/>
              </w:rPr>
              <w:t> </w:t>
            </w:r>
          </w:p>
        </w:tc>
        <w:tc>
          <w:tcPr>
            <w:tcW w:w="558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0FD9460" w14:textId="77777777" w:rsidR="003C629F" w:rsidRPr="003C629F" w:rsidRDefault="003C629F" w:rsidP="003C629F">
            <w:pPr>
              <w:spacing w:after="0"/>
              <w:rPr>
                <w:rFonts w:eastAsia="Times New Roman" w:cs="Times New Roman"/>
                <w:sz w:val="22"/>
              </w:rPr>
            </w:pPr>
            <w:r w:rsidRPr="003C629F">
              <w:rPr>
                <w:rFonts w:ascii="Arial" w:eastAsia="Times New Roman" w:hAnsi="Arial" w:cs="Arial"/>
                <w:sz w:val="22"/>
                <w:lang w:val="en"/>
              </w:rPr>
              <w:t>Overview of rockfish biology, fishery, and history of assessment</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0B31EA17" w14:textId="77777777" w:rsidR="003C629F" w:rsidRPr="003C629F" w:rsidRDefault="003C629F" w:rsidP="003C629F">
            <w:pPr>
              <w:spacing w:after="0"/>
              <w:jc w:val="right"/>
              <w:rPr>
                <w:rFonts w:eastAsia="Times New Roman" w:cs="Times New Roman"/>
                <w:sz w:val="22"/>
              </w:rPr>
            </w:pPr>
            <w:r w:rsidRPr="003C629F">
              <w:rPr>
                <w:rFonts w:ascii="Arial" w:eastAsia="Times New Roman" w:hAnsi="Arial" w:cs="Arial"/>
                <w:sz w:val="22"/>
                <w:lang w:val="en"/>
              </w:rPr>
              <w:t>Ben Williams</w:t>
            </w:r>
          </w:p>
        </w:tc>
      </w:tr>
      <w:tr w:rsidR="003C629F" w:rsidRPr="003C629F" w14:paraId="7DEC14AD" w14:textId="77777777" w:rsidTr="003C629F">
        <w:tc>
          <w:tcPr>
            <w:tcW w:w="27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0F164C95" w14:textId="77777777" w:rsidR="003C629F" w:rsidRPr="003C629F" w:rsidRDefault="003C629F" w:rsidP="003C629F">
            <w:pPr>
              <w:spacing w:after="0"/>
              <w:ind w:left="720" w:hanging="360"/>
              <w:rPr>
                <w:rFonts w:eastAsia="Times New Roman" w:cs="Times New Roman"/>
                <w:sz w:val="22"/>
              </w:rPr>
            </w:pPr>
            <w:r w:rsidRPr="003C629F">
              <w:rPr>
                <w:rFonts w:ascii="Arial" w:eastAsia="Times New Roman" w:hAnsi="Arial" w:cs="Arial"/>
                <w:sz w:val="22"/>
                <w:lang w:val="en"/>
              </w:rPr>
              <w:t> </w:t>
            </w:r>
          </w:p>
        </w:tc>
        <w:tc>
          <w:tcPr>
            <w:tcW w:w="558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658499F0" w14:textId="77777777" w:rsidR="003C629F" w:rsidRPr="003C629F" w:rsidRDefault="003C629F" w:rsidP="003C629F">
            <w:pPr>
              <w:spacing w:after="0"/>
              <w:rPr>
                <w:rFonts w:eastAsia="Times New Roman" w:cs="Times New Roman"/>
                <w:sz w:val="22"/>
              </w:rPr>
            </w:pPr>
            <w:r w:rsidRPr="003C629F">
              <w:rPr>
                <w:rFonts w:ascii="Arial" w:eastAsia="Times New Roman" w:hAnsi="Arial" w:cs="Arial"/>
                <w:sz w:val="22"/>
                <w:lang w:val="en"/>
              </w:rPr>
              <w:t>Current management of Alaska rockfish</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B1273AA" w14:textId="77777777" w:rsidR="003C629F" w:rsidRPr="003C629F" w:rsidRDefault="003C629F" w:rsidP="003C629F">
            <w:pPr>
              <w:spacing w:after="0"/>
              <w:jc w:val="right"/>
              <w:rPr>
                <w:rFonts w:eastAsia="Times New Roman" w:cs="Times New Roman"/>
                <w:sz w:val="22"/>
              </w:rPr>
            </w:pPr>
            <w:r w:rsidRPr="003C629F">
              <w:rPr>
                <w:rFonts w:ascii="Arial" w:eastAsia="Times New Roman" w:hAnsi="Arial" w:cs="Arial"/>
                <w:sz w:val="22"/>
                <w:lang w:val="en"/>
              </w:rPr>
              <w:t>Chris Lunsford</w:t>
            </w:r>
          </w:p>
        </w:tc>
      </w:tr>
      <w:tr w:rsidR="003C629F" w:rsidRPr="003C629F" w14:paraId="54226871" w14:textId="77777777" w:rsidTr="003C629F">
        <w:tc>
          <w:tcPr>
            <w:tcW w:w="5850" w:type="dxa"/>
            <w:gridSpan w:val="2"/>
            <w:tcBorders>
              <w:top w:val="nil"/>
              <w:left w:val="nil"/>
              <w:bottom w:val="single" w:sz="8" w:space="0" w:color="auto"/>
              <w:right w:val="nil"/>
            </w:tcBorders>
            <w:shd w:val="clear" w:color="auto" w:fill="FFFFFF"/>
            <w:tcMar>
              <w:top w:w="0" w:type="dxa"/>
              <w:left w:w="108" w:type="dxa"/>
              <w:bottom w:w="0" w:type="dxa"/>
              <w:right w:w="108" w:type="dxa"/>
            </w:tcMar>
            <w:hideMark/>
          </w:tcPr>
          <w:p w14:paraId="64E21B78" w14:textId="77777777" w:rsidR="003C629F" w:rsidRPr="003C629F" w:rsidRDefault="003C629F" w:rsidP="003C629F">
            <w:pPr>
              <w:spacing w:after="0"/>
              <w:rPr>
                <w:rFonts w:eastAsia="Times New Roman" w:cs="Times New Roman"/>
                <w:sz w:val="22"/>
              </w:rPr>
            </w:pPr>
            <w:r w:rsidRPr="003C629F">
              <w:rPr>
                <w:rFonts w:ascii="Arial" w:eastAsia="Times New Roman" w:hAnsi="Arial" w:cs="Arial"/>
                <w:bCs/>
                <w:color w:val="980000"/>
                <w:sz w:val="22"/>
                <w:lang w:val="en"/>
              </w:rPr>
              <w:t>11:45 AM - 1:00 PM:</w:t>
            </w:r>
            <w:r w:rsidRPr="003C629F">
              <w:rPr>
                <w:rFonts w:ascii="Arial" w:eastAsia="Times New Roman" w:hAnsi="Arial" w:cs="Arial"/>
                <w:bCs/>
                <w:sz w:val="22"/>
                <w:lang w:val="en"/>
              </w:rPr>
              <w:t> Discussions</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144B6B7" w14:textId="77777777" w:rsidR="003C629F" w:rsidRPr="003C629F" w:rsidRDefault="003C629F" w:rsidP="003C629F">
            <w:pPr>
              <w:spacing w:after="0"/>
              <w:ind w:left="720" w:hanging="360"/>
              <w:jc w:val="right"/>
              <w:rPr>
                <w:rFonts w:eastAsia="Times New Roman" w:cs="Times New Roman"/>
                <w:sz w:val="22"/>
              </w:rPr>
            </w:pPr>
            <w:r w:rsidRPr="003C629F">
              <w:rPr>
                <w:rFonts w:ascii="Arial" w:eastAsia="Times New Roman" w:hAnsi="Arial" w:cs="Arial"/>
                <w:bCs/>
                <w:color w:val="980000"/>
                <w:sz w:val="22"/>
                <w:lang w:val="en"/>
              </w:rPr>
              <w:t> </w:t>
            </w:r>
          </w:p>
        </w:tc>
      </w:tr>
      <w:tr w:rsidR="003C629F" w:rsidRPr="003C629F" w14:paraId="16347C5B" w14:textId="77777777" w:rsidTr="003C629F">
        <w:tc>
          <w:tcPr>
            <w:tcW w:w="5850" w:type="dxa"/>
            <w:gridSpan w:val="2"/>
            <w:tcBorders>
              <w:top w:val="nil"/>
              <w:left w:val="nil"/>
              <w:bottom w:val="single" w:sz="8" w:space="0" w:color="auto"/>
              <w:right w:val="nil"/>
            </w:tcBorders>
            <w:shd w:val="clear" w:color="auto" w:fill="FFFFFF"/>
            <w:tcMar>
              <w:top w:w="0" w:type="dxa"/>
              <w:left w:w="108" w:type="dxa"/>
              <w:bottom w:w="0" w:type="dxa"/>
              <w:right w:w="108" w:type="dxa"/>
            </w:tcMar>
            <w:hideMark/>
          </w:tcPr>
          <w:p w14:paraId="470D8859" w14:textId="77777777" w:rsidR="003C629F" w:rsidRPr="003C629F" w:rsidRDefault="003C629F" w:rsidP="003C629F">
            <w:pPr>
              <w:spacing w:after="0"/>
              <w:rPr>
                <w:rFonts w:eastAsia="Times New Roman" w:cs="Times New Roman"/>
                <w:sz w:val="22"/>
              </w:rPr>
            </w:pPr>
            <w:r w:rsidRPr="003C629F">
              <w:rPr>
                <w:rFonts w:ascii="Arial" w:eastAsia="Times New Roman" w:hAnsi="Arial" w:cs="Arial"/>
                <w:bCs/>
                <w:color w:val="980000"/>
                <w:sz w:val="22"/>
                <w:lang w:val="en"/>
              </w:rPr>
              <w:t>2:00 PM – 3:45 PM</w:t>
            </w:r>
            <w:r w:rsidRPr="003C629F">
              <w:rPr>
                <w:rFonts w:ascii="Arial" w:eastAsia="Times New Roman" w:hAnsi="Arial" w:cs="Arial"/>
                <w:bCs/>
                <w:sz w:val="22"/>
                <w:lang w:val="en"/>
              </w:rPr>
              <w:t>: Input data</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6D349B3E" w14:textId="77777777" w:rsidR="003C629F" w:rsidRPr="003C629F" w:rsidRDefault="003C629F" w:rsidP="003C629F">
            <w:pPr>
              <w:spacing w:after="0"/>
              <w:ind w:left="720" w:hanging="360"/>
              <w:jc w:val="right"/>
              <w:rPr>
                <w:rFonts w:eastAsia="Times New Roman" w:cs="Times New Roman"/>
                <w:sz w:val="22"/>
              </w:rPr>
            </w:pPr>
            <w:r w:rsidRPr="003C629F">
              <w:rPr>
                <w:rFonts w:ascii="Arial" w:eastAsia="Times New Roman" w:hAnsi="Arial" w:cs="Arial"/>
                <w:bCs/>
                <w:sz w:val="22"/>
                <w:lang w:val="en"/>
              </w:rPr>
              <w:t> </w:t>
            </w:r>
          </w:p>
        </w:tc>
      </w:tr>
      <w:tr w:rsidR="003C629F" w:rsidRPr="003C629F" w14:paraId="4C67ECD9" w14:textId="77777777" w:rsidTr="003C629F">
        <w:tc>
          <w:tcPr>
            <w:tcW w:w="27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76937903" w14:textId="77777777" w:rsidR="003C629F" w:rsidRPr="003C629F" w:rsidRDefault="003C629F" w:rsidP="003C629F">
            <w:pPr>
              <w:spacing w:after="0"/>
              <w:ind w:left="720" w:hanging="360"/>
              <w:rPr>
                <w:rFonts w:eastAsia="Times New Roman" w:cs="Times New Roman"/>
                <w:sz w:val="22"/>
              </w:rPr>
            </w:pPr>
            <w:r w:rsidRPr="003C629F">
              <w:rPr>
                <w:rFonts w:ascii="Arial" w:eastAsia="Times New Roman" w:hAnsi="Arial" w:cs="Arial"/>
                <w:sz w:val="22"/>
                <w:lang w:val="en"/>
              </w:rPr>
              <w:t> </w:t>
            </w:r>
          </w:p>
        </w:tc>
        <w:tc>
          <w:tcPr>
            <w:tcW w:w="558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2964CA6" w14:textId="77777777" w:rsidR="003C629F" w:rsidRPr="003C629F" w:rsidRDefault="003C629F" w:rsidP="003C629F">
            <w:pPr>
              <w:spacing w:after="0"/>
              <w:rPr>
                <w:rFonts w:eastAsia="Times New Roman" w:cs="Times New Roman"/>
                <w:sz w:val="22"/>
              </w:rPr>
            </w:pPr>
            <w:r w:rsidRPr="003C629F">
              <w:rPr>
                <w:rFonts w:ascii="Arial" w:eastAsia="Times New Roman" w:hAnsi="Arial" w:cs="Arial"/>
                <w:sz w:val="22"/>
                <w:lang w:val="en"/>
              </w:rPr>
              <w:t>Survey data</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B0726CA" w14:textId="77777777" w:rsidR="003C629F" w:rsidRPr="003C629F" w:rsidRDefault="003C629F" w:rsidP="003C629F">
            <w:pPr>
              <w:spacing w:after="0"/>
              <w:ind w:left="720" w:hanging="360"/>
              <w:jc w:val="right"/>
              <w:rPr>
                <w:rFonts w:eastAsia="Times New Roman" w:cs="Times New Roman"/>
                <w:sz w:val="22"/>
              </w:rPr>
            </w:pPr>
            <w:r w:rsidRPr="003C629F">
              <w:rPr>
                <w:rFonts w:ascii="Arial" w:eastAsia="Times New Roman" w:hAnsi="Arial" w:cs="Arial"/>
                <w:sz w:val="22"/>
                <w:lang w:val="en"/>
              </w:rPr>
              <w:t> </w:t>
            </w:r>
          </w:p>
        </w:tc>
      </w:tr>
      <w:tr w:rsidR="003C629F" w:rsidRPr="003C629F" w14:paraId="4C1AB464" w14:textId="77777777" w:rsidTr="003C629F">
        <w:tc>
          <w:tcPr>
            <w:tcW w:w="27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49F61606" w14:textId="77777777" w:rsidR="003C629F" w:rsidRPr="003C629F" w:rsidRDefault="003C629F" w:rsidP="003C629F">
            <w:pPr>
              <w:spacing w:after="0"/>
              <w:ind w:left="720" w:hanging="360"/>
              <w:rPr>
                <w:rFonts w:eastAsia="Times New Roman" w:cs="Times New Roman"/>
                <w:sz w:val="22"/>
              </w:rPr>
            </w:pPr>
            <w:r w:rsidRPr="003C629F">
              <w:rPr>
                <w:rFonts w:ascii="Arial" w:eastAsia="Times New Roman" w:hAnsi="Arial" w:cs="Arial"/>
                <w:sz w:val="22"/>
                <w:lang w:val="en"/>
              </w:rPr>
              <w:t> </w:t>
            </w:r>
          </w:p>
        </w:tc>
        <w:tc>
          <w:tcPr>
            <w:tcW w:w="558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00B7D22E" w14:textId="77777777" w:rsidR="003C629F" w:rsidRPr="003C629F" w:rsidRDefault="003C629F" w:rsidP="003C629F">
            <w:pPr>
              <w:spacing w:after="0"/>
              <w:rPr>
                <w:rFonts w:eastAsia="Times New Roman" w:cs="Times New Roman"/>
                <w:sz w:val="22"/>
              </w:rPr>
            </w:pPr>
            <w:r w:rsidRPr="003C629F">
              <w:rPr>
                <w:rFonts w:ascii="Arial" w:eastAsia="Times New Roman" w:hAnsi="Arial" w:cs="Arial"/>
                <w:sz w:val="22"/>
                <w:lang w:val="en"/>
              </w:rPr>
              <w:t>Abundance, distribution, and age composition</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706D4B4" w14:textId="77777777" w:rsidR="003C629F" w:rsidRPr="003C629F" w:rsidRDefault="003C629F" w:rsidP="003C629F">
            <w:pPr>
              <w:spacing w:after="0"/>
              <w:jc w:val="right"/>
              <w:rPr>
                <w:rFonts w:eastAsia="Times New Roman" w:cs="Times New Roman"/>
                <w:sz w:val="22"/>
              </w:rPr>
            </w:pPr>
            <w:r w:rsidRPr="003C629F">
              <w:rPr>
                <w:rFonts w:ascii="Arial" w:eastAsia="Times New Roman" w:hAnsi="Arial" w:cs="Arial"/>
                <w:sz w:val="22"/>
                <w:lang w:val="en"/>
              </w:rPr>
              <w:t>Pete Hulson, Wayne Palsson</w:t>
            </w:r>
          </w:p>
        </w:tc>
      </w:tr>
      <w:tr w:rsidR="003C629F" w:rsidRPr="003C629F" w14:paraId="02F4DC5B" w14:textId="77777777" w:rsidTr="003C629F">
        <w:tc>
          <w:tcPr>
            <w:tcW w:w="27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7872BBF" w14:textId="77777777" w:rsidR="003C629F" w:rsidRPr="003C629F" w:rsidRDefault="003C629F" w:rsidP="003C629F">
            <w:pPr>
              <w:spacing w:after="0"/>
              <w:ind w:left="720" w:hanging="360"/>
              <w:rPr>
                <w:rFonts w:eastAsia="Times New Roman" w:cs="Times New Roman"/>
                <w:sz w:val="22"/>
              </w:rPr>
            </w:pPr>
            <w:r w:rsidRPr="003C629F">
              <w:rPr>
                <w:rFonts w:ascii="Arial" w:eastAsia="Times New Roman" w:hAnsi="Arial" w:cs="Arial"/>
                <w:sz w:val="22"/>
                <w:lang w:val="en"/>
              </w:rPr>
              <w:t> </w:t>
            </w:r>
          </w:p>
        </w:tc>
        <w:tc>
          <w:tcPr>
            <w:tcW w:w="558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7A5FE39" w14:textId="77777777" w:rsidR="003C629F" w:rsidRPr="003C629F" w:rsidRDefault="003C629F" w:rsidP="003C629F">
            <w:pPr>
              <w:spacing w:after="0"/>
              <w:rPr>
                <w:rFonts w:eastAsia="Times New Roman" w:cs="Times New Roman"/>
                <w:sz w:val="22"/>
              </w:rPr>
            </w:pPr>
            <w:r w:rsidRPr="003C629F">
              <w:rPr>
                <w:rFonts w:ascii="Arial" w:eastAsia="Times New Roman" w:hAnsi="Arial" w:cs="Arial"/>
                <w:sz w:val="22"/>
                <w:lang w:val="en"/>
              </w:rPr>
              <w:t>Model-based abundance</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616C79F" w14:textId="77777777" w:rsidR="003C629F" w:rsidRPr="003C629F" w:rsidRDefault="003C629F" w:rsidP="003C629F">
            <w:pPr>
              <w:spacing w:after="0"/>
              <w:jc w:val="right"/>
              <w:rPr>
                <w:rFonts w:eastAsia="Times New Roman" w:cs="Times New Roman"/>
                <w:sz w:val="22"/>
              </w:rPr>
            </w:pPr>
            <w:r w:rsidRPr="003C629F">
              <w:rPr>
                <w:rFonts w:ascii="Arial" w:eastAsia="Times New Roman" w:hAnsi="Arial" w:cs="Arial"/>
                <w:sz w:val="22"/>
                <w:lang w:val="en"/>
              </w:rPr>
              <w:t>Pete Hulson, Jason Conner</w:t>
            </w:r>
          </w:p>
        </w:tc>
      </w:tr>
      <w:tr w:rsidR="003C629F" w:rsidRPr="003C629F" w14:paraId="2B2E2CA3" w14:textId="77777777" w:rsidTr="003C629F">
        <w:tc>
          <w:tcPr>
            <w:tcW w:w="27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06B64E60" w14:textId="77777777" w:rsidR="003C629F" w:rsidRPr="003C629F" w:rsidRDefault="003C629F" w:rsidP="003C629F">
            <w:pPr>
              <w:spacing w:after="0"/>
              <w:ind w:left="720" w:hanging="360"/>
              <w:rPr>
                <w:rFonts w:eastAsia="Times New Roman" w:cs="Times New Roman"/>
                <w:sz w:val="22"/>
              </w:rPr>
            </w:pPr>
            <w:r w:rsidRPr="003C629F">
              <w:rPr>
                <w:rFonts w:ascii="Arial" w:eastAsia="Times New Roman" w:hAnsi="Arial" w:cs="Arial"/>
                <w:sz w:val="22"/>
                <w:lang w:val="en"/>
              </w:rPr>
              <w:t> </w:t>
            </w:r>
          </w:p>
        </w:tc>
        <w:tc>
          <w:tcPr>
            <w:tcW w:w="558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AE97F03" w14:textId="77777777" w:rsidR="003C629F" w:rsidRPr="003C629F" w:rsidRDefault="003C629F" w:rsidP="003C629F">
            <w:pPr>
              <w:spacing w:after="0"/>
              <w:rPr>
                <w:rFonts w:eastAsia="Times New Roman" w:cs="Times New Roman"/>
                <w:sz w:val="22"/>
              </w:rPr>
            </w:pPr>
            <w:r w:rsidRPr="003C629F">
              <w:rPr>
                <w:rFonts w:ascii="Arial" w:eastAsia="Times New Roman" w:hAnsi="Arial" w:cs="Arial"/>
                <w:sz w:val="22"/>
                <w:lang w:val="en"/>
              </w:rPr>
              <w:t>Fishery data – Catch, observer program, ages, lengths</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0ABA612A" w14:textId="77777777" w:rsidR="003C629F" w:rsidRPr="003C629F" w:rsidRDefault="003C629F" w:rsidP="003C629F">
            <w:pPr>
              <w:spacing w:after="0"/>
              <w:jc w:val="right"/>
              <w:rPr>
                <w:rFonts w:eastAsia="Times New Roman" w:cs="Times New Roman"/>
                <w:sz w:val="22"/>
              </w:rPr>
            </w:pPr>
            <w:r w:rsidRPr="003C629F">
              <w:rPr>
                <w:rFonts w:ascii="Arial" w:eastAsia="Times New Roman" w:hAnsi="Arial" w:cs="Arial"/>
                <w:sz w:val="22"/>
                <w:lang w:val="en"/>
              </w:rPr>
              <w:t>Pete Hulson, Tom Holland</w:t>
            </w:r>
          </w:p>
        </w:tc>
      </w:tr>
      <w:tr w:rsidR="003C629F" w:rsidRPr="003C629F" w14:paraId="3902325E" w14:textId="77777777" w:rsidTr="003C629F">
        <w:tc>
          <w:tcPr>
            <w:tcW w:w="27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5733708" w14:textId="77777777" w:rsidR="003C629F" w:rsidRPr="003C629F" w:rsidRDefault="003C629F" w:rsidP="003C629F">
            <w:pPr>
              <w:spacing w:after="0"/>
              <w:ind w:left="720" w:hanging="360"/>
              <w:rPr>
                <w:rFonts w:eastAsia="Times New Roman" w:cs="Times New Roman"/>
                <w:sz w:val="22"/>
              </w:rPr>
            </w:pPr>
            <w:r w:rsidRPr="003C629F">
              <w:rPr>
                <w:rFonts w:ascii="Arial" w:eastAsia="Times New Roman" w:hAnsi="Arial" w:cs="Arial"/>
                <w:sz w:val="22"/>
                <w:lang w:val="en"/>
              </w:rPr>
              <w:t> </w:t>
            </w:r>
          </w:p>
        </w:tc>
        <w:tc>
          <w:tcPr>
            <w:tcW w:w="558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012E684" w14:textId="77777777" w:rsidR="003C629F" w:rsidRPr="003C629F" w:rsidRDefault="003C629F" w:rsidP="003C629F">
            <w:pPr>
              <w:spacing w:after="0"/>
              <w:rPr>
                <w:rFonts w:eastAsia="Times New Roman" w:cs="Times New Roman"/>
                <w:sz w:val="22"/>
              </w:rPr>
            </w:pPr>
            <w:r w:rsidRPr="003C629F">
              <w:rPr>
                <w:rFonts w:ascii="Arial" w:eastAsia="Times New Roman" w:hAnsi="Arial" w:cs="Arial"/>
                <w:sz w:val="22"/>
                <w:lang w:val="en"/>
              </w:rPr>
              <w:t>Age determination, lengths, maturity, and growth</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0022256B" w14:textId="77777777" w:rsidR="003C629F" w:rsidRPr="003C629F" w:rsidRDefault="003C629F" w:rsidP="003C629F">
            <w:pPr>
              <w:spacing w:after="0"/>
              <w:jc w:val="right"/>
              <w:rPr>
                <w:rFonts w:eastAsia="Times New Roman" w:cs="Times New Roman"/>
                <w:sz w:val="22"/>
              </w:rPr>
            </w:pPr>
            <w:r w:rsidRPr="003C629F">
              <w:rPr>
                <w:rFonts w:ascii="Arial" w:eastAsia="Times New Roman" w:hAnsi="Arial" w:cs="Arial"/>
                <w:sz w:val="22"/>
                <w:lang w:val="en"/>
              </w:rPr>
              <w:t>Pete Hulson, Chris Gburski, Delsa Anderl</w:t>
            </w:r>
          </w:p>
        </w:tc>
      </w:tr>
      <w:tr w:rsidR="003C629F" w:rsidRPr="003C629F" w14:paraId="12218B19" w14:textId="77777777" w:rsidTr="003C629F">
        <w:tc>
          <w:tcPr>
            <w:tcW w:w="5850" w:type="dxa"/>
            <w:gridSpan w:val="2"/>
            <w:tcBorders>
              <w:top w:val="nil"/>
              <w:left w:val="nil"/>
              <w:bottom w:val="single" w:sz="8" w:space="0" w:color="auto"/>
              <w:right w:val="nil"/>
            </w:tcBorders>
            <w:shd w:val="clear" w:color="auto" w:fill="FFFFFF"/>
            <w:tcMar>
              <w:top w:w="0" w:type="dxa"/>
              <w:left w:w="108" w:type="dxa"/>
              <w:bottom w:w="0" w:type="dxa"/>
              <w:right w:w="108" w:type="dxa"/>
            </w:tcMar>
            <w:hideMark/>
          </w:tcPr>
          <w:p w14:paraId="24531858" w14:textId="77777777" w:rsidR="003C629F" w:rsidRPr="003C629F" w:rsidRDefault="003C629F" w:rsidP="003C629F">
            <w:pPr>
              <w:spacing w:after="0"/>
              <w:rPr>
                <w:rFonts w:eastAsia="Times New Roman" w:cs="Times New Roman"/>
                <w:sz w:val="22"/>
              </w:rPr>
            </w:pPr>
            <w:r w:rsidRPr="003C629F">
              <w:rPr>
                <w:rFonts w:ascii="Arial" w:eastAsia="Times New Roman" w:hAnsi="Arial" w:cs="Arial"/>
                <w:bCs/>
                <w:color w:val="980000"/>
                <w:sz w:val="22"/>
                <w:lang w:val="en"/>
              </w:rPr>
              <w:t>4:00 PM - 5:00 PM:</w:t>
            </w:r>
            <w:r w:rsidRPr="003C629F">
              <w:rPr>
                <w:rFonts w:ascii="Arial" w:eastAsia="Times New Roman" w:hAnsi="Arial" w:cs="Arial"/>
                <w:bCs/>
                <w:sz w:val="22"/>
                <w:lang w:val="en"/>
              </w:rPr>
              <w:t> Discussions</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2D9A1D1" w14:textId="77777777" w:rsidR="003C629F" w:rsidRPr="003C629F" w:rsidRDefault="003C629F" w:rsidP="003C629F">
            <w:pPr>
              <w:spacing w:after="0"/>
              <w:ind w:left="720" w:hanging="360"/>
              <w:jc w:val="right"/>
              <w:rPr>
                <w:rFonts w:eastAsia="Times New Roman" w:cs="Times New Roman"/>
                <w:sz w:val="22"/>
              </w:rPr>
            </w:pPr>
            <w:r w:rsidRPr="003C629F">
              <w:rPr>
                <w:rFonts w:ascii="Arial" w:eastAsia="Times New Roman" w:hAnsi="Arial" w:cs="Arial"/>
                <w:bCs/>
                <w:sz w:val="22"/>
                <w:lang w:val="en"/>
              </w:rPr>
              <w:t> </w:t>
            </w:r>
          </w:p>
        </w:tc>
      </w:tr>
      <w:tr w:rsidR="003C629F" w:rsidRPr="003C629F" w14:paraId="2C2E9722" w14:textId="77777777" w:rsidTr="003C629F">
        <w:tc>
          <w:tcPr>
            <w:tcW w:w="5850" w:type="dxa"/>
            <w:gridSpan w:val="2"/>
            <w:tcBorders>
              <w:top w:val="nil"/>
              <w:left w:val="nil"/>
              <w:bottom w:val="single" w:sz="8" w:space="0" w:color="auto"/>
              <w:right w:val="nil"/>
            </w:tcBorders>
            <w:shd w:val="clear" w:color="auto" w:fill="FFFFFF"/>
            <w:tcMar>
              <w:top w:w="0" w:type="dxa"/>
              <w:left w:w="108" w:type="dxa"/>
              <w:bottom w:w="0" w:type="dxa"/>
              <w:right w:w="108" w:type="dxa"/>
            </w:tcMar>
            <w:hideMark/>
          </w:tcPr>
          <w:p w14:paraId="2BE1EC17" w14:textId="77777777" w:rsidR="003C629F" w:rsidRPr="003C629F" w:rsidRDefault="003C629F" w:rsidP="003C629F">
            <w:pPr>
              <w:spacing w:after="0"/>
              <w:ind w:left="720" w:hanging="360"/>
              <w:rPr>
                <w:rFonts w:eastAsia="Times New Roman" w:cs="Times New Roman"/>
                <w:sz w:val="22"/>
              </w:rPr>
            </w:pPr>
            <w:r w:rsidRPr="003C629F">
              <w:rPr>
                <w:rFonts w:ascii="Arial" w:eastAsia="Times New Roman" w:hAnsi="Arial" w:cs="Arial"/>
                <w:b/>
                <w:bCs/>
                <w:sz w:val="22"/>
                <w:lang w:val="en"/>
              </w:rPr>
              <w:t>W</w:t>
            </w:r>
            <w:bookmarkStart w:id="11" w:name="_qs7p0ql9hpnh"/>
            <w:bookmarkEnd w:id="11"/>
            <w:r w:rsidRPr="003C629F">
              <w:rPr>
                <w:rFonts w:ascii="Arial" w:eastAsia="Times New Roman" w:hAnsi="Arial" w:cs="Arial"/>
                <w:b/>
                <w:bCs/>
                <w:sz w:val="22"/>
                <w:lang w:val="en"/>
              </w:rPr>
              <w:t>ednesday, March 31</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52AF611" w14:textId="77777777" w:rsidR="003C629F" w:rsidRPr="003C629F" w:rsidRDefault="003C629F" w:rsidP="003C629F">
            <w:pPr>
              <w:spacing w:after="0"/>
              <w:ind w:left="720" w:hanging="360"/>
              <w:rPr>
                <w:rFonts w:eastAsia="Times New Roman" w:cs="Times New Roman"/>
                <w:sz w:val="22"/>
              </w:rPr>
            </w:pPr>
            <w:r w:rsidRPr="003C629F">
              <w:rPr>
                <w:rFonts w:ascii="Arial" w:eastAsia="Times New Roman" w:hAnsi="Arial" w:cs="Arial"/>
                <w:b/>
                <w:bCs/>
                <w:sz w:val="22"/>
                <w:lang w:val="en"/>
              </w:rPr>
              <w:t> </w:t>
            </w:r>
          </w:p>
        </w:tc>
      </w:tr>
      <w:tr w:rsidR="003C629F" w:rsidRPr="003C629F" w14:paraId="638803EF" w14:textId="77777777" w:rsidTr="003C629F">
        <w:tc>
          <w:tcPr>
            <w:tcW w:w="27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268CC98" w14:textId="77777777" w:rsidR="003C629F" w:rsidRPr="003C629F" w:rsidRDefault="003C629F" w:rsidP="003C629F">
            <w:pPr>
              <w:spacing w:after="0"/>
              <w:ind w:left="720" w:hanging="360"/>
              <w:rPr>
                <w:rFonts w:eastAsia="Times New Roman" w:cs="Times New Roman"/>
                <w:sz w:val="22"/>
              </w:rPr>
            </w:pPr>
            <w:r w:rsidRPr="003C629F">
              <w:rPr>
                <w:rFonts w:ascii="Arial" w:eastAsia="Times New Roman" w:hAnsi="Arial" w:cs="Arial"/>
                <w:sz w:val="22"/>
                <w:lang w:val="en"/>
              </w:rPr>
              <w:t> </w:t>
            </w:r>
          </w:p>
        </w:tc>
        <w:tc>
          <w:tcPr>
            <w:tcW w:w="558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97DA382" w14:textId="77777777" w:rsidR="003C629F" w:rsidRPr="003C629F" w:rsidRDefault="003C629F" w:rsidP="003C629F">
            <w:pPr>
              <w:spacing w:after="0"/>
              <w:rPr>
                <w:rFonts w:eastAsia="Times New Roman" w:cs="Times New Roman"/>
                <w:sz w:val="22"/>
              </w:rPr>
            </w:pPr>
            <w:r w:rsidRPr="003C629F">
              <w:rPr>
                <w:rFonts w:ascii="Arial" w:eastAsia="Times New Roman" w:hAnsi="Arial" w:cs="Arial"/>
                <w:color w:val="980000"/>
                <w:sz w:val="22"/>
                <w:lang w:val="en"/>
              </w:rPr>
              <w:t>Field-based catchability</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43F68639" w14:textId="77777777" w:rsidR="003C629F" w:rsidRPr="003C629F" w:rsidRDefault="003C629F" w:rsidP="003C629F">
            <w:pPr>
              <w:spacing w:after="0"/>
              <w:ind w:left="720" w:hanging="360"/>
              <w:jc w:val="right"/>
              <w:rPr>
                <w:rFonts w:eastAsia="Times New Roman" w:cs="Times New Roman"/>
                <w:sz w:val="22"/>
              </w:rPr>
            </w:pPr>
            <w:r w:rsidRPr="003C629F">
              <w:rPr>
                <w:rFonts w:ascii="Arial" w:eastAsia="Times New Roman" w:hAnsi="Arial" w:cs="Arial"/>
                <w:sz w:val="22"/>
                <w:lang w:val="en"/>
              </w:rPr>
              <w:t> </w:t>
            </w:r>
          </w:p>
        </w:tc>
      </w:tr>
      <w:tr w:rsidR="003C629F" w:rsidRPr="003C629F" w14:paraId="6C95E0F1" w14:textId="77777777" w:rsidTr="003C629F">
        <w:tc>
          <w:tcPr>
            <w:tcW w:w="5850" w:type="dxa"/>
            <w:gridSpan w:val="2"/>
            <w:tcBorders>
              <w:top w:val="nil"/>
              <w:left w:val="nil"/>
              <w:bottom w:val="single" w:sz="8" w:space="0" w:color="auto"/>
              <w:right w:val="nil"/>
            </w:tcBorders>
            <w:shd w:val="clear" w:color="auto" w:fill="FFFFFF"/>
            <w:tcMar>
              <w:top w:w="0" w:type="dxa"/>
              <w:left w:w="108" w:type="dxa"/>
              <w:bottom w:w="0" w:type="dxa"/>
              <w:right w:w="108" w:type="dxa"/>
            </w:tcMar>
            <w:hideMark/>
          </w:tcPr>
          <w:p w14:paraId="740BCFBF" w14:textId="77777777" w:rsidR="003C629F" w:rsidRPr="003C629F" w:rsidRDefault="003C629F" w:rsidP="003C629F">
            <w:pPr>
              <w:spacing w:after="0"/>
              <w:rPr>
                <w:rFonts w:eastAsia="Times New Roman" w:cs="Times New Roman"/>
                <w:sz w:val="22"/>
              </w:rPr>
            </w:pPr>
            <w:r w:rsidRPr="003C629F">
              <w:rPr>
                <w:rFonts w:ascii="Arial" w:eastAsia="Times New Roman" w:hAnsi="Arial" w:cs="Arial"/>
                <w:bCs/>
                <w:color w:val="980000"/>
                <w:sz w:val="22"/>
                <w:lang w:val="en"/>
              </w:rPr>
              <w:t>10:00 AM – 11:30 AM</w:t>
            </w:r>
            <w:r w:rsidRPr="003C629F">
              <w:rPr>
                <w:rFonts w:ascii="Arial" w:eastAsia="Times New Roman" w:hAnsi="Arial" w:cs="Arial"/>
                <w:color w:val="980000"/>
                <w:sz w:val="22"/>
                <w:lang w:val="en"/>
              </w:rPr>
              <w:t>:</w:t>
            </w:r>
            <w:r w:rsidRPr="003C629F">
              <w:rPr>
                <w:rFonts w:ascii="Arial" w:eastAsia="Times New Roman" w:hAnsi="Arial" w:cs="Arial"/>
                <w:bCs/>
                <w:sz w:val="22"/>
                <w:lang w:val="en"/>
              </w:rPr>
              <w:t> Assessment model</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042DD01F" w14:textId="77777777" w:rsidR="003C629F" w:rsidRPr="003C629F" w:rsidRDefault="003C629F" w:rsidP="003C629F">
            <w:pPr>
              <w:spacing w:after="0"/>
              <w:jc w:val="right"/>
              <w:rPr>
                <w:rFonts w:eastAsia="Times New Roman" w:cs="Times New Roman"/>
                <w:sz w:val="22"/>
              </w:rPr>
            </w:pPr>
            <w:r w:rsidRPr="003C629F">
              <w:rPr>
                <w:rFonts w:ascii="Arial" w:eastAsia="Times New Roman" w:hAnsi="Arial" w:cs="Arial"/>
                <w:sz w:val="22"/>
                <w:lang w:val="en"/>
              </w:rPr>
              <w:t>Pete Hulson</w:t>
            </w:r>
          </w:p>
        </w:tc>
      </w:tr>
      <w:tr w:rsidR="003C629F" w:rsidRPr="003C629F" w14:paraId="70B0B167" w14:textId="77777777" w:rsidTr="003C629F">
        <w:tc>
          <w:tcPr>
            <w:tcW w:w="27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4CE379C8" w14:textId="77777777" w:rsidR="003C629F" w:rsidRPr="003C629F" w:rsidRDefault="003C629F" w:rsidP="003C629F">
            <w:pPr>
              <w:spacing w:after="0"/>
              <w:ind w:left="720" w:hanging="360"/>
              <w:rPr>
                <w:rFonts w:eastAsia="Times New Roman" w:cs="Times New Roman"/>
                <w:sz w:val="22"/>
              </w:rPr>
            </w:pPr>
            <w:r w:rsidRPr="003C629F">
              <w:rPr>
                <w:rFonts w:ascii="Arial" w:eastAsia="Times New Roman" w:hAnsi="Arial" w:cs="Arial"/>
                <w:sz w:val="22"/>
                <w:lang w:val="en"/>
              </w:rPr>
              <w:t> </w:t>
            </w:r>
          </w:p>
        </w:tc>
        <w:tc>
          <w:tcPr>
            <w:tcW w:w="558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4DC3CDCA" w14:textId="77777777" w:rsidR="003C629F" w:rsidRPr="003C629F" w:rsidRDefault="003C629F" w:rsidP="003C629F">
            <w:pPr>
              <w:spacing w:after="0"/>
              <w:rPr>
                <w:rFonts w:eastAsia="Times New Roman" w:cs="Times New Roman"/>
                <w:sz w:val="22"/>
              </w:rPr>
            </w:pPr>
            <w:r w:rsidRPr="003C629F">
              <w:rPr>
                <w:rFonts w:ascii="Arial" w:eastAsia="Times New Roman" w:hAnsi="Arial" w:cs="Arial"/>
                <w:sz w:val="22"/>
                <w:lang w:val="en"/>
              </w:rPr>
              <w:t>Model structure, likelihoods, data weighting, parameter estimates, data fit, diagnostics</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6BBA99F1" w14:textId="77777777" w:rsidR="003C629F" w:rsidRPr="003C629F" w:rsidRDefault="003C629F" w:rsidP="003C629F">
            <w:pPr>
              <w:spacing w:after="0"/>
              <w:ind w:left="720" w:hanging="360"/>
              <w:rPr>
                <w:rFonts w:eastAsia="Times New Roman" w:cs="Times New Roman"/>
                <w:sz w:val="22"/>
              </w:rPr>
            </w:pPr>
            <w:r w:rsidRPr="003C629F">
              <w:rPr>
                <w:rFonts w:ascii="Arial" w:eastAsia="Times New Roman" w:hAnsi="Arial" w:cs="Arial"/>
                <w:sz w:val="22"/>
                <w:lang w:val="en"/>
              </w:rPr>
              <w:t> </w:t>
            </w:r>
          </w:p>
        </w:tc>
      </w:tr>
      <w:tr w:rsidR="003C629F" w:rsidRPr="003C629F" w14:paraId="2946277C" w14:textId="77777777" w:rsidTr="003C629F">
        <w:tc>
          <w:tcPr>
            <w:tcW w:w="5850" w:type="dxa"/>
            <w:gridSpan w:val="2"/>
            <w:tcBorders>
              <w:top w:val="nil"/>
              <w:left w:val="nil"/>
              <w:bottom w:val="single" w:sz="8" w:space="0" w:color="auto"/>
              <w:right w:val="nil"/>
            </w:tcBorders>
            <w:shd w:val="clear" w:color="auto" w:fill="FFFFFF"/>
            <w:tcMar>
              <w:top w:w="0" w:type="dxa"/>
              <w:left w:w="108" w:type="dxa"/>
              <w:bottom w:w="0" w:type="dxa"/>
              <w:right w:w="108" w:type="dxa"/>
            </w:tcMar>
            <w:hideMark/>
          </w:tcPr>
          <w:p w14:paraId="4592AA30" w14:textId="77777777" w:rsidR="003C629F" w:rsidRPr="003C629F" w:rsidRDefault="003C629F" w:rsidP="003C629F">
            <w:pPr>
              <w:spacing w:after="0"/>
              <w:rPr>
                <w:rFonts w:eastAsia="Times New Roman" w:cs="Times New Roman"/>
                <w:sz w:val="22"/>
              </w:rPr>
            </w:pPr>
            <w:r w:rsidRPr="003C629F">
              <w:rPr>
                <w:rFonts w:ascii="Arial" w:eastAsia="Times New Roman" w:hAnsi="Arial" w:cs="Arial"/>
                <w:bCs/>
                <w:color w:val="980000"/>
                <w:sz w:val="22"/>
                <w:lang w:val="en"/>
              </w:rPr>
              <w:lastRenderedPageBreak/>
              <w:t>11:45 AM - 1:00 PM:</w:t>
            </w:r>
            <w:r w:rsidRPr="003C629F">
              <w:rPr>
                <w:rFonts w:ascii="Arial" w:eastAsia="Times New Roman" w:hAnsi="Arial" w:cs="Arial"/>
                <w:bCs/>
                <w:sz w:val="22"/>
                <w:lang w:val="en"/>
              </w:rPr>
              <w:t> Discussions</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697D153" w14:textId="77777777" w:rsidR="003C629F" w:rsidRPr="003C629F" w:rsidRDefault="003C629F" w:rsidP="003C629F">
            <w:pPr>
              <w:spacing w:after="0"/>
              <w:ind w:left="720" w:hanging="360"/>
              <w:rPr>
                <w:rFonts w:eastAsia="Times New Roman" w:cs="Times New Roman"/>
                <w:sz w:val="22"/>
              </w:rPr>
            </w:pPr>
            <w:r w:rsidRPr="003C629F">
              <w:rPr>
                <w:rFonts w:ascii="Arial" w:eastAsia="Times New Roman" w:hAnsi="Arial" w:cs="Arial"/>
                <w:color w:val="980000"/>
                <w:sz w:val="22"/>
                <w:lang w:val="en"/>
              </w:rPr>
              <w:t> </w:t>
            </w:r>
          </w:p>
        </w:tc>
      </w:tr>
      <w:tr w:rsidR="003C629F" w:rsidRPr="003C629F" w14:paraId="657940AE" w14:textId="77777777" w:rsidTr="003C629F">
        <w:tc>
          <w:tcPr>
            <w:tcW w:w="5850" w:type="dxa"/>
            <w:gridSpan w:val="2"/>
            <w:tcBorders>
              <w:top w:val="nil"/>
              <w:left w:val="nil"/>
              <w:bottom w:val="single" w:sz="8" w:space="0" w:color="auto"/>
              <w:right w:val="nil"/>
            </w:tcBorders>
            <w:shd w:val="clear" w:color="auto" w:fill="FFFFFF"/>
            <w:tcMar>
              <w:top w:w="0" w:type="dxa"/>
              <w:left w:w="108" w:type="dxa"/>
              <w:bottom w:w="0" w:type="dxa"/>
              <w:right w:w="108" w:type="dxa"/>
            </w:tcMar>
            <w:hideMark/>
          </w:tcPr>
          <w:p w14:paraId="03657AB8" w14:textId="77777777" w:rsidR="003C629F" w:rsidRPr="003C629F" w:rsidRDefault="003C629F" w:rsidP="003C629F">
            <w:pPr>
              <w:spacing w:after="0"/>
              <w:rPr>
                <w:rFonts w:eastAsia="Times New Roman" w:cs="Times New Roman"/>
                <w:sz w:val="22"/>
              </w:rPr>
            </w:pPr>
            <w:r w:rsidRPr="003C629F">
              <w:rPr>
                <w:rFonts w:ascii="Arial" w:eastAsia="Times New Roman" w:hAnsi="Arial" w:cs="Arial"/>
                <w:bCs/>
                <w:color w:val="980000"/>
                <w:sz w:val="22"/>
                <w:lang w:val="en"/>
              </w:rPr>
              <w:t>2:00 PM - 3:45 PM: </w:t>
            </w:r>
            <w:r w:rsidRPr="003C629F">
              <w:rPr>
                <w:rFonts w:ascii="Arial" w:eastAsia="Times New Roman" w:hAnsi="Arial" w:cs="Arial"/>
                <w:bCs/>
                <w:sz w:val="22"/>
                <w:lang w:val="en"/>
              </w:rPr>
              <w:t>Parameters, priors, diagnostics</w:t>
            </w:r>
          </w:p>
          <w:p w14:paraId="6721A0EF" w14:textId="77777777" w:rsidR="003C629F" w:rsidRPr="003C629F" w:rsidRDefault="003C629F" w:rsidP="003C629F">
            <w:pPr>
              <w:spacing w:after="0"/>
              <w:rPr>
                <w:rFonts w:eastAsia="Times New Roman" w:cs="Times New Roman"/>
                <w:sz w:val="22"/>
              </w:rPr>
            </w:pPr>
            <w:r w:rsidRPr="003C629F">
              <w:rPr>
                <w:rFonts w:ascii="Arial" w:eastAsia="Times New Roman" w:hAnsi="Arial" w:cs="Arial"/>
                <w:sz w:val="22"/>
                <w:lang w:val="en"/>
              </w:rPr>
              <w:t>Pete Hulson</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027E497" w14:textId="77777777" w:rsidR="003C629F" w:rsidRPr="003C629F" w:rsidRDefault="003C629F" w:rsidP="003C629F">
            <w:pPr>
              <w:spacing w:after="0"/>
              <w:ind w:left="720" w:hanging="360"/>
              <w:rPr>
                <w:rFonts w:eastAsia="Times New Roman" w:cs="Times New Roman"/>
                <w:sz w:val="22"/>
              </w:rPr>
            </w:pPr>
            <w:r w:rsidRPr="003C629F">
              <w:rPr>
                <w:rFonts w:ascii="Arial" w:eastAsia="Times New Roman" w:hAnsi="Arial" w:cs="Arial"/>
                <w:sz w:val="22"/>
                <w:lang w:val="en"/>
              </w:rPr>
              <w:t> </w:t>
            </w:r>
          </w:p>
        </w:tc>
      </w:tr>
      <w:tr w:rsidR="003C629F" w:rsidRPr="003C629F" w14:paraId="4ECF99C2" w14:textId="77777777" w:rsidTr="003C629F">
        <w:tc>
          <w:tcPr>
            <w:tcW w:w="27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77B34C84" w14:textId="77777777" w:rsidR="003C629F" w:rsidRPr="003C629F" w:rsidRDefault="003C629F" w:rsidP="003C629F">
            <w:pPr>
              <w:spacing w:after="0"/>
              <w:ind w:left="720" w:hanging="360"/>
              <w:rPr>
                <w:rFonts w:eastAsia="Times New Roman" w:cs="Times New Roman"/>
                <w:sz w:val="22"/>
              </w:rPr>
            </w:pPr>
            <w:r w:rsidRPr="003C629F">
              <w:rPr>
                <w:rFonts w:ascii="Arial" w:eastAsia="Times New Roman" w:hAnsi="Arial" w:cs="Arial"/>
                <w:color w:val="980000"/>
                <w:sz w:val="22"/>
                <w:lang w:val="en"/>
              </w:rPr>
              <w:t> </w:t>
            </w:r>
          </w:p>
        </w:tc>
        <w:tc>
          <w:tcPr>
            <w:tcW w:w="558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48B6714" w14:textId="77777777" w:rsidR="003C629F" w:rsidRPr="003C629F" w:rsidRDefault="003C629F" w:rsidP="003C629F">
            <w:pPr>
              <w:spacing w:after="0"/>
              <w:rPr>
                <w:rFonts w:eastAsia="Times New Roman" w:cs="Times New Roman"/>
                <w:sz w:val="22"/>
              </w:rPr>
            </w:pPr>
            <w:r w:rsidRPr="003C629F">
              <w:rPr>
                <w:rFonts w:ascii="Arial" w:eastAsia="Times New Roman" w:hAnsi="Arial" w:cs="Arial"/>
                <w:sz w:val="22"/>
                <w:lang w:val="en"/>
              </w:rPr>
              <w:t>Catchabilities, </w:t>
            </w:r>
            <w:proofErr w:type="spellStart"/>
            <w:r w:rsidRPr="003C629F">
              <w:rPr>
                <w:rFonts w:ascii="Arial" w:eastAsia="Times New Roman" w:hAnsi="Arial" w:cs="Arial"/>
                <w:sz w:val="22"/>
                <w:lang w:val="en"/>
              </w:rPr>
              <w:t>selectivities</w:t>
            </w:r>
            <w:proofErr w:type="spellEnd"/>
            <w:r w:rsidRPr="003C629F">
              <w:rPr>
                <w:rFonts w:ascii="Arial" w:eastAsia="Times New Roman" w:hAnsi="Arial" w:cs="Arial"/>
                <w:sz w:val="22"/>
                <w:lang w:val="en"/>
              </w:rPr>
              <w:t>, model fits, diagnostics</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62FE3F4F" w14:textId="77777777" w:rsidR="003C629F" w:rsidRPr="003C629F" w:rsidRDefault="003C629F" w:rsidP="003C629F">
            <w:pPr>
              <w:spacing w:after="0"/>
              <w:ind w:left="720" w:hanging="360"/>
              <w:rPr>
                <w:rFonts w:eastAsia="Times New Roman" w:cs="Times New Roman"/>
                <w:sz w:val="22"/>
              </w:rPr>
            </w:pPr>
            <w:r w:rsidRPr="003C629F">
              <w:rPr>
                <w:rFonts w:ascii="Arial" w:eastAsia="Times New Roman" w:hAnsi="Arial" w:cs="Arial"/>
                <w:color w:val="980000"/>
                <w:sz w:val="22"/>
                <w:lang w:val="en"/>
              </w:rPr>
              <w:t> </w:t>
            </w:r>
          </w:p>
        </w:tc>
      </w:tr>
      <w:tr w:rsidR="003C629F" w:rsidRPr="003C629F" w14:paraId="2FFAEE20" w14:textId="77777777" w:rsidTr="003C629F">
        <w:tc>
          <w:tcPr>
            <w:tcW w:w="5850" w:type="dxa"/>
            <w:gridSpan w:val="2"/>
            <w:tcBorders>
              <w:top w:val="nil"/>
              <w:left w:val="nil"/>
              <w:bottom w:val="single" w:sz="8" w:space="0" w:color="auto"/>
              <w:right w:val="nil"/>
            </w:tcBorders>
            <w:shd w:val="clear" w:color="auto" w:fill="FFFFFF"/>
            <w:tcMar>
              <w:top w:w="0" w:type="dxa"/>
              <w:left w:w="108" w:type="dxa"/>
              <w:bottom w:w="0" w:type="dxa"/>
              <w:right w:w="108" w:type="dxa"/>
            </w:tcMar>
            <w:hideMark/>
          </w:tcPr>
          <w:p w14:paraId="0D4A7C13" w14:textId="77777777" w:rsidR="003C629F" w:rsidRPr="003C629F" w:rsidRDefault="003C629F" w:rsidP="003C629F">
            <w:pPr>
              <w:spacing w:after="0"/>
              <w:rPr>
                <w:rFonts w:eastAsia="Times New Roman" w:cs="Times New Roman"/>
                <w:sz w:val="22"/>
              </w:rPr>
            </w:pPr>
            <w:r w:rsidRPr="003C629F">
              <w:rPr>
                <w:rFonts w:ascii="Arial" w:eastAsia="Times New Roman" w:hAnsi="Arial" w:cs="Arial"/>
                <w:bCs/>
                <w:color w:val="980000"/>
                <w:sz w:val="22"/>
                <w:lang w:val="en"/>
              </w:rPr>
              <w:t>4:00 PM - 5:00: </w:t>
            </w:r>
            <w:r w:rsidRPr="003C629F">
              <w:rPr>
                <w:rFonts w:ascii="Arial" w:eastAsia="Times New Roman" w:hAnsi="Arial" w:cs="Arial"/>
                <w:bCs/>
                <w:sz w:val="22"/>
                <w:lang w:val="en"/>
              </w:rPr>
              <w:t>Discussion</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7D869B26" w14:textId="77777777" w:rsidR="003C629F" w:rsidRPr="003C629F" w:rsidRDefault="003C629F" w:rsidP="003C629F">
            <w:pPr>
              <w:spacing w:after="0"/>
              <w:ind w:left="720" w:hanging="360"/>
              <w:rPr>
                <w:rFonts w:eastAsia="Times New Roman" w:cs="Times New Roman"/>
                <w:sz w:val="22"/>
              </w:rPr>
            </w:pPr>
            <w:r w:rsidRPr="003C629F">
              <w:rPr>
                <w:rFonts w:ascii="Arial" w:eastAsia="Times New Roman" w:hAnsi="Arial" w:cs="Arial"/>
                <w:color w:val="980000"/>
                <w:sz w:val="22"/>
                <w:lang w:val="en"/>
              </w:rPr>
              <w:t> </w:t>
            </w:r>
          </w:p>
        </w:tc>
      </w:tr>
      <w:tr w:rsidR="003C629F" w:rsidRPr="003C629F" w14:paraId="7AAB476E" w14:textId="77777777" w:rsidTr="003C629F">
        <w:tc>
          <w:tcPr>
            <w:tcW w:w="5850" w:type="dxa"/>
            <w:gridSpan w:val="2"/>
            <w:tcBorders>
              <w:top w:val="nil"/>
              <w:left w:val="nil"/>
              <w:bottom w:val="single" w:sz="8" w:space="0" w:color="auto"/>
              <w:right w:val="nil"/>
            </w:tcBorders>
            <w:shd w:val="clear" w:color="auto" w:fill="FFFFFF"/>
            <w:tcMar>
              <w:top w:w="0" w:type="dxa"/>
              <w:left w:w="108" w:type="dxa"/>
              <w:bottom w:w="0" w:type="dxa"/>
              <w:right w:w="108" w:type="dxa"/>
            </w:tcMar>
            <w:hideMark/>
          </w:tcPr>
          <w:p w14:paraId="488E1C10" w14:textId="77777777" w:rsidR="003C629F" w:rsidRPr="003C629F" w:rsidRDefault="003C629F" w:rsidP="003C629F">
            <w:pPr>
              <w:spacing w:after="0"/>
              <w:ind w:left="720" w:hanging="360"/>
              <w:rPr>
                <w:rFonts w:eastAsia="Times New Roman" w:cs="Times New Roman"/>
                <w:sz w:val="22"/>
              </w:rPr>
            </w:pPr>
            <w:r w:rsidRPr="003C629F">
              <w:rPr>
                <w:rFonts w:ascii="Arial" w:eastAsia="Times New Roman" w:hAnsi="Arial" w:cs="Arial"/>
                <w:b/>
                <w:bCs/>
                <w:sz w:val="22"/>
                <w:lang w:val="en"/>
              </w:rPr>
              <w:t>T</w:t>
            </w:r>
            <w:bookmarkStart w:id="12" w:name="_9y954sl5kn4c"/>
            <w:bookmarkEnd w:id="12"/>
            <w:r w:rsidRPr="003C629F">
              <w:rPr>
                <w:rFonts w:ascii="Arial" w:eastAsia="Times New Roman" w:hAnsi="Arial" w:cs="Arial"/>
                <w:b/>
                <w:bCs/>
                <w:sz w:val="22"/>
                <w:lang w:val="en"/>
              </w:rPr>
              <w:t>hursday, April 1</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0ED774DF" w14:textId="77777777" w:rsidR="003C629F" w:rsidRPr="003C629F" w:rsidRDefault="003C629F" w:rsidP="003C629F">
            <w:pPr>
              <w:spacing w:after="0"/>
              <w:ind w:left="720" w:hanging="360"/>
              <w:rPr>
                <w:rFonts w:eastAsia="Times New Roman" w:cs="Times New Roman"/>
                <w:sz w:val="22"/>
              </w:rPr>
            </w:pPr>
            <w:r w:rsidRPr="003C629F">
              <w:rPr>
                <w:rFonts w:ascii="Arial" w:eastAsia="Times New Roman" w:hAnsi="Arial" w:cs="Arial"/>
                <w:b/>
                <w:bCs/>
                <w:sz w:val="22"/>
                <w:lang w:val="en"/>
              </w:rPr>
              <w:t> </w:t>
            </w:r>
          </w:p>
        </w:tc>
      </w:tr>
      <w:tr w:rsidR="003C629F" w:rsidRPr="003C629F" w14:paraId="0A2ADD6E" w14:textId="77777777" w:rsidTr="003C629F">
        <w:tc>
          <w:tcPr>
            <w:tcW w:w="27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7E03E8D" w14:textId="77777777" w:rsidR="003C629F" w:rsidRPr="003C629F" w:rsidRDefault="003C629F" w:rsidP="003C629F">
            <w:pPr>
              <w:spacing w:after="0"/>
              <w:ind w:left="720" w:hanging="360"/>
              <w:rPr>
                <w:rFonts w:eastAsia="Times New Roman" w:cs="Times New Roman"/>
                <w:sz w:val="22"/>
              </w:rPr>
            </w:pPr>
            <w:r w:rsidRPr="003C629F">
              <w:rPr>
                <w:rFonts w:ascii="Arial" w:eastAsia="Times New Roman" w:hAnsi="Arial" w:cs="Arial"/>
                <w:sz w:val="22"/>
                <w:lang w:val="en"/>
              </w:rPr>
              <w:t> </w:t>
            </w:r>
          </w:p>
        </w:tc>
        <w:tc>
          <w:tcPr>
            <w:tcW w:w="9080" w:type="dxa"/>
            <w:gridSpan w:val="2"/>
            <w:tcBorders>
              <w:top w:val="nil"/>
              <w:left w:val="nil"/>
              <w:bottom w:val="single" w:sz="8" w:space="0" w:color="auto"/>
              <w:right w:val="nil"/>
            </w:tcBorders>
            <w:shd w:val="clear" w:color="auto" w:fill="FFFFFF"/>
            <w:tcMar>
              <w:top w:w="0" w:type="dxa"/>
              <w:left w:w="108" w:type="dxa"/>
              <w:bottom w:w="0" w:type="dxa"/>
              <w:right w:w="108" w:type="dxa"/>
            </w:tcMar>
            <w:hideMark/>
          </w:tcPr>
          <w:p w14:paraId="10CC56CE" w14:textId="77777777" w:rsidR="003C629F" w:rsidRPr="003C629F" w:rsidRDefault="003C629F" w:rsidP="003C629F">
            <w:pPr>
              <w:spacing w:after="0"/>
              <w:rPr>
                <w:rFonts w:eastAsia="Times New Roman" w:cs="Times New Roman"/>
                <w:sz w:val="22"/>
              </w:rPr>
            </w:pPr>
            <w:r w:rsidRPr="003C629F">
              <w:rPr>
                <w:rFonts w:ascii="Arial" w:eastAsia="Times New Roman" w:hAnsi="Arial" w:cs="Arial"/>
                <w:sz w:val="22"/>
                <w:lang w:val="en"/>
              </w:rPr>
              <w:t>Pre-recorded presentations to review: </w:t>
            </w:r>
            <w:r w:rsidRPr="003C629F">
              <w:rPr>
                <w:rFonts w:ascii="Arial" w:eastAsia="Times New Roman" w:hAnsi="Arial" w:cs="Arial"/>
                <w:color w:val="980000"/>
                <w:sz w:val="22"/>
                <w:lang w:val="en"/>
              </w:rPr>
              <w:t>Acoustic survey</w:t>
            </w:r>
          </w:p>
        </w:tc>
      </w:tr>
      <w:tr w:rsidR="003C629F" w:rsidRPr="003C629F" w14:paraId="2EDCA0A6" w14:textId="77777777" w:rsidTr="003C629F">
        <w:tc>
          <w:tcPr>
            <w:tcW w:w="5850" w:type="dxa"/>
            <w:gridSpan w:val="2"/>
            <w:tcBorders>
              <w:top w:val="nil"/>
              <w:left w:val="nil"/>
              <w:bottom w:val="single" w:sz="8" w:space="0" w:color="auto"/>
              <w:right w:val="nil"/>
            </w:tcBorders>
            <w:shd w:val="clear" w:color="auto" w:fill="FFFFFF"/>
            <w:tcMar>
              <w:top w:w="0" w:type="dxa"/>
              <w:left w:w="108" w:type="dxa"/>
              <w:bottom w:w="0" w:type="dxa"/>
              <w:right w:w="108" w:type="dxa"/>
            </w:tcMar>
            <w:hideMark/>
          </w:tcPr>
          <w:p w14:paraId="297D681B" w14:textId="77777777" w:rsidR="003C629F" w:rsidRPr="003C629F" w:rsidRDefault="003C629F" w:rsidP="003C629F">
            <w:pPr>
              <w:spacing w:after="0"/>
              <w:rPr>
                <w:rFonts w:eastAsia="Times New Roman" w:cs="Times New Roman"/>
                <w:sz w:val="22"/>
              </w:rPr>
            </w:pPr>
            <w:r w:rsidRPr="003C629F">
              <w:rPr>
                <w:rFonts w:ascii="Arial" w:eastAsia="Times New Roman" w:hAnsi="Arial" w:cs="Arial"/>
                <w:bCs/>
                <w:color w:val="980000"/>
                <w:sz w:val="22"/>
                <w:lang w:val="en"/>
              </w:rPr>
              <w:t>10:00 AM – 11:30 AM:</w:t>
            </w:r>
            <w:r w:rsidRPr="003C629F">
              <w:rPr>
                <w:rFonts w:ascii="Arial" w:eastAsia="Times New Roman" w:hAnsi="Arial" w:cs="Arial"/>
                <w:sz w:val="22"/>
                <w:lang w:val="en"/>
              </w:rPr>
              <w:t> </w:t>
            </w:r>
            <w:r w:rsidRPr="003C629F">
              <w:rPr>
                <w:rFonts w:ascii="Arial" w:eastAsia="Times New Roman" w:hAnsi="Arial" w:cs="Arial"/>
                <w:bCs/>
                <w:sz w:val="22"/>
                <w:lang w:val="en"/>
              </w:rPr>
              <w:t>Model developments</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4B0F8E8D" w14:textId="77777777" w:rsidR="003C629F" w:rsidRPr="003C629F" w:rsidRDefault="003C629F" w:rsidP="003C629F">
            <w:pPr>
              <w:spacing w:after="0"/>
              <w:ind w:left="720" w:hanging="360"/>
              <w:rPr>
                <w:rFonts w:eastAsia="Times New Roman" w:cs="Times New Roman"/>
                <w:sz w:val="22"/>
              </w:rPr>
            </w:pPr>
            <w:r w:rsidRPr="003C629F">
              <w:rPr>
                <w:rFonts w:ascii="Arial" w:eastAsia="Times New Roman" w:hAnsi="Arial" w:cs="Arial"/>
                <w:sz w:val="22"/>
                <w:lang w:val="en"/>
              </w:rPr>
              <w:t> </w:t>
            </w:r>
          </w:p>
        </w:tc>
      </w:tr>
      <w:tr w:rsidR="003C629F" w:rsidRPr="003C629F" w14:paraId="2D732983" w14:textId="77777777" w:rsidTr="003C629F">
        <w:tc>
          <w:tcPr>
            <w:tcW w:w="27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610BC995" w14:textId="77777777" w:rsidR="003C629F" w:rsidRPr="003C629F" w:rsidRDefault="003C629F" w:rsidP="003C629F">
            <w:pPr>
              <w:spacing w:after="0"/>
              <w:ind w:left="720" w:hanging="360"/>
              <w:rPr>
                <w:rFonts w:eastAsia="Times New Roman" w:cs="Times New Roman"/>
                <w:sz w:val="22"/>
              </w:rPr>
            </w:pPr>
            <w:r w:rsidRPr="003C629F">
              <w:rPr>
                <w:rFonts w:ascii="Arial" w:eastAsia="Times New Roman" w:hAnsi="Arial" w:cs="Arial"/>
                <w:sz w:val="22"/>
                <w:lang w:val="en"/>
              </w:rPr>
              <w:t> </w:t>
            </w:r>
          </w:p>
        </w:tc>
        <w:tc>
          <w:tcPr>
            <w:tcW w:w="558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C414BB2" w14:textId="77777777" w:rsidR="003C629F" w:rsidRPr="003C629F" w:rsidRDefault="003C629F" w:rsidP="003C629F">
            <w:pPr>
              <w:spacing w:after="0"/>
              <w:rPr>
                <w:rFonts w:eastAsia="Times New Roman" w:cs="Times New Roman"/>
                <w:sz w:val="22"/>
              </w:rPr>
            </w:pPr>
            <w:r w:rsidRPr="003C629F">
              <w:rPr>
                <w:rFonts w:ascii="Arial" w:eastAsia="Times New Roman" w:hAnsi="Arial" w:cs="Arial"/>
                <w:sz w:val="22"/>
                <w:lang w:val="en"/>
              </w:rPr>
              <w:t>Incorporation of acoustic information </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001BB17" w14:textId="77777777" w:rsidR="003C629F" w:rsidRPr="003C629F" w:rsidRDefault="003C629F" w:rsidP="003C629F">
            <w:pPr>
              <w:spacing w:after="0"/>
              <w:jc w:val="right"/>
              <w:rPr>
                <w:rFonts w:eastAsia="Times New Roman" w:cs="Times New Roman"/>
                <w:sz w:val="22"/>
              </w:rPr>
            </w:pPr>
            <w:r w:rsidRPr="003C629F">
              <w:rPr>
                <w:rFonts w:ascii="Arial" w:eastAsia="Times New Roman" w:hAnsi="Arial" w:cs="Arial"/>
                <w:sz w:val="22"/>
                <w:lang w:val="en"/>
              </w:rPr>
              <w:t>Pete Hulson, Darin Jones</w:t>
            </w:r>
          </w:p>
        </w:tc>
      </w:tr>
      <w:tr w:rsidR="003C629F" w:rsidRPr="003C629F" w14:paraId="2B323570" w14:textId="77777777" w:rsidTr="003C629F">
        <w:tc>
          <w:tcPr>
            <w:tcW w:w="27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360C5D5C" w14:textId="77777777" w:rsidR="003C629F" w:rsidRPr="003C629F" w:rsidRDefault="003C629F" w:rsidP="003C629F">
            <w:pPr>
              <w:spacing w:after="0"/>
              <w:ind w:left="720" w:hanging="360"/>
              <w:rPr>
                <w:rFonts w:eastAsia="Times New Roman" w:cs="Times New Roman"/>
                <w:sz w:val="22"/>
              </w:rPr>
            </w:pPr>
            <w:r w:rsidRPr="003C629F">
              <w:rPr>
                <w:rFonts w:ascii="Arial" w:eastAsia="Times New Roman" w:hAnsi="Arial" w:cs="Arial"/>
                <w:sz w:val="22"/>
                <w:lang w:val="en"/>
              </w:rPr>
              <w:t> </w:t>
            </w:r>
          </w:p>
        </w:tc>
        <w:tc>
          <w:tcPr>
            <w:tcW w:w="558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36652F0" w14:textId="77777777" w:rsidR="003C629F" w:rsidRPr="003C629F" w:rsidRDefault="003C629F" w:rsidP="003C629F">
            <w:pPr>
              <w:spacing w:after="0"/>
              <w:rPr>
                <w:rFonts w:eastAsia="Times New Roman" w:cs="Times New Roman"/>
                <w:sz w:val="22"/>
              </w:rPr>
            </w:pPr>
            <w:r w:rsidRPr="003C629F">
              <w:rPr>
                <w:rFonts w:ascii="Arial" w:eastAsia="Times New Roman" w:hAnsi="Arial" w:cs="Arial"/>
                <w:sz w:val="22"/>
                <w:lang w:val="en"/>
              </w:rPr>
              <w:t>Incorporation of model-based index</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78883B9" w14:textId="77777777" w:rsidR="003C629F" w:rsidRPr="003C629F" w:rsidRDefault="003C629F" w:rsidP="003C629F">
            <w:pPr>
              <w:spacing w:after="0"/>
              <w:jc w:val="right"/>
              <w:rPr>
                <w:rFonts w:eastAsia="Times New Roman" w:cs="Times New Roman"/>
                <w:sz w:val="22"/>
              </w:rPr>
            </w:pPr>
            <w:r w:rsidRPr="003C629F">
              <w:rPr>
                <w:rFonts w:ascii="Arial" w:eastAsia="Times New Roman" w:hAnsi="Arial" w:cs="Arial"/>
                <w:sz w:val="22"/>
                <w:lang w:val="en"/>
              </w:rPr>
              <w:t>Pete Hulson</w:t>
            </w:r>
          </w:p>
        </w:tc>
      </w:tr>
      <w:tr w:rsidR="003C629F" w:rsidRPr="003C629F" w14:paraId="6A335694" w14:textId="77777777" w:rsidTr="003C629F">
        <w:tc>
          <w:tcPr>
            <w:tcW w:w="27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4038CC60" w14:textId="77777777" w:rsidR="003C629F" w:rsidRPr="003C629F" w:rsidRDefault="003C629F" w:rsidP="003C629F">
            <w:pPr>
              <w:spacing w:after="0"/>
              <w:ind w:left="720" w:hanging="360"/>
              <w:rPr>
                <w:rFonts w:eastAsia="Times New Roman" w:cs="Times New Roman"/>
                <w:sz w:val="22"/>
              </w:rPr>
            </w:pPr>
            <w:r w:rsidRPr="003C629F">
              <w:rPr>
                <w:rFonts w:ascii="Arial" w:eastAsia="Times New Roman" w:hAnsi="Arial" w:cs="Arial"/>
                <w:sz w:val="22"/>
                <w:lang w:val="en"/>
              </w:rPr>
              <w:t> </w:t>
            </w:r>
          </w:p>
        </w:tc>
        <w:tc>
          <w:tcPr>
            <w:tcW w:w="558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E054BAD" w14:textId="77777777" w:rsidR="003C629F" w:rsidRPr="003C629F" w:rsidRDefault="003C629F" w:rsidP="003C629F">
            <w:pPr>
              <w:spacing w:after="0"/>
              <w:rPr>
                <w:rFonts w:eastAsia="Times New Roman" w:cs="Times New Roman"/>
                <w:sz w:val="22"/>
              </w:rPr>
            </w:pPr>
            <w:r w:rsidRPr="003C629F">
              <w:rPr>
                <w:rFonts w:ascii="Arial" w:eastAsia="Times New Roman" w:hAnsi="Arial" w:cs="Arial"/>
                <w:sz w:val="22"/>
                <w:lang w:val="en"/>
              </w:rPr>
              <w:t>Internal review model scenarios</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0C350CA9" w14:textId="77777777" w:rsidR="003C629F" w:rsidRPr="003C629F" w:rsidRDefault="003C629F" w:rsidP="003C629F">
            <w:pPr>
              <w:spacing w:after="0"/>
              <w:jc w:val="right"/>
              <w:rPr>
                <w:rFonts w:eastAsia="Times New Roman" w:cs="Times New Roman"/>
                <w:sz w:val="22"/>
              </w:rPr>
            </w:pPr>
            <w:r w:rsidRPr="003C629F">
              <w:rPr>
                <w:rFonts w:ascii="Arial" w:eastAsia="Times New Roman" w:hAnsi="Arial" w:cs="Arial"/>
                <w:sz w:val="22"/>
                <w:lang w:val="en"/>
              </w:rPr>
              <w:t>Pete Hulson</w:t>
            </w:r>
          </w:p>
        </w:tc>
      </w:tr>
      <w:tr w:rsidR="003C629F" w:rsidRPr="003C629F" w14:paraId="635600B3" w14:textId="77777777" w:rsidTr="003C629F">
        <w:tc>
          <w:tcPr>
            <w:tcW w:w="5850" w:type="dxa"/>
            <w:gridSpan w:val="2"/>
            <w:tcBorders>
              <w:top w:val="nil"/>
              <w:left w:val="nil"/>
              <w:bottom w:val="single" w:sz="8" w:space="0" w:color="auto"/>
              <w:right w:val="nil"/>
            </w:tcBorders>
            <w:shd w:val="clear" w:color="auto" w:fill="FFFFFF"/>
            <w:tcMar>
              <w:top w:w="0" w:type="dxa"/>
              <w:left w:w="108" w:type="dxa"/>
              <w:bottom w:w="0" w:type="dxa"/>
              <w:right w:w="108" w:type="dxa"/>
            </w:tcMar>
            <w:hideMark/>
          </w:tcPr>
          <w:p w14:paraId="4E8D6BE4" w14:textId="77777777" w:rsidR="003C629F" w:rsidRPr="003C629F" w:rsidRDefault="003C629F" w:rsidP="003C629F">
            <w:pPr>
              <w:spacing w:after="0"/>
              <w:rPr>
                <w:rFonts w:eastAsia="Times New Roman" w:cs="Times New Roman"/>
                <w:sz w:val="22"/>
              </w:rPr>
            </w:pPr>
            <w:r w:rsidRPr="003C629F">
              <w:rPr>
                <w:rFonts w:ascii="Arial" w:eastAsia="Times New Roman" w:hAnsi="Arial" w:cs="Arial"/>
                <w:bCs/>
                <w:color w:val="980000"/>
                <w:sz w:val="22"/>
                <w:lang w:val="en"/>
              </w:rPr>
              <w:t>11:45 AM - 1:00 PM:</w:t>
            </w:r>
            <w:r w:rsidRPr="003C629F">
              <w:rPr>
                <w:rFonts w:ascii="Arial" w:eastAsia="Times New Roman" w:hAnsi="Arial" w:cs="Arial"/>
                <w:bCs/>
                <w:sz w:val="22"/>
                <w:lang w:val="en"/>
              </w:rPr>
              <w:t> Discussion</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2270FAE6" w14:textId="77777777" w:rsidR="003C629F" w:rsidRPr="003C629F" w:rsidRDefault="003C629F" w:rsidP="003C629F">
            <w:pPr>
              <w:spacing w:after="0"/>
              <w:ind w:left="720" w:hanging="360"/>
              <w:rPr>
                <w:rFonts w:eastAsia="Times New Roman" w:cs="Times New Roman"/>
                <w:sz w:val="22"/>
              </w:rPr>
            </w:pPr>
            <w:r w:rsidRPr="003C629F">
              <w:rPr>
                <w:rFonts w:ascii="Arial" w:eastAsia="Times New Roman" w:hAnsi="Arial" w:cs="Arial"/>
                <w:sz w:val="22"/>
                <w:lang w:val="en"/>
              </w:rPr>
              <w:t> </w:t>
            </w:r>
          </w:p>
        </w:tc>
      </w:tr>
      <w:tr w:rsidR="003C629F" w:rsidRPr="003C629F" w14:paraId="03BCC6D9" w14:textId="77777777" w:rsidTr="003C629F">
        <w:tc>
          <w:tcPr>
            <w:tcW w:w="5850" w:type="dxa"/>
            <w:gridSpan w:val="2"/>
            <w:tcBorders>
              <w:top w:val="nil"/>
              <w:left w:val="nil"/>
              <w:bottom w:val="single" w:sz="8" w:space="0" w:color="auto"/>
              <w:right w:val="nil"/>
            </w:tcBorders>
            <w:shd w:val="clear" w:color="auto" w:fill="FFFFFF"/>
            <w:tcMar>
              <w:top w:w="0" w:type="dxa"/>
              <w:left w:w="108" w:type="dxa"/>
              <w:bottom w:w="0" w:type="dxa"/>
              <w:right w:w="108" w:type="dxa"/>
            </w:tcMar>
            <w:hideMark/>
          </w:tcPr>
          <w:p w14:paraId="7565C73D" w14:textId="77777777" w:rsidR="003C629F" w:rsidRPr="003C629F" w:rsidRDefault="003C629F" w:rsidP="003C629F">
            <w:pPr>
              <w:spacing w:after="0"/>
              <w:rPr>
                <w:rFonts w:eastAsia="Times New Roman" w:cs="Times New Roman"/>
                <w:sz w:val="22"/>
              </w:rPr>
            </w:pPr>
            <w:r w:rsidRPr="003C629F">
              <w:rPr>
                <w:rFonts w:ascii="Arial" w:eastAsia="Times New Roman" w:hAnsi="Arial" w:cs="Arial"/>
                <w:bCs/>
                <w:color w:val="980000"/>
                <w:sz w:val="22"/>
                <w:lang w:val="en"/>
              </w:rPr>
              <w:t>2:00 PM - 3:45 PM:</w:t>
            </w:r>
            <w:r w:rsidRPr="003C629F">
              <w:rPr>
                <w:rFonts w:ascii="Arial" w:eastAsia="Times New Roman" w:hAnsi="Arial" w:cs="Arial"/>
                <w:sz w:val="22"/>
                <w:lang w:val="en"/>
              </w:rPr>
              <w:t> </w:t>
            </w:r>
            <w:r w:rsidRPr="003C629F">
              <w:rPr>
                <w:rFonts w:ascii="Arial" w:eastAsia="Times New Roman" w:hAnsi="Arial" w:cs="Arial"/>
                <w:bCs/>
                <w:sz w:val="22"/>
                <w:lang w:val="en"/>
              </w:rPr>
              <w:t>Requested topics/model runs</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5C9964CC" w14:textId="77777777" w:rsidR="003C629F" w:rsidRPr="003C629F" w:rsidRDefault="003C629F" w:rsidP="003C629F">
            <w:pPr>
              <w:spacing w:after="0"/>
              <w:ind w:left="720" w:hanging="360"/>
              <w:rPr>
                <w:rFonts w:eastAsia="Times New Roman" w:cs="Times New Roman"/>
                <w:sz w:val="22"/>
              </w:rPr>
            </w:pPr>
            <w:r w:rsidRPr="003C629F">
              <w:rPr>
                <w:rFonts w:ascii="Arial" w:eastAsia="Times New Roman" w:hAnsi="Arial" w:cs="Arial"/>
                <w:sz w:val="22"/>
                <w:lang w:val="en"/>
              </w:rPr>
              <w:t> </w:t>
            </w:r>
          </w:p>
        </w:tc>
      </w:tr>
      <w:tr w:rsidR="003C629F" w:rsidRPr="003C629F" w14:paraId="3558B79C" w14:textId="77777777" w:rsidTr="003C629F">
        <w:tc>
          <w:tcPr>
            <w:tcW w:w="9350" w:type="dxa"/>
            <w:gridSpan w:val="3"/>
            <w:tcBorders>
              <w:top w:val="nil"/>
              <w:left w:val="nil"/>
              <w:bottom w:val="single" w:sz="8" w:space="0" w:color="auto"/>
              <w:right w:val="nil"/>
            </w:tcBorders>
            <w:shd w:val="clear" w:color="auto" w:fill="FFFFFF"/>
            <w:tcMar>
              <w:top w:w="0" w:type="dxa"/>
              <w:left w:w="108" w:type="dxa"/>
              <w:bottom w:w="0" w:type="dxa"/>
              <w:right w:w="108" w:type="dxa"/>
            </w:tcMar>
            <w:hideMark/>
          </w:tcPr>
          <w:p w14:paraId="7C25130C" w14:textId="77777777" w:rsidR="003C629F" w:rsidRPr="003C629F" w:rsidRDefault="003C629F" w:rsidP="003C629F">
            <w:pPr>
              <w:spacing w:after="0"/>
              <w:rPr>
                <w:rFonts w:eastAsia="Times New Roman" w:cs="Times New Roman"/>
                <w:sz w:val="22"/>
              </w:rPr>
            </w:pPr>
            <w:r w:rsidRPr="003C629F">
              <w:rPr>
                <w:rFonts w:ascii="Arial" w:eastAsia="Times New Roman" w:hAnsi="Arial" w:cs="Arial"/>
                <w:bCs/>
                <w:color w:val="980000"/>
                <w:sz w:val="22"/>
                <w:lang w:val="en"/>
              </w:rPr>
              <w:t>4:00 PM - 5:00 PM: </w:t>
            </w:r>
            <w:r w:rsidRPr="003C629F">
              <w:rPr>
                <w:rFonts w:ascii="Arial" w:eastAsia="Times New Roman" w:hAnsi="Arial" w:cs="Arial"/>
                <w:bCs/>
                <w:sz w:val="22"/>
                <w:lang w:val="en"/>
              </w:rPr>
              <w:t>Summarize, revisit Terms of Reference</w:t>
            </w:r>
          </w:p>
        </w:tc>
      </w:tr>
      <w:tr w:rsidR="003C629F" w:rsidRPr="003C629F" w14:paraId="0D409242" w14:textId="77777777" w:rsidTr="003C629F">
        <w:tc>
          <w:tcPr>
            <w:tcW w:w="5850" w:type="dxa"/>
            <w:gridSpan w:val="2"/>
            <w:tcBorders>
              <w:top w:val="nil"/>
              <w:left w:val="nil"/>
              <w:bottom w:val="single" w:sz="8" w:space="0" w:color="auto"/>
              <w:right w:val="nil"/>
            </w:tcBorders>
            <w:shd w:val="clear" w:color="auto" w:fill="FFFFFF"/>
            <w:tcMar>
              <w:top w:w="0" w:type="dxa"/>
              <w:left w:w="108" w:type="dxa"/>
              <w:bottom w:w="0" w:type="dxa"/>
              <w:right w:w="108" w:type="dxa"/>
            </w:tcMar>
            <w:hideMark/>
          </w:tcPr>
          <w:p w14:paraId="2788A614" w14:textId="77777777" w:rsidR="003C629F" w:rsidRPr="003C629F" w:rsidRDefault="003C629F" w:rsidP="003C629F">
            <w:pPr>
              <w:spacing w:after="0"/>
              <w:ind w:left="720" w:hanging="360"/>
              <w:rPr>
                <w:rFonts w:eastAsia="Times New Roman" w:cs="Times New Roman"/>
                <w:sz w:val="22"/>
              </w:rPr>
            </w:pPr>
            <w:r w:rsidRPr="003C629F">
              <w:rPr>
                <w:rFonts w:ascii="Arial" w:eastAsia="Times New Roman" w:hAnsi="Arial" w:cs="Arial"/>
                <w:bCs/>
                <w:sz w:val="22"/>
                <w:lang w:val="en"/>
              </w:rPr>
              <w:t>F</w:t>
            </w:r>
            <w:bookmarkStart w:id="13" w:name="_f3cy97mbi472"/>
            <w:bookmarkEnd w:id="13"/>
            <w:r w:rsidRPr="003C629F">
              <w:rPr>
                <w:rFonts w:ascii="Arial" w:eastAsia="Times New Roman" w:hAnsi="Arial" w:cs="Arial"/>
                <w:bCs/>
                <w:sz w:val="22"/>
                <w:lang w:val="en"/>
              </w:rPr>
              <w:t>riday, April 2</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40580EE7" w14:textId="77777777" w:rsidR="003C629F" w:rsidRPr="003C629F" w:rsidRDefault="003C629F" w:rsidP="003C629F">
            <w:pPr>
              <w:spacing w:after="0"/>
              <w:ind w:left="720" w:hanging="360"/>
              <w:rPr>
                <w:rFonts w:eastAsia="Times New Roman" w:cs="Times New Roman"/>
                <w:sz w:val="22"/>
              </w:rPr>
            </w:pPr>
            <w:r w:rsidRPr="003C629F">
              <w:rPr>
                <w:rFonts w:ascii="Arial" w:eastAsia="Times New Roman" w:hAnsi="Arial" w:cs="Arial"/>
                <w:bCs/>
                <w:sz w:val="22"/>
                <w:lang w:val="en"/>
              </w:rPr>
              <w:t> </w:t>
            </w:r>
          </w:p>
        </w:tc>
      </w:tr>
      <w:tr w:rsidR="003C629F" w:rsidRPr="003C629F" w14:paraId="3BF85C8F" w14:textId="77777777" w:rsidTr="003C629F">
        <w:tc>
          <w:tcPr>
            <w:tcW w:w="5850" w:type="dxa"/>
            <w:gridSpan w:val="2"/>
            <w:tcBorders>
              <w:top w:val="nil"/>
              <w:left w:val="nil"/>
              <w:bottom w:val="single" w:sz="8" w:space="0" w:color="auto"/>
              <w:right w:val="nil"/>
            </w:tcBorders>
            <w:shd w:val="clear" w:color="auto" w:fill="FFFFFF"/>
            <w:tcMar>
              <w:top w:w="0" w:type="dxa"/>
              <w:left w:w="108" w:type="dxa"/>
              <w:bottom w:w="0" w:type="dxa"/>
              <w:right w:w="108" w:type="dxa"/>
            </w:tcMar>
            <w:hideMark/>
          </w:tcPr>
          <w:p w14:paraId="01379565" w14:textId="77777777" w:rsidR="003C629F" w:rsidRPr="003C629F" w:rsidRDefault="003C629F" w:rsidP="003C629F">
            <w:pPr>
              <w:spacing w:after="0"/>
              <w:rPr>
                <w:rFonts w:eastAsia="Times New Roman" w:cs="Times New Roman"/>
                <w:sz w:val="22"/>
              </w:rPr>
            </w:pPr>
            <w:r w:rsidRPr="003C629F">
              <w:rPr>
                <w:rFonts w:ascii="Arial" w:eastAsia="Times New Roman" w:hAnsi="Arial" w:cs="Arial"/>
                <w:bCs/>
                <w:color w:val="980000"/>
                <w:sz w:val="22"/>
                <w:lang w:val="en"/>
              </w:rPr>
              <w:t>10 AM - 2 PM: </w:t>
            </w:r>
            <w:r w:rsidRPr="003C629F">
              <w:rPr>
                <w:rFonts w:ascii="Arial" w:eastAsia="Times New Roman" w:hAnsi="Arial" w:cs="Arial"/>
                <w:bCs/>
                <w:sz w:val="22"/>
                <w:lang w:val="en"/>
              </w:rPr>
              <w:t>Additional time, as needed</w:t>
            </w:r>
          </w:p>
        </w:tc>
        <w:tc>
          <w:tcPr>
            <w:tcW w:w="3500" w:type="dxa"/>
            <w:tcBorders>
              <w:top w:val="nil"/>
              <w:left w:val="nil"/>
              <w:bottom w:val="single" w:sz="8" w:space="0" w:color="auto"/>
              <w:right w:val="nil"/>
            </w:tcBorders>
            <w:shd w:val="clear" w:color="auto" w:fill="FFFFFF"/>
            <w:tcMar>
              <w:top w:w="0" w:type="dxa"/>
              <w:left w:w="108" w:type="dxa"/>
              <w:bottom w:w="0" w:type="dxa"/>
              <w:right w:w="108" w:type="dxa"/>
            </w:tcMar>
            <w:hideMark/>
          </w:tcPr>
          <w:p w14:paraId="4C6AE5A2" w14:textId="77777777" w:rsidR="003C629F" w:rsidRPr="003C629F" w:rsidRDefault="003C629F" w:rsidP="003C629F">
            <w:pPr>
              <w:spacing w:after="0"/>
              <w:ind w:left="720" w:hanging="360"/>
              <w:rPr>
                <w:rFonts w:eastAsia="Times New Roman" w:cs="Times New Roman"/>
                <w:sz w:val="22"/>
              </w:rPr>
            </w:pPr>
            <w:r w:rsidRPr="003C629F">
              <w:rPr>
                <w:rFonts w:ascii="Arial" w:eastAsia="Times New Roman" w:hAnsi="Arial" w:cs="Arial"/>
                <w:sz w:val="22"/>
                <w:lang w:val="en"/>
              </w:rPr>
              <w:t> </w:t>
            </w:r>
          </w:p>
        </w:tc>
      </w:tr>
    </w:tbl>
    <w:p w14:paraId="42039DAF" w14:textId="77777777" w:rsidR="003C629F" w:rsidRPr="003C629F" w:rsidRDefault="003C629F" w:rsidP="003C629F">
      <w:pPr>
        <w:shd w:val="clear" w:color="auto" w:fill="FFFFFF"/>
        <w:spacing w:after="0"/>
        <w:rPr>
          <w:rFonts w:eastAsia="Times New Roman" w:cs="Times New Roman"/>
          <w:color w:val="000000"/>
          <w:sz w:val="22"/>
        </w:rPr>
      </w:pPr>
      <w:r w:rsidRPr="003C629F">
        <w:rPr>
          <w:rFonts w:eastAsia="Times New Roman" w:cs="Times New Roman"/>
          <w:color w:val="000000"/>
          <w:sz w:val="22"/>
        </w:rPr>
        <w:t> </w:t>
      </w:r>
    </w:p>
    <w:p w14:paraId="5E5C03DA" w14:textId="6DF83C8B" w:rsidR="00C05008" w:rsidRDefault="00C05008" w:rsidP="00C05008">
      <w:pPr>
        <w:pStyle w:val="Heading2"/>
      </w:pPr>
      <w:r>
        <w:t>Appendix 3</w:t>
      </w:r>
      <w:r w:rsidR="0063788D">
        <w:t xml:space="preserve">. </w:t>
      </w:r>
      <w:r>
        <w:t xml:space="preserve"> Panel membership or other pertinent information </w:t>
      </w:r>
    </w:p>
    <w:p w14:paraId="419956B4" w14:textId="77777777" w:rsidR="00D26A01" w:rsidRPr="00D26A01" w:rsidRDefault="00D26A01" w:rsidP="00D26A01">
      <w:pPr>
        <w:spacing w:line="259" w:lineRule="auto"/>
        <w:rPr>
          <w:rFonts w:eastAsiaTheme="minorHAnsi" w:cs="Times New Roman"/>
          <w:sz w:val="22"/>
          <w:lang w:eastAsia="en-US"/>
        </w:rPr>
      </w:pPr>
    </w:p>
    <w:p w14:paraId="329FFEE0" w14:textId="77777777" w:rsidR="00D26A01" w:rsidRPr="00D26A01" w:rsidRDefault="00D26A01" w:rsidP="00D26A01">
      <w:pPr>
        <w:spacing w:after="0" w:line="259" w:lineRule="auto"/>
        <w:rPr>
          <w:rFonts w:eastAsiaTheme="minorHAnsi" w:cs="Times New Roman"/>
          <w:szCs w:val="24"/>
          <w:lang w:eastAsia="en-US"/>
        </w:rPr>
      </w:pPr>
      <w:r w:rsidRPr="00D26A01">
        <w:rPr>
          <w:rFonts w:eastAsiaTheme="minorHAnsi" w:cs="Times New Roman"/>
          <w:b/>
          <w:szCs w:val="24"/>
          <w:lang w:eastAsia="en-US"/>
        </w:rPr>
        <w:t>Chair</w:t>
      </w:r>
      <w:r w:rsidRPr="00D26A01">
        <w:rPr>
          <w:rFonts w:eastAsiaTheme="minorHAnsi" w:cs="Times New Roman"/>
          <w:b/>
          <w:szCs w:val="24"/>
          <w:lang w:eastAsia="en-US"/>
        </w:rPr>
        <w:tab/>
      </w:r>
      <w:r w:rsidRPr="00D26A01">
        <w:rPr>
          <w:rFonts w:eastAsiaTheme="minorHAnsi" w:cs="Times New Roman"/>
          <w:szCs w:val="24"/>
          <w:lang w:eastAsia="en-US"/>
        </w:rPr>
        <w:tab/>
        <w:t>Paul Spencer</w:t>
      </w:r>
      <w:r w:rsidRPr="00D26A01">
        <w:rPr>
          <w:rFonts w:eastAsiaTheme="minorHAnsi" w:cs="Times New Roman"/>
          <w:szCs w:val="24"/>
          <w:lang w:eastAsia="en-US"/>
        </w:rPr>
        <w:tab/>
      </w:r>
      <w:r w:rsidRPr="00D26A01">
        <w:rPr>
          <w:rFonts w:eastAsiaTheme="minorHAnsi" w:cs="Times New Roman"/>
          <w:szCs w:val="24"/>
          <w:lang w:eastAsia="en-US"/>
        </w:rPr>
        <w:tab/>
        <w:t>AFSC, Seattle</w:t>
      </w:r>
    </w:p>
    <w:p w14:paraId="3F0195CA" w14:textId="77777777" w:rsidR="00D26A01" w:rsidRPr="00D26A01" w:rsidRDefault="00D26A01" w:rsidP="00D26A01">
      <w:pPr>
        <w:spacing w:after="0" w:line="259" w:lineRule="auto"/>
        <w:rPr>
          <w:rFonts w:eastAsiaTheme="minorHAnsi" w:cs="Times New Roman"/>
          <w:szCs w:val="24"/>
          <w:lang w:eastAsia="en-US"/>
        </w:rPr>
      </w:pPr>
    </w:p>
    <w:p w14:paraId="3ADC4BFC" w14:textId="77777777" w:rsidR="00D26A01" w:rsidRPr="00D26A01" w:rsidRDefault="00D26A01" w:rsidP="0042552B">
      <w:pPr>
        <w:pBdr>
          <w:top w:val="single" w:sz="4" w:space="1" w:color="auto"/>
          <w:bottom w:val="single" w:sz="4" w:space="1" w:color="auto"/>
        </w:pBdr>
        <w:spacing w:after="0" w:line="259" w:lineRule="auto"/>
        <w:rPr>
          <w:rFonts w:eastAsia="Times New Roman" w:cs="Times New Roman"/>
          <w:color w:val="000000"/>
          <w:szCs w:val="24"/>
          <w:lang w:eastAsia="en-US"/>
        </w:rPr>
      </w:pPr>
      <w:r w:rsidRPr="00D26A01">
        <w:rPr>
          <w:rFonts w:eastAsiaTheme="minorHAnsi" w:cs="Times New Roman"/>
          <w:b/>
          <w:szCs w:val="24"/>
          <w:lang w:eastAsia="en-US"/>
        </w:rPr>
        <w:t>Members</w:t>
      </w:r>
      <w:r w:rsidRPr="00D26A01">
        <w:rPr>
          <w:rFonts w:eastAsiaTheme="minorHAnsi" w:cs="Times New Roman"/>
          <w:szCs w:val="24"/>
          <w:lang w:eastAsia="en-US"/>
        </w:rPr>
        <w:tab/>
        <w:t>Noel Cadigan</w:t>
      </w:r>
      <w:r w:rsidRPr="00D26A01">
        <w:rPr>
          <w:rFonts w:eastAsiaTheme="minorHAnsi" w:cs="Times New Roman"/>
          <w:szCs w:val="24"/>
          <w:lang w:eastAsia="en-US"/>
        </w:rPr>
        <w:tab/>
      </w:r>
      <w:r w:rsidRPr="00D26A01">
        <w:rPr>
          <w:rFonts w:eastAsiaTheme="minorHAnsi" w:cs="Times New Roman"/>
          <w:szCs w:val="24"/>
          <w:lang w:eastAsia="en-US"/>
        </w:rPr>
        <w:tab/>
      </w:r>
      <w:r w:rsidRPr="00D26A01">
        <w:rPr>
          <w:rFonts w:eastAsia="Times New Roman" w:cs="Times New Roman"/>
          <w:color w:val="000000"/>
          <w:szCs w:val="24"/>
          <w:lang w:eastAsia="en-US"/>
        </w:rPr>
        <w:t>Memorial University, St. Johns, Newfoundland, Canada</w:t>
      </w:r>
    </w:p>
    <w:p w14:paraId="305BE813" w14:textId="77777777" w:rsidR="00D26A01" w:rsidRPr="00D26A01" w:rsidRDefault="00D26A01" w:rsidP="0042552B">
      <w:pPr>
        <w:pBdr>
          <w:top w:val="single" w:sz="4" w:space="1" w:color="auto"/>
          <w:bottom w:val="single" w:sz="4" w:space="1" w:color="auto"/>
        </w:pBd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ab/>
      </w:r>
      <w:r w:rsidRPr="00D26A01">
        <w:rPr>
          <w:rFonts w:eastAsia="Times New Roman" w:cs="Times New Roman"/>
          <w:color w:val="000000"/>
          <w:szCs w:val="24"/>
          <w:lang w:eastAsia="en-US"/>
        </w:rPr>
        <w:tab/>
        <w:t>Geoff Tingley</w:t>
      </w:r>
      <w:r w:rsidRPr="00D26A01">
        <w:rPr>
          <w:rFonts w:eastAsia="Times New Roman" w:cs="Times New Roman"/>
          <w:color w:val="000000"/>
          <w:szCs w:val="24"/>
          <w:lang w:eastAsia="en-US"/>
        </w:rPr>
        <w:tab/>
      </w:r>
      <w:r w:rsidRPr="00D26A01">
        <w:rPr>
          <w:rFonts w:eastAsia="Times New Roman" w:cs="Times New Roman"/>
          <w:color w:val="000000"/>
          <w:szCs w:val="24"/>
          <w:lang w:eastAsia="en-US"/>
        </w:rPr>
        <w:tab/>
        <w:t>Gingerfish Ltd, Wellington, New Zealand</w:t>
      </w:r>
    </w:p>
    <w:p w14:paraId="2F6F348D" w14:textId="24E5C5C8" w:rsidR="00D26A01" w:rsidRPr="00D26A01" w:rsidRDefault="00D26A01" w:rsidP="0042552B">
      <w:pPr>
        <w:pBdr>
          <w:top w:val="single" w:sz="4" w:space="1" w:color="auto"/>
          <w:bottom w:val="single" w:sz="4" w:space="1" w:color="auto"/>
        </w:pBd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ab/>
      </w:r>
      <w:r w:rsidRPr="00D26A01">
        <w:rPr>
          <w:rFonts w:eastAsia="Times New Roman" w:cs="Times New Roman"/>
          <w:color w:val="000000"/>
          <w:szCs w:val="24"/>
          <w:lang w:eastAsia="en-US"/>
        </w:rPr>
        <w:tab/>
        <w:t>Saang-Yoon Hyun</w:t>
      </w:r>
      <w:r w:rsidRPr="00D26A01">
        <w:rPr>
          <w:rFonts w:eastAsia="Times New Roman" w:cs="Times New Roman"/>
          <w:color w:val="000000"/>
          <w:szCs w:val="24"/>
          <w:lang w:eastAsia="en-US"/>
        </w:rPr>
        <w:tab/>
        <w:t>Pukyong National University, Busan, South Korea</w:t>
      </w:r>
    </w:p>
    <w:tbl>
      <w:tblPr>
        <w:tblpPr w:leftFromText="180" w:rightFromText="180" w:vertAnchor="text" w:horzAnchor="margin" w:tblpY="748"/>
        <w:tblW w:w="9360" w:type="dxa"/>
        <w:tblBorders>
          <w:top w:val="single" w:sz="4" w:space="0" w:color="auto"/>
          <w:bottom w:val="single" w:sz="4" w:space="0" w:color="auto"/>
        </w:tblBorders>
        <w:tblLook w:val="04A0" w:firstRow="1" w:lastRow="0" w:firstColumn="1" w:lastColumn="0" w:noHBand="0" w:noVBand="1"/>
      </w:tblPr>
      <w:tblGrid>
        <w:gridCol w:w="2140"/>
        <w:gridCol w:w="7220"/>
      </w:tblGrid>
      <w:tr w:rsidR="00D26A01" w:rsidRPr="00D26A01" w14:paraId="24DA7610" w14:textId="77777777" w:rsidTr="00D26A01">
        <w:trPr>
          <w:trHeight w:val="300"/>
        </w:trPr>
        <w:tc>
          <w:tcPr>
            <w:tcW w:w="2140" w:type="dxa"/>
            <w:shd w:val="clear" w:color="auto" w:fill="auto"/>
            <w:noWrap/>
            <w:vAlign w:val="bottom"/>
            <w:hideMark/>
          </w:tcPr>
          <w:p w14:paraId="583FC12A"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Patrick Ressler</w:t>
            </w:r>
          </w:p>
        </w:tc>
        <w:tc>
          <w:tcPr>
            <w:tcW w:w="7220" w:type="dxa"/>
            <w:shd w:val="clear" w:color="auto" w:fill="auto"/>
            <w:noWrap/>
            <w:vAlign w:val="bottom"/>
            <w:hideMark/>
          </w:tcPr>
          <w:p w14:paraId="20E24E16"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AFSC, Resource Assessment and Conservation Engineering, Seattle</w:t>
            </w:r>
          </w:p>
        </w:tc>
      </w:tr>
      <w:tr w:rsidR="00D26A01" w:rsidRPr="00D26A01" w14:paraId="4DCAEF26" w14:textId="77777777" w:rsidTr="00D26A01">
        <w:trPr>
          <w:trHeight w:val="300"/>
        </w:trPr>
        <w:tc>
          <w:tcPr>
            <w:tcW w:w="2140" w:type="dxa"/>
            <w:shd w:val="clear" w:color="auto" w:fill="auto"/>
            <w:noWrap/>
            <w:vAlign w:val="bottom"/>
            <w:hideMark/>
          </w:tcPr>
          <w:p w14:paraId="6BF01602"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Denise McKelvey</w:t>
            </w:r>
          </w:p>
        </w:tc>
        <w:tc>
          <w:tcPr>
            <w:tcW w:w="7220" w:type="dxa"/>
            <w:shd w:val="clear" w:color="auto" w:fill="auto"/>
            <w:noWrap/>
            <w:vAlign w:val="bottom"/>
            <w:hideMark/>
          </w:tcPr>
          <w:p w14:paraId="74892E87"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AFSC, Resource Assessment and Conservation Engineering, Seattle</w:t>
            </w:r>
          </w:p>
        </w:tc>
      </w:tr>
      <w:tr w:rsidR="00D26A01" w:rsidRPr="00D26A01" w14:paraId="4477CE32" w14:textId="77777777" w:rsidTr="00D26A01">
        <w:trPr>
          <w:trHeight w:val="300"/>
        </w:trPr>
        <w:tc>
          <w:tcPr>
            <w:tcW w:w="2140" w:type="dxa"/>
            <w:shd w:val="clear" w:color="auto" w:fill="auto"/>
            <w:noWrap/>
            <w:vAlign w:val="bottom"/>
            <w:hideMark/>
          </w:tcPr>
          <w:p w14:paraId="7D455340"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Darin Jones</w:t>
            </w:r>
          </w:p>
        </w:tc>
        <w:tc>
          <w:tcPr>
            <w:tcW w:w="7220" w:type="dxa"/>
            <w:shd w:val="clear" w:color="auto" w:fill="auto"/>
            <w:noWrap/>
            <w:vAlign w:val="bottom"/>
            <w:hideMark/>
          </w:tcPr>
          <w:p w14:paraId="6797C545"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AFSC, Resource Assessment and Conservation Engineering, Seattle</w:t>
            </w:r>
          </w:p>
        </w:tc>
      </w:tr>
      <w:tr w:rsidR="00D26A01" w:rsidRPr="00D26A01" w14:paraId="0B1CA663" w14:textId="77777777" w:rsidTr="00D26A01">
        <w:trPr>
          <w:trHeight w:val="300"/>
        </w:trPr>
        <w:tc>
          <w:tcPr>
            <w:tcW w:w="2140" w:type="dxa"/>
            <w:shd w:val="clear" w:color="auto" w:fill="auto"/>
            <w:noWrap/>
            <w:vAlign w:val="bottom"/>
            <w:hideMark/>
          </w:tcPr>
          <w:p w14:paraId="432E1DBE"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Kari Fenske</w:t>
            </w:r>
          </w:p>
        </w:tc>
        <w:tc>
          <w:tcPr>
            <w:tcW w:w="7220" w:type="dxa"/>
            <w:shd w:val="clear" w:color="auto" w:fill="auto"/>
            <w:noWrap/>
            <w:vAlign w:val="bottom"/>
            <w:hideMark/>
          </w:tcPr>
          <w:p w14:paraId="5B37EA19"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 xml:space="preserve">AFSC, Auke Bay Lab, Juneau </w:t>
            </w:r>
          </w:p>
        </w:tc>
      </w:tr>
      <w:tr w:rsidR="00D26A01" w:rsidRPr="00D26A01" w14:paraId="1FE4913C" w14:textId="77777777" w:rsidTr="00D26A01">
        <w:trPr>
          <w:trHeight w:val="300"/>
        </w:trPr>
        <w:tc>
          <w:tcPr>
            <w:tcW w:w="2140" w:type="dxa"/>
            <w:shd w:val="clear" w:color="auto" w:fill="auto"/>
            <w:noWrap/>
            <w:vAlign w:val="bottom"/>
            <w:hideMark/>
          </w:tcPr>
          <w:p w14:paraId="6527ED9E"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Dana Hanselman</w:t>
            </w:r>
          </w:p>
        </w:tc>
        <w:tc>
          <w:tcPr>
            <w:tcW w:w="7220" w:type="dxa"/>
            <w:shd w:val="clear" w:color="auto" w:fill="auto"/>
            <w:noWrap/>
            <w:vAlign w:val="bottom"/>
            <w:hideMark/>
          </w:tcPr>
          <w:p w14:paraId="47D3B571"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 xml:space="preserve">AFSC, Auke Bay Lab, Juneau </w:t>
            </w:r>
          </w:p>
        </w:tc>
      </w:tr>
      <w:tr w:rsidR="00D26A01" w:rsidRPr="00D26A01" w14:paraId="1B80C0ED" w14:textId="77777777" w:rsidTr="00D26A01">
        <w:trPr>
          <w:trHeight w:val="300"/>
        </w:trPr>
        <w:tc>
          <w:tcPr>
            <w:tcW w:w="2140" w:type="dxa"/>
            <w:shd w:val="clear" w:color="auto" w:fill="auto"/>
            <w:noWrap/>
            <w:vAlign w:val="bottom"/>
            <w:hideMark/>
          </w:tcPr>
          <w:p w14:paraId="1EA474D4"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Kristin McQuaw</w:t>
            </w:r>
          </w:p>
        </w:tc>
        <w:tc>
          <w:tcPr>
            <w:tcW w:w="7220" w:type="dxa"/>
            <w:shd w:val="clear" w:color="auto" w:fill="auto"/>
            <w:noWrap/>
            <w:vAlign w:val="bottom"/>
            <w:hideMark/>
          </w:tcPr>
          <w:p w14:paraId="2622AE2D"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Alaska Groundfish Data Bank, Newport, OR</w:t>
            </w:r>
          </w:p>
        </w:tc>
      </w:tr>
      <w:tr w:rsidR="00D26A01" w:rsidRPr="00D26A01" w14:paraId="6A934EA5" w14:textId="77777777" w:rsidTr="00D26A01">
        <w:trPr>
          <w:trHeight w:val="300"/>
        </w:trPr>
        <w:tc>
          <w:tcPr>
            <w:tcW w:w="2140" w:type="dxa"/>
            <w:shd w:val="clear" w:color="auto" w:fill="auto"/>
            <w:noWrap/>
            <w:vAlign w:val="bottom"/>
            <w:hideMark/>
          </w:tcPr>
          <w:p w14:paraId="35761000"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Cindy Tribuzio</w:t>
            </w:r>
          </w:p>
        </w:tc>
        <w:tc>
          <w:tcPr>
            <w:tcW w:w="7220" w:type="dxa"/>
            <w:shd w:val="clear" w:color="auto" w:fill="auto"/>
            <w:noWrap/>
            <w:vAlign w:val="bottom"/>
            <w:hideMark/>
          </w:tcPr>
          <w:p w14:paraId="0D50A9EB"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 xml:space="preserve">AFSC, Auke Bay Lab, Juneau </w:t>
            </w:r>
          </w:p>
        </w:tc>
      </w:tr>
      <w:tr w:rsidR="00D26A01" w:rsidRPr="00D26A01" w14:paraId="48854F98" w14:textId="77777777" w:rsidTr="00D26A01">
        <w:trPr>
          <w:trHeight w:val="300"/>
        </w:trPr>
        <w:tc>
          <w:tcPr>
            <w:tcW w:w="2140" w:type="dxa"/>
            <w:shd w:val="clear" w:color="auto" w:fill="auto"/>
            <w:noWrap/>
            <w:vAlign w:val="bottom"/>
            <w:hideMark/>
          </w:tcPr>
          <w:p w14:paraId="303D0B93"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Madison Hall</w:t>
            </w:r>
          </w:p>
        </w:tc>
        <w:tc>
          <w:tcPr>
            <w:tcW w:w="7220" w:type="dxa"/>
            <w:shd w:val="clear" w:color="auto" w:fill="auto"/>
            <w:noWrap/>
            <w:vAlign w:val="bottom"/>
            <w:hideMark/>
          </w:tcPr>
          <w:p w14:paraId="30F1D501"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AFSC postdoc, Resource Assessment and Conservation Engineering</w:t>
            </w:r>
          </w:p>
        </w:tc>
      </w:tr>
      <w:tr w:rsidR="00D26A01" w:rsidRPr="00D26A01" w14:paraId="7B8721F6" w14:textId="77777777" w:rsidTr="00D26A01">
        <w:trPr>
          <w:trHeight w:val="300"/>
        </w:trPr>
        <w:tc>
          <w:tcPr>
            <w:tcW w:w="2140" w:type="dxa"/>
            <w:shd w:val="clear" w:color="auto" w:fill="auto"/>
            <w:noWrap/>
            <w:vAlign w:val="bottom"/>
            <w:hideMark/>
          </w:tcPr>
          <w:p w14:paraId="3D4B57F4"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Julie Bonney</w:t>
            </w:r>
          </w:p>
        </w:tc>
        <w:tc>
          <w:tcPr>
            <w:tcW w:w="7220" w:type="dxa"/>
            <w:shd w:val="clear" w:color="auto" w:fill="auto"/>
            <w:noWrap/>
            <w:vAlign w:val="bottom"/>
            <w:hideMark/>
          </w:tcPr>
          <w:p w14:paraId="0E7A0E66"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Alaska Groundfish Data Bank, Kodiak</w:t>
            </w:r>
          </w:p>
        </w:tc>
      </w:tr>
      <w:tr w:rsidR="00D26A01" w:rsidRPr="00D26A01" w14:paraId="13CB6207" w14:textId="77777777" w:rsidTr="00D26A01">
        <w:trPr>
          <w:trHeight w:val="300"/>
        </w:trPr>
        <w:tc>
          <w:tcPr>
            <w:tcW w:w="2140" w:type="dxa"/>
            <w:shd w:val="clear" w:color="auto" w:fill="auto"/>
            <w:noWrap/>
            <w:vAlign w:val="bottom"/>
            <w:hideMark/>
          </w:tcPr>
          <w:p w14:paraId="0A2EE271"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 xml:space="preserve">Dan Goethel </w:t>
            </w:r>
          </w:p>
        </w:tc>
        <w:tc>
          <w:tcPr>
            <w:tcW w:w="7220" w:type="dxa"/>
            <w:shd w:val="clear" w:color="auto" w:fill="auto"/>
            <w:noWrap/>
            <w:vAlign w:val="bottom"/>
            <w:hideMark/>
          </w:tcPr>
          <w:p w14:paraId="43B1B722"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 xml:space="preserve">AFSC, Auke Bay Lab, Juneau </w:t>
            </w:r>
          </w:p>
        </w:tc>
      </w:tr>
      <w:tr w:rsidR="00D26A01" w:rsidRPr="00D26A01" w14:paraId="066CF759" w14:textId="77777777" w:rsidTr="00D26A01">
        <w:trPr>
          <w:trHeight w:val="300"/>
        </w:trPr>
        <w:tc>
          <w:tcPr>
            <w:tcW w:w="2140" w:type="dxa"/>
            <w:shd w:val="clear" w:color="auto" w:fill="auto"/>
            <w:noWrap/>
            <w:vAlign w:val="bottom"/>
            <w:hideMark/>
          </w:tcPr>
          <w:p w14:paraId="7C7C75BD"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Chris Lunsford</w:t>
            </w:r>
          </w:p>
        </w:tc>
        <w:tc>
          <w:tcPr>
            <w:tcW w:w="7220" w:type="dxa"/>
            <w:shd w:val="clear" w:color="auto" w:fill="auto"/>
            <w:noWrap/>
            <w:vAlign w:val="bottom"/>
            <w:hideMark/>
          </w:tcPr>
          <w:p w14:paraId="4DBDD3A3"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 xml:space="preserve">AFSC, Auke Bay Lab, Juneau </w:t>
            </w:r>
          </w:p>
        </w:tc>
      </w:tr>
      <w:tr w:rsidR="00D26A01" w:rsidRPr="00D26A01" w14:paraId="06C9AB05" w14:textId="77777777" w:rsidTr="00D26A01">
        <w:trPr>
          <w:trHeight w:val="300"/>
        </w:trPr>
        <w:tc>
          <w:tcPr>
            <w:tcW w:w="2140" w:type="dxa"/>
            <w:shd w:val="clear" w:color="auto" w:fill="auto"/>
            <w:noWrap/>
            <w:vAlign w:val="bottom"/>
            <w:hideMark/>
          </w:tcPr>
          <w:p w14:paraId="1D59D0B9"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Ben Williams</w:t>
            </w:r>
          </w:p>
        </w:tc>
        <w:tc>
          <w:tcPr>
            <w:tcW w:w="7220" w:type="dxa"/>
            <w:shd w:val="clear" w:color="auto" w:fill="auto"/>
            <w:noWrap/>
            <w:vAlign w:val="bottom"/>
            <w:hideMark/>
          </w:tcPr>
          <w:p w14:paraId="19A91650"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 xml:space="preserve">AFSC, Auke Bay Lab, Juneau </w:t>
            </w:r>
          </w:p>
        </w:tc>
      </w:tr>
      <w:tr w:rsidR="00D26A01" w:rsidRPr="00D26A01" w14:paraId="4134BAC5" w14:textId="77777777" w:rsidTr="00D26A01">
        <w:trPr>
          <w:trHeight w:val="300"/>
        </w:trPr>
        <w:tc>
          <w:tcPr>
            <w:tcW w:w="2140" w:type="dxa"/>
            <w:shd w:val="clear" w:color="auto" w:fill="auto"/>
            <w:noWrap/>
            <w:vAlign w:val="bottom"/>
            <w:hideMark/>
          </w:tcPr>
          <w:p w14:paraId="01B29BE3"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Pete Hulson</w:t>
            </w:r>
          </w:p>
        </w:tc>
        <w:tc>
          <w:tcPr>
            <w:tcW w:w="7220" w:type="dxa"/>
            <w:shd w:val="clear" w:color="auto" w:fill="auto"/>
            <w:noWrap/>
            <w:vAlign w:val="bottom"/>
            <w:hideMark/>
          </w:tcPr>
          <w:p w14:paraId="3C13085D"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 xml:space="preserve">AFSC, Auke Bay Lab, Juneau </w:t>
            </w:r>
          </w:p>
        </w:tc>
      </w:tr>
      <w:tr w:rsidR="00D26A01" w:rsidRPr="00D26A01" w14:paraId="7EA8E8E5" w14:textId="77777777" w:rsidTr="00D26A01">
        <w:trPr>
          <w:trHeight w:val="300"/>
        </w:trPr>
        <w:tc>
          <w:tcPr>
            <w:tcW w:w="2140" w:type="dxa"/>
            <w:shd w:val="clear" w:color="auto" w:fill="auto"/>
            <w:noWrap/>
            <w:vAlign w:val="bottom"/>
            <w:hideMark/>
          </w:tcPr>
          <w:p w14:paraId="1EEDE006"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Wayne Palsson</w:t>
            </w:r>
          </w:p>
        </w:tc>
        <w:tc>
          <w:tcPr>
            <w:tcW w:w="7220" w:type="dxa"/>
            <w:shd w:val="clear" w:color="auto" w:fill="auto"/>
            <w:noWrap/>
            <w:vAlign w:val="bottom"/>
            <w:hideMark/>
          </w:tcPr>
          <w:p w14:paraId="26B81275"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AFSC, Resource Assessment and Conservation Engineering, Seattle</w:t>
            </w:r>
          </w:p>
        </w:tc>
      </w:tr>
      <w:tr w:rsidR="00D26A01" w:rsidRPr="00D26A01" w14:paraId="1CF02FFE" w14:textId="77777777" w:rsidTr="00D26A01">
        <w:trPr>
          <w:trHeight w:val="300"/>
        </w:trPr>
        <w:tc>
          <w:tcPr>
            <w:tcW w:w="2140" w:type="dxa"/>
            <w:shd w:val="clear" w:color="auto" w:fill="auto"/>
            <w:noWrap/>
            <w:vAlign w:val="bottom"/>
            <w:hideMark/>
          </w:tcPr>
          <w:p w14:paraId="30FB8397"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Jason Conner</w:t>
            </w:r>
          </w:p>
        </w:tc>
        <w:tc>
          <w:tcPr>
            <w:tcW w:w="7220" w:type="dxa"/>
            <w:shd w:val="clear" w:color="auto" w:fill="auto"/>
            <w:noWrap/>
            <w:vAlign w:val="bottom"/>
            <w:hideMark/>
          </w:tcPr>
          <w:p w14:paraId="3BF40EFF"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AFSC, Resource Assessment and Conservation Engineering, Seattle</w:t>
            </w:r>
          </w:p>
        </w:tc>
      </w:tr>
      <w:tr w:rsidR="00D26A01" w:rsidRPr="00D26A01" w14:paraId="165715BD" w14:textId="77777777" w:rsidTr="00D26A01">
        <w:trPr>
          <w:trHeight w:val="300"/>
        </w:trPr>
        <w:tc>
          <w:tcPr>
            <w:tcW w:w="2140" w:type="dxa"/>
            <w:shd w:val="clear" w:color="auto" w:fill="auto"/>
            <w:noWrap/>
            <w:vAlign w:val="bottom"/>
            <w:hideMark/>
          </w:tcPr>
          <w:p w14:paraId="456DF791"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Tom Holland</w:t>
            </w:r>
          </w:p>
        </w:tc>
        <w:tc>
          <w:tcPr>
            <w:tcW w:w="7220" w:type="dxa"/>
            <w:shd w:val="clear" w:color="auto" w:fill="auto"/>
            <w:noWrap/>
            <w:vAlign w:val="bottom"/>
            <w:hideMark/>
          </w:tcPr>
          <w:p w14:paraId="26BF5CC7"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AFSC, Resource Ecology and Fisheries Management, Seattle</w:t>
            </w:r>
          </w:p>
        </w:tc>
      </w:tr>
      <w:tr w:rsidR="00D26A01" w:rsidRPr="00D26A01" w14:paraId="63373DC6" w14:textId="77777777" w:rsidTr="00D26A01">
        <w:trPr>
          <w:trHeight w:val="300"/>
        </w:trPr>
        <w:tc>
          <w:tcPr>
            <w:tcW w:w="2140" w:type="dxa"/>
            <w:shd w:val="clear" w:color="auto" w:fill="auto"/>
            <w:noWrap/>
            <w:vAlign w:val="bottom"/>
            <w:hideMark/>
          </w:tcPr>
          <w:p w14:paraId="25E9A62A"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Chris Gburski</w:t>
            </w:r>
          </w:p>
        </w:tc>
        <w:tc>
          <w:tcPr>
            <w:tcW w:w="7220" w:type="dxa"/>
            <w:shd w:val="clear" w:color="auto" w:fill="auto"/>
            <w:noWrap/>
            <w:vAlign w:val="bottom"/>
            <w:hideMark/>
          </w:tcPr>
          <w:p w14:paraId="0F985D12"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AFSC, Resource Ecology and Fisheries Management, Seattle</w:t>
            </w:r>
          </w:p>
        </w:tc>
      </w:tr>
      <w:tr w:rsidR="00D26A01" w:rsidRPr="00D26A01" w14:paraId="5D01FE9F" w14:textId="77777777" w:rsidTr="00D26A01">
        <w:trPr>
          <w:trHeight w:val="300"/>
        </w:trPr>
        <w:tc>
          <w:tcPr>
            <w:tcW w:w="2140" w:type="dxa"/>
            <w:shd w:val="clear" w:color="auto" w:fill="auto"/>
            <w:noWrap/>
            <w:vAlign w:val="bottom"/>
            <w:hideMark/>
          </w:tcPr>
          <w:p w14:paraId="5949C4A6"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Jim Thorson</w:t>
            </w:r>
          </w:p>
        </w:tc>
        <w:tc>
          <w:tcPr>
            <w:tcW w:w="7220" w:type="dxa"/>
            <w:shd w:val="clear" w:color="auto" w:fill="auto"/>
            <w:noWrap/>
            <w:vAlign w:val="bottom"/>
            <w:hideMark/>
          </w:tcPr>
          <w:p w14:paraId="7E09E779"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AFSC, Habitat and Ecological Processes Research, Seattle</w:t>
            </w:r>
          </w:p>
        </w:tc>
      </w:tr>
      <w:tr w:rsidR="00D26A01" w:rsidRPr="00D26A01" w14:paraId="74BC27F4" w14:textId="77777777" w:rsidTr="00D26A01">
        <w:trPr>
          <w:trHeight w:val="300"/>
        </w:trPr>
        <w:tc>
          <w:tcPr>
            <w:tcW w:w="2140" w:type="dxa"/>
            <w:shd w:val="clear" w:color="auto" w:fill="auto"/>
            <w:noWrap/>
            <w:vAlign w:val="bottom"/>
          </w:tcPr>
          <w:p w14:paraId="309208BB"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Jim Ianelli</w:t>
            </w:r>
          </w:p>
        </w:tc>
        <w:tc>
          <w:tcPr>
            <w:tcW w:w="7220" w:type="dxa"/>
            <w:shd w:val="clear" w:color="auto" w:fill="auto"/>
            <w:noWrap/>
            <w:vAlign w:val="bottom"/>
          </w:tcPr>
          <w:p w14:paraId="6D65C825" w14:textId="77777777" w:rsidR="00D26A01" w:rsidRPr="00D26A01" w:rsidRDefault="00D26A01" w:rsidP="00D26A01">
            <w:pPr>
              <w:spacing w:after="0" w:line="259" w:lineRule="auto"/>
              <w:rPr>
                <w:rFonts w:eastAsia="Times New Roman" w:cs="Times New Roman"/>
                <w:color w:val="000000"/>
                <w:szCs w:val="24"/>
                <w:lang w:eastAsia="en-US"/>
              </w:rPr>
            </w:pPr>
            <w:r w:rsidRPr="00D26A01">
              <w:rPr>
                <w:rFonts w:eastAsia="Times New Roman" w:cs="Times New Roman"/>
                <w:color w:val="000000"/>
                <w:szCs w:val="24"/>
                <w:lang w:eastAsia="en-US"/>
              </w:rPr>
              <w:t>AFSC, Resource Ecology and Fisheries Management, Seattle</w:t>
            </w:r>
          </w:p>
        </w:tc>
      </w:tr>
    </w:tbl>
    <w:p w14:paraId="5EFA9007" w14:textId="4FEF2831" w:rsidR="00D26A01" w:rsidRPr="00D26A01" w:rsidRDefault="00D26A01" w:rsidP="00544800">
      <w:pPr>
        <w:spacing w:after="0"/>
        <w:rPr>
          <w:rFonts w:eastAsiaTheme="minorHAnsi"/>
          <w:b/>
          <w:szCs w:val="24"/>
          <w:lang w:eastAsia="en-US"/>
        </w:rPr>
      </w:pPr>
    </w:p>
    <w:p w14:paraId="1D72F391" w14:textId="075D883A" w:rsidR="00D26A01" w:rsidRDefault="0042552B" w:rsidP="009B45A4">
      <w:pPr>
        <w:spacing w:line="259" w:lineRule="auto"/>
      </w:pPr>
      <w:r w:rsidRPr="0042552B">
        <w:rPr>
          <w:rFonts w:eastAsiaTheme="minorHAnsi"/>
          <w:b/>
          <w:szCs w:val="24"/>
          <w:lang w:eastAsia="en-US"/>
        </w:rPr>
        <w:t xml:space="preserve"> Attendees</w:t>
      </w:r>
    </w:p>
    <w:sectPr w:rsidR="00D26A01" w:rsidSect="00CE7D82">
      <w:footerReference w:type="default" r:id="rId69"/>
      <w:pgSz w:w="11906" w:h="16838" w:code="9"/>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43EAF" w14:textId="77777777" w:rsidR="00B4254F" w:rsidRDefault="00B4254F" w:rsidP="008A68FA">
      <w:pPr>
        <w:spacing w:after="0"/>
      </w:pPr>
      <w:r>
        <w:separator/>
      </w:r>
    </w:p>
  </w:endnote>
  <w:endnote w:type="continuationSeparator" w:id="0">
    <w:p w14:paraId="790529EA" w14:textId="77777777" w:rsidR="00B4254F" w:rsidRDefault="00B4254F" w:rsidP="008A68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6363033"/>
      <w:docPartObj>
        <w:docPartGallery w:val="Page Numbers (Bottom of Page)"/>
        <w:docPartUnique/>
      </w:docPartObj>
    </w:sdtPr>
    <w:sdtEndPr>
      <w:rPr>
        <w:noProof/>
      </w:rPr>
    </w:sdtEndPr>
    <w:sdtContent>
      <w:p w14:paraId="26F730F0" w14:textId="3911366F" w:rsidR="00AC78BB" w:rsidRDefault="00AC78BB">
        <w:pPr>
          <w:pStyle w:val="Footer"/>
          <w:jc w:val="right"/>
        </w:pPr>
        <w:r>
          <w:t xml:space="preserve">   </w:t>
        </w:r>
        <w:r>
          <w:fldChar w:fldCharType="begin"/>
        </w:r>
        <w:r>
          <w:instrText xml:space="preserve"> PAGE   \* MERGEFORMAT </w:instrText>
        </w:r>
        <w:r>
          <w:fldChar w:fldCharType="separate"/>
        </w:r>
        <w:r>
          <w:rPr>
            <w:noProof/>
          </w:rPr>
          <w:t>2</w:t>
        </w:r>
        <w:r>
          <w:rPr>
            <w:noProof/>
          </w:rPr>
          <w:fldChar w:fldCharType="end"/>
        </w:r>
      </w:p>
    </w:sdtContent>
  </w:sdt>
  <w:p w14:paraId="62C8B782" w14:textId="77777777" w:rsidR="00AC78BB" w:rsidRDefault="00AC7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A28575" w14:textId="77777777" w:rsidR="00B4254F" w:rsidRDefault="00B4254F" w:rsidP="008A68FA">
      <w:pPr>
        <w:spacing w:after="0"/>
      </w:pPr>
      <w:r>
        <w:separator/>
      </w:r>
    </w:p>
  </w:footnote>
  <w:footnote w:type="continuationSeparator" w:id="0">
    <w:p w14:paraId="60112FF4" w14:textId="77777777" w:rsidR="00B4254F" w:rsidRDefault="00B4254F" w:rsidP="008A68F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7B04B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CA296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082D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2A1C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8568C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382D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CA049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4624C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C8C8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2C166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62CF2"/>
    <w:multiLevelType w:val="hybridMultilevel"/>
    <w:tmpl w:val="EC8EBC44"/>
    <w:lvl w:ilvl="0" w:tplc="B19C52D4">
      <w:start w:val="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221548C"/>
    <w:multiLevelType w:val="hybridMultilevel"/>
    <w:tmpl w:val="B5A65806"/>
    <w:lvl w:ilvl="0" w:tplc="E3B8C4B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06CB42E8"/>
    <w:multiLevelType w:val="hybridMultilevel"/>
    <w:tmpl w:val="E15C4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7F3106"/>
    <w:multiLevelType w:val="multilevel"/>
    <w:tmpl w:val="3F02B022"/>
    <w:lvl w:ilvl="0">
      <w:start w:val="1"/>
      <w:numFmt w:val="decimal"/>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08BC3958"/>
    <w:multiLevelType w:val="hybridMultilevel"/>
    <w:tmpl w:val="0E8A2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634569"/>
    <w:multiLevelType w:val="hybridMultilevel"/>
    <w:tmpl w:val="4D60C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0D580B"/>
    <w:multiLevelType w:val="hybridMultilevel"/>
    <w:tmpl w:val="D9308CE0"/>
    <w:lvl w:ilvl="0" w:tplc="ADF2CD2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B01445D"/>
    <w:multiLevelType w:val="hybridMultilevel"/>
    <w:tmpl w:val="AE36FFFC"/>
    <w:lvl w:ilvl="0" w:tplc="AED8304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0EC00125"/>
    <w:multiLevelType w:val="hybridMultilevel"/>
    <w:tmpl w:val="5A7A6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27F37A3"/>
    <w:multiLevelType w:val="hybridMultilevel"/>
    <w:tmpl w:val="6706EAF0"/>
    <w:lvl w:ilvl="0" w:tplc="9F449D5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A60119"/>
    <w:multiLevelType w:val="hybridMultilevel"/>
    <w:tmpl w:val="4DB46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3D92633"/>
    <w:multiLevelType w:val="hybridMultilevel"/>
    <w:tmpl w:val="3A66DF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7BB225C"/>
    <w:multiLevelType w:val="hybridMultilevel"/>
    <w:tmpl w:val="1EC487D6"/>
    <w:lvl w:ilvl="0" w:tplc="5C105E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904925"/>
    <w:multiLevelType w:val="hybridMultilevel"/>
    <w:tmpl w:val="2400729A"/>
    <w:lvl w:ilvl="0" w:tplc="997002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8724540"/>
    <w:multiLevelType w:val="hybridMultilevel"/>
    <w:tmpl w:val="607283AC"/>
    <w:lvl w:ilvl="0" w:tplc="101EC9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C42CD2"/>
    <w:multiLevelType w:val="hybridMultilevel"/>
    <w:tmpl w:val="179AF048"/>
    <w:lvl w:ilvl="0" w:tplc="B9FC9B6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2E76190F"/>
    <w:multiLevelType w:val="hybridMultilevel"/>
    <w:tmpl w:val="5D9466F0"/>
    <w:lvl w:ilvl="0" w:tplc="AB0EA8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BA70B63"/>
    <w:multiLevelType w:val="hybridMultilevel"/>
    <w:tmpl w:val="F2DCA70A"/>
    <w:lvl w:ilvl="0" w:tplc="741273B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074824"/>
    <w:multiLevelType w:val="hybridMultilevel"/>
    <w:tmpl w:val="8AF4502E"/>
    <w:lvl w:ilvl="0" w:tplc="10E09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2549A2"/>
    <w:multiLevelType w:val="hybridMultilevel"/>
    <w:tmpl w:val="5D785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262F06"/>
    <w:multiLevelType w:val="multilevel"/>
    <w:tmpl w:val="7A6ACC1C"/>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B3537F4"/>
    <w:multiLevelType w:val="hybridMultilevel"/>
    <w:tmpl w:val="35487DB0"/>
    <w:lvl w:ilvl="0" w:tplc="18E2E21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2" w15:restartNumberingAfterBreak="0">
    <w:nsid w:val="6978654E"/>
    <w:multiLevelType w:val="hybridMultilevel"/>
    <w:tmpl w:val="4BBCF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9A4683"/>
    <w:multiLevelType w:val="hybridMultilevel"/>
    <w:tmpl w:val="4A6461FA"/>
    <w:lvl w:ilvl="0" w:tplc="132823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344A00"/>
    <w:multiLevelType w:val="hybridMultilevel"/>
    <w:tmpl w:val="690437FC"/>
    <w:lvl w:ilvl="0" w:tplc="945AD19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20"/>
  </w:num>
  <w:num w:numId="15">
    <w:abstractNumId w:val="26"/>
  </w:num>
  <w:num w:numId="16">
    <w:abstractNumId w:val="33"/>
  </w:num>
  <w:num w:numId="17">
    <w:abstractNumId w:val="32"/>
  </w:num>
  <w:num w:numId="18">
    <w:abstractNumId w:val="29"/>
  </w:num>
  <w:num w:numId="19">
    <w:abstractNumId w:val="13"/>
  </w:num>
  <w:num w:numId="20">
    <w:abstractNumId w:val="23"/>
  </w:num>
  <w:num w:numId="21">
    <w:abstractNumId w:val="10"/>
  </w:num>
  <w:num w:numId="22">
    <w:abstractNumId w:val="27"/>
  </w:num>
  <w:num w:numId="23">
    <w:abstractNumId w:val="12"/>
  </w:num>
  <w:num w:numId="24">
    <w:abstractNumId w:val="15"/>
  </w:num>
  <w:num w:numId="25">
    <w:abstractNumId w:val="18"/>
  </w:num>
  <w:num w:numId="26">
    <w:abstractNumId w:val="14"/>
  </w:num>
  <w:num w:numId="27">
    <w:abstractNumId w:val="30"/>
  </w:num>
  <w:num w:numId="28">
    <w:abstractNumId w:val="24"/>
  </w:num>
  <w:num w:numId="29">
    <w:abstractNumId w:val="31"/>
  </w:num>
  <w:num w:numId="30">
    <w:abstractNumId w:val="22"/>
  </w:num>
  <w:num w:numId="31">
    <w:abstractNumId w:val="25"/>
  </w:num>
  <w:num w:numId="32">
    <w:abstractNumId w:val="28"/>
  </w:num>
  <w:num w:numId="33">
    <w:abstractNumId w:val="21"/>
  </w:num>
  <w:num w:numId="34">
    <w:abstractNumId w:val="11"/>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wsesefros9expews50pvtt1satw2psxpts9&quot;&gt;HyunLibrary2012&lt;record-ids&gt;&lt;item&gt;5527&lt;/item&gt;&lt;item&gt;5674&lt;/item&gt;&lt;item&gt;5740&lt;/item&gt;&lt;item&gt;5745&lt;/item&gt;&lt;item&gt;5747&lt;/item&gt;&lt;item&gt;5748&lt;/item&gt;&lt;item&gt;5757&lt;/item&gt;&lt;/record-ids&gt;&lt;/item&gt;&lt;/Libraries&gt;"/>
  </w:docVars>
  <w:rsids>
    <w:rsidRoot w:val="00A03025"/>
    <w:rsid w:val="000056B0"/>
    <w:rsid w:val="00006AD8"/>
    <w:rsid w:val="00011009"/>
    <w:rsid w:val="00011CE2"/>
    <w:rsid w:val="000145AF"/>
    <w:rsid w:val="0001463A"/>
    <w:rsid w:val="00017730"/>
    <w:rsid w:val="000217CC"/>
    <w:rsid w:val="00021BDD"/>
    <w:rsid w:val="00022712"/>
    <w:rsid w:val="000246F0"/>
    <w:rsid w:val="000253BA"/>
    <w:rsid w:val="00026F93"/>
    <w:rsid w:val="0003054B"/>
    <w:rsid w:val="00030CAB"/>
    <w:rsid w:val="00031BB7"/>
    <w:rsid w:val="000327DB"/>
    <w:rsid w:val="00037991"/>
    <w:rsid w:val="00037F13"/>
    <w:rsid w:val="0004125D"/>
    <w:rsid w:val="00042B8F"/>
    <w:rsid w:val="00042F21"/>
    <w:rsid w:val="0004386B"/>
    <w:rsid w:val="00046863"/>
    <w:rsid w:val="00047DD2"/>
    <w:rsid w:val="000513B8"/>
    <w:rsid w:val="00056BB3"/>
    <w:rsid w:val="000579FA"/>
    <w:rsid w:val="00060B2E"/>
    <w:rsid w:val="00060EE2"/>
    <w:rsid w:val="00070D47"/>
    <w:rsid w:val="00071E39"/>
    <w:rsid w:val="00072BC0"/>
    <w:rsid w:val="0007382D"/>
    <w:rsid w:val="0007453C"/>
    <w:rsid w:val="0007564C"/>
    <w:rsid w:val="000801D8"/>
    <w:rsid w:val="000812FF"/>
    <w:rsid w:val="00082CA0"/>
    <w:rsid w:val="00084A4E"/>
    <w:rsid w:val="00084F65"/>
    <w:rsid w:val="000865AE"/>
    <w:rsid w:val="0008697D"/>
    <w:rsid w:val="00087AE5"/>
    <w:rsid w:val="00091FFE"/>
    <w:rsid w:val="0009475A"/>
    <w:rsid w:val="00096B24"/>
    <w:rsid w:val="000A000F"/>
    <w:rsid w:val="000A0B91"/>
    <w:rsid w:val="000A5EF2"/>
    <w:rsid w:val="000A6AFC"/>
    <w:rsid w:val="000A782F"/>
    <w:rsid w:val="000B08BA"/>
    <w:rsid w:val="000B72FD"/>
    <w:rsid w:val="000B7768"/>
    <w:rsid w:val="000C238B"/>
    <w:rsid w:val="000C3AEF"/>
    <w:rsid w:val="000D0447"/>
    <w:rsid w:val="000E2FC1"/>
    <w:rsid w:val="000E4DD7"/>
    <w:rsid w:val="000E57E2"/>
    <w:rsid w:val="000E696F"/>
    <w:rsid w:val="000E7744"/>
    <w:rsid w:val="000F025C"/>
    <w:rsid w:val="000F1B99"/>
    <w:rsid w:val="000F6435"/>
    <w:rsid w:val="0010085B"/>
    <w:rsid w:val="00100FAE"/>
    <w:rsid w:val="00104CD0"/>
    <w:rsid w:val="00107EE7"/>
    <w:rsid w:val="00111667"/>
    <w:rsid w:val="001134DC"/>
    <w:rsid w:val="00116389"/>
    <w:rsid w:val="00121F85"/>
    <w:rsid w:val="001238D3"/>
    <w:rsid w:val="00125759"/>
    <w:rsid w:val="001258CF"/>
    <w:rsid w:val="001325B0"/>
    <w:rsid w:val="00132F21"/>
    <w:rsid w:val="00142A08"/>
    <w:rsid w:val="00143D58"/>
    <w:rsid w:val="00143E02"/>
    <w:rsid w:val="0014531C"/>
    <w:rsid w:val="00146FDA"/>
    <w:rsid w:val="0014715C"/>
    <w:rsid w:val="001507EB"/>
    <w:rsid w:val="001517DB"/>
    <w:rsid w:val="00153944"/>
    <w:rsid w:val="00153B49"/>
    <w:rsid w:val="00154F35"/>
    <w:rsid w:val="00155C64"/>
    <w:rsid w:val="0015729E"/>
    <w:rsid w:val="00160DB7"/>
    <w:rsid w:val="001649DE"/>
    <w:rsid w:val="0018004E"/>
    <w:rsid w:val="00186EE6"/>
    <w:rsid w:val="00194E71"/>
    <w:rsid w:val="00196A9A"/>
    <w:rsid w:val="00197E07"/>
    <w:rsid w:val="001A47BF"/>
    <w:rsid w:val="001B2F4B"/>
    <w:rsid w:val="001B3A6A"/>
    <w:rsid w:val="001B5019"/>
    <w:rsid w:val="001B605D"/>
    <w:rsid w:val="001B60A7"/>
    <w:rsid w:val="001B6389"/>
    <w:rsid w:val="001C1BF3"/>
    <w:rsid w:val="001C4D0C"/>
    <w:rsid w:val="001C682D"/>
    <w:rsid w:val="001C794A"/>
    <w:rsid w:val="001D3D77"/>
    <w:rsid w:val="001D4658"/>
    <w:rsid w:val="001D53A3"/>
    <w:rsid w:val="001D6EA6"/>
    <w:rsid w:val="001D721F"/>
    <w:rsid w:val="001E5FAF"/>
    <w:rsid w:val="001E665F"/>
    <w:rsid w:val="001E725D"/>
    <w:rsid w:val="001F2E46"/>
    <w:rsid w:val="001F65B0"/>
    <w:rsid w:val="001F758F"/>
    <w:rsid w:val="002005D5"/>
    <w:rsid w:val="0020125E"/>
    <w:rsid w:val="002032F5"/>
    <w:rsid w:val="0020444C"/>
    <w:rsid w:val="00206175"/>
    <w:rsid w:val="002100AB"/>
    <w:rsid w:val="002102C2"/>
    <w:rsid w:val="00216EC8"/>
    <w:rsid w:val="002174D2"/>
    <w:rsid w:val="00220288"/>
    <w:rsid w:val="00225191"/>
    <w:rsid w:val="00230BF8"/>
    <w:rsid w:val="002311C8"/>
    <w:rsid w:val="00231A1A"/>
    <w:rsid w:val="0023588E"/>
    <w:rsid w:val="00236A73"/>
    <w:rsid w:val="00236E57"/>
    <w:rsid w:val="00241863"/>
    <w:rsid w:val="0024569B"/>
    <w:rsid w:val="00245D0F"/>
    <w:rsid w:val="0025043F"/>
    <w:rsid w:val="00251FDE"/>
    <w:rsid w:val="00257209"/>
    <w:rsid w:val="00257524"/>
    <w:rsid w:val="00263B5A"/>
    <w:rsid w:val="00265EA1"/>
    <w:rsid w:val="0027094C"/>
    <w:rsid w:val="002722FE"/>
    <w:rsid w:val="00273776"/>
    <w:rsid w:val="00273A5D"/>
    <w:rsid w:val="00283B95"/>
    <w:rsid w:val="00291895"/>
    <w:rsid w:val="002963B7"/>
    <w:rsid w:val="00296609"/>
    <w:rsid w:val="002A13AF"/>
    <w:rsid w:val="002A188F"/>
    <w:rsid w:val="002A2C32"/>
    <w:rsid w:val="002A34D3"/>
    <w:rsid w:val="002A5F3F"/>
    <w:rsid w:val="002B39C7"/>
    <w:rsid w:val="002B4F1B"/>
    <w:rsid w:val="002C4A98"/>
    <w:rsid w:val="002C5DB2"/>
    <w:rsid w:val="002C7F63"/>
    <w:rsid w:val="002D555C"/>
    <w:rsid w:val="002D7451"/>
    <w:rsid w:val="002E2417"/>
    <w:rsid w:val="002E4116"/>
    <w:rsid w:val="002F03F3"/>
    <w:rsid w:val="002F0B0F"/>
    <w:rsid w:val="002F1D04"/>
    <w:rsid w:val="002F3B55"/>
    <w:rsid w:val="002F6148"/>
    <w:rsid w:val="002F6C23"/>
    <w:rsid w:val="002F7831"/>
    <w:rsid w:val="00310066"/>
    <w:rsid w:val="003131C1"/>
    <w:rsid w:val="003162B3"/>
    <w:rsid w:val="00316622"/>
    <w:rsid w:val="0031690D"/>
    <w:rsid w:val="00320025"/>
    <w:rsid w:val="00322032"/>
    <w:rsid w:val="00322214"/>
    <w:rsid w:val="00324F20"/>
    <w:rsid w:val="0033491A"/>
    <w:rsid w:val="0033681D"/>
    <w:rsid w:val="003402D9"/>
    <w:rsid w:val="0034485B"/>
    <w:rsid w:val="0034765C"/>
    <w:rsid w:val="003500B1"/>
    <w:rsid w:val="00352DD1"/>
    <w:rsid w:val="00357529"/>
    <w:rsid w:val="0036317A"/>
    <w:rsid w:val="00370C49"/>
    <w:rsid w:val="0037170B"/>
    <w:rsid w:val="003718BA"/>
    <w:rsid w:val="00371C58"/>
    <w:rsid w:val="00371CA4"/>
    <w:rsid w:val="00372B33"/>
    <w:rsid w:val="00376636"/>
    <w:rsid w:val="00376B26"/>
    <w:rsid w:val="003846C0"/>
    <w:rsid w:val="0039329F"/>
    <w:rsid w:val="003944F0"/>
    <w:rsid w:val="00396574"/>
    <w:rsid w:val="00397255"/>
    <w:rsid w:val="003A006B"/>
    <w:rsid w:val="003A17E4"/>
    <w:rsid w:val="003A1C5C"/>
    <w:rsid w:val="003A1D50"/>
    <w:rsid w:val="003A2EB1"/>
    <w:rsid w:val="003A38E6"/>
    <w:rsid w:val="003A720A"/>
    <w:rsid w:val="003A7F5C"/>
    <w:rsid w:val="003B192E"/>
    <w:rsid w:val="003B4B6C"/>
    <w:rsid w:val="003B4DA6"/>
    <w:rsid w:val="003B4DBF"/>
    <w:rsid w:val="003C2DB8"/>
    <w:rsid w:val="003C31D7"/>
    <w:rsid w:val="003C3EE3"/>
    <w:rsid w:val="003C629F"/>
    <w:rsid w:val="003C6CE0"/>
    <w:rsid w:val="003D0640"/>
    <w:rsid w:val="003D0AC0"/>
    <w:rsid w:val="003D6321"/>
    <w:rsid w:val="003D6FBE"/>
    <w:rsid w:val="003E1848"/>
    <w:rsid w:val="003E2540"/>
    <w:rsid w:val="003E2A1E"/>
    <w:rsid w:val="003E2F1B"/>
    <w:rsid w:val="003E7616"/>
    <w:rsid w:val="003F68EA"/>
    <w:rsid w:val="0040272D"/>
    <w:rsid w:val="00402D63"/>
    <w:rsid w:val="00403CBB"/>
    <w:rsid w:val="004045A5"/>
    <w:rsid w:val="00404D60"/>
    <w:rsid w:val="004073DA"/>
    <w:rsid w:val="0041124E"/>
    <w:rsid w:val="00412ABC"/>
    <w:rsid w:val="004152BB"/>
    <w:rsid w:val="00415520"/>
    <w:rsid w:val="004233E2"/>
    <w:rsid w:val="00424CB5"/>
    <w:rsid w:val="0042552B"/>
    <w:rsid w:val="004258E2"/>
    <w:rsid w:val="00426206"/>
    <w:rsid w:val="00426BA4"/>
    <w:rsid w:val="00430630"/>
    <w:rsid w:val="00430650"/>
    <w:rsid w:val="00430C15"/>
    <w:rsid w:val="00431497"/>
    <w:rsid w:val="0043183A"/>
    <w:rsid w:val="00436D8C"/>
    <w:rsid w:val="004370AC"/>
    <w:rsid w:val="0044151F"/>
    <w:rsid w:val="00444A47"/>
    <w:rsid w:val="004551BC"/>
    <w:rsid w:val="00456415"/>
    <w:rsid w:val="00465226"/>
    <w:rsid w:val="00465BF5"/>
    <w:rsid w:val="00467E92"/>
    <w:rsid w:val="00470451"/>
    <w:rsid w:val="00471988"/>
    <w:rsid w:val="0048186F"/>
    <w:rsid w:val="00481A59"/>
    <w:rsid w:val="00482B53"/>
    <w:rsid w:val="00484CE1"/>
    <w:rsid w:val="004850B2"/>
    <w:rsid w:val="004868D1"/>
    <w:rsid w:val="00487478"/>
    <w:rsid w:val="00487668"/>
    <w:rsid w:val="00487965"/>
    <w:rsid w:val="004911E2"/>
    <w:rsid w:val="00494573"/>
    <w:rsid w:val="004945E5"/>
    <w:rsid w:val="004A1D43"/>
    <w:rsid w:val="004A40F9"/>
    <w:rsid w:val="004A7FDE"/>
    <w:rsid w:val="004B05E8"/>
    <w:rsid w:val="004B47EE"/>
    <w:rsid w:val="004B4F7B"/>
    <w:rsid w:val="004B6480"/>
    <w:rsid w:val="004B71A4"/>
    <w:rsid w:val="004C74A4"/>
    <w:rsid w:val="004C7A8B"/>
    <w:rsid w:val="004D5D68"/>
    <w:rsid w:val="004D5F9E"/>
    <w:rsid w:val="004D7CBC"/>
    <w:rsid w:val="004E0939"/>
    <w:rsid w:val="004E0C29"/>
    <w:rsid w:val="004E49A8"/>
    <w:rsid w:val="004F00CD"/>
    <w:rsid w:val="004F321F"/>
    <w:rsid w:val="004F64D5"/>
    <w:rsid w:val="004F6D04"/>
    <w:rsid w:val="004F6D81"/>
    <w:rsid w:val="00500403"/>
    <w:rsid w:val="00503BAD"/>
    <w:rsid w:val="005043B2"/>
    <w:rsid w:val="00504598"/>
    <w:rsid w:val="00504773"/>
    <w:rsid w:val="00510747"/>
    <w:rsid w:val="00510FF7"/>
    <w:rsid w:val="00511354"/>
    <w:rsid w:val="005133BD"/>
    <w:rsid w:val="00521B81"/>
    <w:rsid w:val="00522234"/>
    <w:rsid w:val="00522D35"/>
    <w:rsid w:val="0052392E"/>
    <w:rsid w:val="005275A6"/>
    <w:rsid w:val="005300C0"/>
    <w:rsid w:val="0053455D"/>
    <w:rsid w:val="005361C1"/>
    <w:rsid w:val="005365F6"/>
    <w:rsid w:val="00536E81"/>
    <w:rsid w:val="0053747D"/>
    <w:rsid w:val="00544650"/>
    <w:rsid w:val="00544800"/>
    <w:rsid w:val="0055046A"/>
    <w:rsid w:val="005511FB"/>
    <w:rsid w:val="00553655"/>
    <w:rsid w:val="00555101"/>
    <w:rsid w:val="0056243B"/>
    <w:rsid w:val="005632CC"/>
    <w:rsid w:val="0057229B"/>
    <w:rsid w:val="00573FDD"/>
    <w:rsid w:val="00576130"/>
    <w:rsid w:val="00581800"/>
    <w:rsid w:val="00582D7F"/>
    <w:rsid w:val="00582EBB"/>
    <w:rsid w:val="005856AC"/>
    <w:rsid w:val="00586FC7"/>
    <w:rsid w:val="00590BD8"/>
    <w:rsid w:val="00592C68"/>
    <w:rsid w:val="00596CD2"/>
    <w:rsid w:val="005A3F59"/>
    <w:rsid w:val="005A4E03"/>
    <w:rsid w:val="005A6C86"/>
    <w:rsid w:val="005B16AC"/>
    <w:rsid w:val="005B192C"/>
    <w:rsid w:val="005B48FE"/>
    <w:rsid w:val="005C17B0"/>
    <w:rsid w:val="005C1BE5"/>
    <w:rsid w:val="005C414C"/>
    <w:rsid w:val="005D1765"/>
    <w:rsid w:val="005D4DB1"/>
    <w:rsid w:val="005D5DA0"/>
    <w:rsid w:val="005D6E68"/>
    <w:rsid w:val="005D7BC7"/>
    <w:rsid w:val="005F1D37"/>
    <w:rsid w:val="005F31AA"/>
    <w:rsid w:val="00603BDB"/>
    <w:rsid w:val="00607759"/>
    <w:rsid w:val="0061093A"/>
    <w:rsid w:val="00611F19"/>
    <w:rsid w:val="00615831"/>
    <w:rsid w:val="00615A2A"/>
    <w:rsid w:val="00617319"/>
    <w:rsid w:val="00622606"/>
    <w:rsid w:val="006231AB"/>
    <w:rsid w:val="0062344A"/>
    <w:rsid w:val="00623C8C"/>
    <w:rsid w:val="006259D7"/>
    <w:rsid w:val="0062695B"/>
    <w:rsid w:val="00630CF6"/>
    <w:rsid w:val="006339B7"/>
    <w:rsid w:val="006341FA"/>
    <w:rsid w:val="00635618"/>
    <w:rsid w:val="0063788D"/>
    <w:rsid w:val="00641DC8"/>
    <w:rsid w:val="006430C9"/>
    <w:rsid w:val="00644070"/>
    <w:rsid w:val="00644812"/>
    <w:rsid w:val="00647517"/>
    <w:rsid w:val="00647937"/>
    <w:rsid w:val="00650C4F"/>
    <w:rsid w:val="006545F1"/>
    <w:rsid w:val="00654811"/>
    <w:rsid w:val="00654AEE"/>
    <w:rsid w:val="00657B10"/>
    <w:rsid w:val="006600E3"/>
    <w:rsid w:val="006622BC"/>
    <w:rsid w:val="00664BA5"/>
    <w:rsid w:val="00667498"/>
    <w:rsid w:val="00670712"/>
    <w:rsid w:val="00673B0C"/>
    <w:rsid w:val="0067514B"/>
    <w:rsid w:val="00675FA5"/>
    <w:rsid w:val="00681D36"/>
    <w:rsid w:val="00681DA2"/>
    <w:rsid w:val="0068288B"/>
    <w:rsid w:val="006843EE"/>
    <w:rsid w:val="00693A27"/>
    <w:rsid w:val="00694CDD"/>
    <w:rsid w:val="0069667F"/>
    <w:rsid w:val="006972DE"/>
    <w:rsid w:val="00697EE3"/>
    <w:rsid w:val="006A24B6"/>
    <w:rsid w:val="006A340B"/>
    <w:rsid w:val="006A4D9F"/>
    <w:rsid w:val="006A534A"/>
    <w:rsid w:val="006A6020"/>
    <w:rsid w:val="006B28C8"/>
    <w:rsid w:val="006B4CF9"/>
    <w:rsid w:val="006B68CA"/>
    <w:rsid w:val="006C11D1"/>
    <w:rsid w:val="006C2BE9"/>
    <w:rsid w:val="006C6EAA"/>
    <w:rsid w:val="006D10A4"/>
    <w:rsid w:val="006D4639"/>
    <w:rsid w:val="006D5B64"/>
    <w:rsid w:val="006D7F71"/>
    <w:rsid w:val="006E0FBB"/>
    <w:rsid w:val="006E3A14"/>
    <w:rsid w:val="006E4CF6"/>
    <w:rsid w:val="006E60FC"/>
    <w:rsid w:val="006F01C6"/>
    <w:rsid w:val="006F1DCE"/>
    <w:rsid w:val="006F4A1D"/>
    <w:rsid w:val="006F73C4"/>
    <w:rsid w:val="006F7F0C"/>
    <w:rsid w:val="00700ABC"/>
    <w:rsid w:val="00702FD0"/>
    <w:rsid w:val="00703AF4"/>
    <w:rsid w:val="00704678"/>
    <w:rsid w:val="00705922"/>
    <w:rsid w:val="00720BB3"/>
    <w:rsid w:val="007227D7"/>
    <w:rsid w:val="0072673B"/>
    <w:rsid w:val="00727476"/>
    <w:rsid w:val="00727D37"/>
    <w:rsid w:val="00730277"/>
    <w:rsid w:val="007331C2"/>
    <w:rsid w:val="00734D43"/>
    <w:rsid w:val="0073703F"/>
    <w:rsid w:val="00737126"/>
    <w:rsid w:val="00744288"/>
    <w:rsid w:val="00747973"/>
    <w:rsid w:val="007517CA"/>
    <w:rsid w:val="00751EC2"/>
    <w:rsid w:val="0075720C"/>
    <w:rsid w:val="007613D8"/>
    <w:rsid w:val="00762438"/>
    <w:rsid w:val="00763DB2"/>
    <w:rsid w:val="007640E4"/>
    <w:rsid w:val="00767DAB"/>
    <w:rsid w:val="00770059"/>
    <w:rsid w:val="00770FEE"/>
    <w:rsid w:val="00774E24"/>
    <w:rsid w:val="00774EB1"/>
    <w:rsid w:val="00775FBF"/>
    <w:rsid w:val="00783A19"/>
    <w:rsid w:val="00784ACA"/>
    <w:rsid w:val="007858AB"/>
    <w:rsid w:val="0079031B"/>
    <w:rsid w:val="007961FE"/>
    <w:rsid w:val="00796939"/>
    <w:rsid w:val="007A70F3"/>
    <w:rsid w:val="007A7265"/>
    <w:rsid w:val="007B25AA"/>
    <w:rsid w:val="007B3C63"/>
    <w:rsid w:val="007C243A"/>
    <w:rsid w:val="007C5F8A"/>
    <w:rsid w:val="007C6AA9"/>
    <w:rsid w:val="007D03A3"/>
    <w:rsid w:val="007D17D1"/>
    <w:rsid w:val="007D70A1"/>
    <w:rsid w:val="007E1C0B"/>
    <w:rsid w:val="007F0651"/>
    <w:rsid w:val="007F694C"/>
    <w:rsid w:val="00800696"/>
    <w:rsid w:val="00800F49"/>
    <w:rsid w:val="00812070"/>
    <w:rsid w:val="008142D4"/>
    <w:rsid w:val="008151E4"/>
    <w:rsid w:val="00817F88"/>
    <w:rsid w:val="008216C0"/>
    <w:rsid w:val="00822102"/>
    <w:rsid w:val="00822D19"/>
    <w:rsid w:val="00823080"/>
    <w:rsid w:val="008230C1"/>
    <w:rsid w:val="0082448E"/>
    <w:rsid w:val="00824A14"/>
    <w:rsid w:val="00824DD2"/>
    <w:rsid w:val="00825603"/>
    <w:rsid w:val="00827902"/>
    <w:rsid w:val="00830BE0"/>
    <w:rsid w:val="00831D2E"/>
    <w:rsid w:val="008326D6"/>
    <w:rsid w:val="00837353"/>
    <w:rsid w:val="00840242"/>
    <w:rsid w:val="00841B24"/>
    <w:rsid w:val="00841BE6"/>
    <w:rsid w:val="0085204E"/>
    <w:rsid w:val="008551B6"/>
    <w:rsid w:val="008557C6"/>
    <w:rsid w:val="00856481"/>
    <w:rsid w:val="0085755C"/>
    <w:rsid w:val="00861BA3"/>
    <w:rsid w:val="0086205A"/>
    <w:rsid w:val="0086339F"/>
    <w:rsid w:val="008645C1"/>
    <w:rsid w:val="008661D0"/>
    <w:rsid w:val="008721C7"/>
    <w:rsid w:val="00876338"/>
    <w:rsid w:val="00877586"/>
    <w:rsid w:val="0088027D"/>
    <w:rsid w:val="00880977"/>
    <w:rsid w:val="008835CF"/>
    <w:rsid w:val="00894A95"/>
    <w:rsid w:val="008A3EAA"/>
    <w:rsid w:val="008A4196"/>
    <w:rsid w:val="008A5901"/>
    <w:rsid w:val="008A63D8"/>
    <w:rsid w:val="008A68FA"/>
    <w:rsid w:val="008B2C92"/>
    <w:rsid w:val="008B2E66"/>
    <w:rsid w:val="008B48E5"/>
    <w:rsid w:val="008B4ADE"/>
    <w:rsid w:val="008C0F94"/>
    <w:rsid w:val="008C1EB9"/>
    <w:rsid w:val="008C2B00"/>
    <w:rsid w:val="008C3AFF"/>
    <w:rsid w:val="008C3BED"/>
    <w:rsid w:val="008C7C45"/>
    <w:rsid w:val="008D30B8"/>
    <w:rsid w:val="008D3DC5"/>
    <w:rsid w:val="008D494A"/>
    <w:rsid w:val="008D56C9"/>
    <w:rsid w:val="008D5FB0"/>
    <w:rsid w:val="008D6D93"/>
    <w:rsid w:val="008E040A"/>
    <w:rsid w:val="008E05EF"/>
    <w:rsid w:val="008E2F10"/>
    <w:rsid w:val="008E4EA0"/>
    <w:rsid w:val="008F502B"/>
    <w:rsid w:val="008F5EB4"/>
    <w:rsid w:val="0090045E"/>
    <w:rsid w:val="00913D25"/>
    <w:rsid w:val="00921901"/>
    <w:rsid w:val="0092287D"/>
    <w:rsid w:val="00922EB5"/>
    <w:rsid w:val="009239E2"/>
    <w:rsid w:val="009245D0"/>
    <w:rsid w:val="00925B14"/>
    <w:rsid w:val="009274B1"/>
    <w:rsid w:val="00933F37"/>
    <w:rsid w:val="009356E3"/>
    <w:rsid w:val="00935DF9"/>
    <w:rsid w:val="00941B94"/>
    <w:rsid w:val="009463EF"/>
    <w:rsid w:val="009471B8"/>
    <w:rsid w:val="0094730E"/>
    <w:rsid w:val="009500D5"/>
    <w:rsid w:val="00950241"/>
    <w:rsid w:val="00951439"/>
    <w:rsid w:val="00951C6D"/>
    <w:rsid w:val="00952ACE"/>
    <w:rsid w:val="00956727"/>
    <w:rsid w:val="009602F4"/>
    <w:rsid w:val="0096494E"/>
    <w:rsid w:val="0096620C"/>
    <w:rsid w:val="0096692B"/>
    <w:rsid w:val="009716C6"/>
    <w:rsid w:val="0097212D"/>
    <w:rsid w:val="00975016"/>
    <w:rsid w:val="009805C7"/>
    <w:rsid w:val="0098152C"/>
    <w:rsid w:val="00982378"/>
    <w:rsid w:val="00984A00"/>
    <w:rsid w:val="00990FAA"/>
    <w:rsid w:val="00992BAA"/>
    <w:rsid w:val="0099393E"/>
    <w:rsid w:val="009940D4"/>
    <w:rsid w:val="0099423D"/>
    <w:rsid w:val="00994A9E"/>
    <w:rsid w:val="00996C63"/>
    <w:rsid w:val="009A0426"/>
    <w:rsid w:val="009A28C3"/>
    <w:rsid w:val="009A337C"/>
    <w:rsid w:val="009A6F1D"/>
    <w:rsid w:val="009B0BED"/>
    <w:rsid w:val="009B26E0"/>
    <w:rsid w:val="009B377D"/>
    <w:rsid w:val="009B45A4"/>
    <w:rsid w:val="009B504E"/>
    <w:rsid w:val="009C257E"/>
    <w:rsid w:val="009C260B"/>
    <w:rsid w:val="009C74FF"/>
    <w:rsid w:val="009D0961"/>
    <w:rsid w:val="009D2B29"/>
    <w:rsid w:val="009D440D"/>
    <w:rsid w:val="009D507D"/>
    <w:rsid w:val="009D7206"/>
    <w:rsid w:val="009D79EE"/>
    <w:rsid w:val="009E4FB6"/>
    <w:rsid w:val="009F130D"/>
    <w:rsid w:val="009F14DC"/>
    <w:rsid w:val="009F6011"/>
    <w:rsid w:val="00A000F2"/>
    <w:rsid w:val="00A01968"/>
    <w:rsid w:val="00A03025"/>
    <w:rsid w:val="00A031B0"/>
    <w:rsid w:val="00A1110F"/>
    <w:rsid w:val="00A13A43"/>
    <w:rsid w:val="00A15406"/>
    <w:rsid w:val="00A20F71"/>
    <w:rsid w:val="00A243C8"/>
    <w:rsid w:val="00A25EA5"/>
    <w:rsid w:val="00A40795"/>
    <w:rsid w:val="00A438CE"/>
    <w:rsid w:val="00A444F8"/>
    <w:rsid w:val="00A47D12"/>
    <w:rsid w:val="00A52D6E"/>
    <w:rsid w:val="00A62E4A"/>
    <w:rsid w:val="00A7391A"/>
    <w:rsid w:val="00A80D35"/>
    <w:rsid w:val="00A81AE2"/>
    <w:rsid w:val="00A833EE"/>
    <w:rsid w:val="00A834C0"/>
    <w:rsid w:val="00A84436"/>
    <w:rsid w:val="00A85221"/>
    <w:rsid w:val="00A90152"/>
    <w:rsid w:val="00A90757"/>
    <w:rsid w:val="00AA28D3"/>
    <w:rsid w:val="00AA47D0"/>
    <w:rsid w:val="00AA63D3"/>
    <w:rsid w:val="00AA79D6"/>
    <w:rsid w:val="00AB3544"/>
    <w:rsid w:val="00AB5953"/>
    <w:rsid w:val="00AB5CBB"/>
    <w:rsid w:val="00AB71CF"/>
    <w:rsid w:val="00AB774B"/>
    <w:rsid w:val="00AB7A42"/>
    <w:rsid w:val="00AC438A"/>
    <w:rsid w:val="00AC774C"/>
    <w:rsid w:val="00AC78BB"/>
    <w:rsid w:val="00AD107E"/>
    <w:rsid w:val="00AD1235"/>
    <w:rsid w:val="00AD1F45"/>
    <w:rsid w:val="00AD58B1"/>
    <w:rsid w:val="00AD6B81"/>
    <w:rsid w:val="00AD788E"/>
    <w:rsid w:val="00AE2888"/>
    <w:rsid w:val="00AE2A22"/>
    <w:rsid w:val="00AF0800"/>
    <w:rsid w:val="00AF3CF8"/>
    <w:rsid w:val="00AF49F3"/>
    <w:rsid w:val="00B00B20"/>
    <w:rsid w:val="00B0736D"/>
    <w:rsid w:val="00B07F2D"/>
    <w:rsid w:val="00B13B6B"/>
    <w:rsid w:val="00B14CF5"/>
    <w:rsid w:val="00B16230"/>
    <w:rsid w:val="00B24038"/>
    <w:rsid w:val="00B3091D"/>
    <w:rsid w:val="00B30D9F"/>
    <w:rsid w:val="00B364FD"/>
    <w:rsid w:val="00B36E92"/>
    <w:rsid w:val="00B4175F"/>
    <w:rsid w:val="00B41B30"/>
    <w:rsid w:val="00B4254F"/>
    <w:rsid w:val="00B50CC5"/>
    <w:rsid w:val="00B51082"/>
    <w:rsid w:val="00B51D1A"/>
    <w:rsid w:val="00B539AF"/>
    <w:rsid w:val="00B53FFC"/>
    <w:rsid w:val="00B54625"/>
    <w:rsid w:val="00B55F48"/>
    <w:rsid w:val="00B61445"/>
    <w:rsid w:val="00B629AC"/>
    <w:rsid w:val="00B65AE4"/>
    <w:rsid w:val="00B7016D"/>
    <w:rsid w:val="00B7366F"/>
    <w:rsid w:val="00B748DA"/>
    <w:rsid w:val="00B76A92"/>
    <w:rsid w:val="00B76AF6"/>
    <w:rsid w:val="00B7778E"/>
    <w:rsid w:val="00B777D8"/>
    <w:rsid w:val="00B8222E"/>
    <w:rsid w:val="00B85A1F"/>
    <w:rsid w:val="00B87152"/>
    <w:rsid w:val="00B92714"/>
    <w:rsid w:val="00BA0169"/>
    <w:rsid w:val="00BA32E8"/>
    <w:rsid w:val="00BA3BCB"/>
    <w:rsid w:val="00BA71C1"/>
    <w:rsid w:val="00BB4D62"/>
    <w:rsid w:val="00BB6166"/>
    <w:rsid w:val="00BB78EB"/>
    <w:rsid w:val="00BB7FFD"/>
    <w:rsid w:val="00BC1A1A"/>
    <w:rsid w:val="00BC4CB4"/>
    <w:rsid w:val="00BC4FC6"/>
    <w:rsid w:val="00BC530A"/>
    <w:rsid w:val="00BC7495"/>
    <w:rsid w:val="00BD1F3F"/>
    <w:rsid w:val="00BD5964"/>
    <w:rsid w:val="00BD61BE"/>
    <w:rsid w:val="00BF21CE"/>
    <w:rsid w:val="00BF2ADC"/>
    <w:rsid w:val="00BF5662"/>
    <w:rsid w:val="00C0343D"/>
    <w:rsid w:val="00C05008"/>
    <w:rsid w:val="00C06C40"/>
    <w:rsid w:val="00C11008"/>
    <w:rsid w:val="00C1122A"/>
    <w:rsid w:val="00C16E91"/>
    <w:rsid w:val="00C174A0"/>
    <w:rsid w:val="00C249E6"/>
    <w:rsid w:val="00C250AC"/>
    <w:rsid w:val="00C30DB7"/>
    <w:rsid w:val="00C334C0"/>
    <w:rsid w:val="00C34B53"/>
    <w:rsid w:val="00C35080"/>
    <w:rsid w:val="00C42F67"/>
    <w:rsid w:val="00C4370B"/>
    <w:rsid w:val="00C46AFB"/>
    <w:rsid w:val="00C470C2"/>
    <w:rsid w:val="00C4732F"/>
    <w:rsid w:val="00C47E9D"/>
    <w:rsid w:val="00C50ADD"/>
    <w:rsid w:val="00C5619D"/>
    <w:rsid w:val="00C661BC"/>
    <w:rsid w:val="00C67BCA"/>
    <w:rsid w:val="00C67E2E"/>
    <w:rsid w:val="00C72AF7"/>
    <w:rsid w:val="00C72EA7"/>
    <w:rsid w:val="00C87B92"/>
    <w:rsid w:val="00C90E80"/>
    <w:rsid w:val="00C911F5"/>
    <w:rsid w:val="00C93E16"/>
    <w:rsid w:val="00C94069"/>
    <w:rsid w:val="00C96E2F"/>
    <w:rsid w:val="00C9788F"/>
    <w:rsid w:val="00CA0EA9"/>
    <w:rsid w:val="00CA178E"/>
    <w:rsid w:val="00CA37EF"/>
    <w:rsid w:val="00CA52F8"/>
    <w:rsid w:val="00CB0246"/>
    <w:rsid w:val="00CB0391"/>
    <w:rsid w:val="00CB0578"/>
    <w:rsid w:val="00CB2C9A"/>
    <w:rsid w:val="00CB793D"/>
    <w:rsid w:val="00CB7B50"/>
    <w:rsid w:val="00CC28D9"/>
    <w:rsid w:val="00CC54BB"/>
    <w:rsid w:val="00CC584A"/>
    <w:rsid w:val="00CC7E71"/>
    <w:rsid w:val="00CD0A87"/>
    <w:rsid w:val="00CD4F56"/>
    <w:rsid w:val="00CE1DD5"/>
    <w:rsid w:val="00CE31A9"/>
    <w:rsid w:val="00CE44AB"/>
    <w:rsid w:val="00CE53E8"/>
    <w:rsid w:val="00CE7009"/>
    <w:rsid w:val="00CE7D82"/>
    <w:rsid w:val="00CF1EF6"/>
    <w:rsid w:val="00CF2AF7"/>
    <w:rsid w:val="00CF3934"/>
    <w:rsid w:val="00D00693"/>
    <w:rsid w:val="00D00FF1"/>
    <w:rsid w:val="00D06212"/>
    <w:rsid w:val="00D06E02"/>
    <w:rsid w:val="00D079ED"/>
    <w:rsid w:val="00D10060"/>
    <w:rsid w:val="00D11862"/>
    <w:rsid w:val="00D12C26"/>
    <w:rsid w:val="00D26A01"/>
    <w:rsid w:val="00D26C2D"/>
    <w:rsid w:val="00D3089B"/>
    <w:rsid w:val="00D31166"/>
    <w:rsid w:val="00D3166A"/>
    <w:rsid w:val="00D31DD1"/>
    <w:rsid w:val="00D34AF6"/>
    <w:rsid w:val="00D36591"/>
    <w:rsid w:val="00D36B57"/>
    <w:rsid w:val="00D40CCE"/>
    <w:rsid w:val="00D42492"/>
    <w:rsid w:val="00D45A23"/>
    <w:rsid w:val="00D4685E"/>
    <w:rsid w:val="00D5266E"/>
    <w:rsid w:val="00D532D5"/>
    <w:rsid w:val="00D53B6F"/>
    <w:rsid w:val="00D53F17"/>
    <w:rsid w:val="00D57A63"/>
    <w:rsid w:val="00D607A9"/>
    <w:rsid w:val="00D6206A"/>
    <w:rsid w:val="00D647C2"/>
    <w:rsid w:val="00D64F5F"/>
    <w:rsid w:val="00D65CAB"/>
    <w:rsid w:val="00D67916"/>
    <w:rsid w:val="00D7002F"/>
    <w:rsid w:val="00D737E5"/>
    <w:rsid w:val="00D75E50"/>
    <w:rsid w:val="00D811DF"/>
    <w:rsid w:val="00D87834"/>
    <w:rsid w:val="00D9249F"/>
    <w:rsid w:val="00D96025"/>
    <w:rsid w:val="00DA1FF9"/>
    <w:rsid w:val="00DA2809"/>
    <w:rsid w:val="00DA2CDE"/>
    <w:rsid w:val="00DB78D9"/>
    <w:rsid w:val="00DC1275"/>
    <w:rsid w:val="00DC1C25"/>
    <w:rsid w:val="00DC29F9"/>
    <w:rsid w:val="00DC3590"/>
    <w:rsid w:val="00DC3811"/>
    <w:rsid w:val="00DC4116"/>
    <w:rsid w:val="00DC421E"/>
    <w:rsid w:val="00DC59EA"/>
    <w:rsid w:val="00DC6E1D"/>
    <w:rsid w:val="00DD15E5"/>
    <w:rsid w:val="00DD5079"/>
    <w:rsid w:val="00DD5461"/>
    <w:rsid w:val="00DE1156"/>
    <w:rsid w:val="00DE2A23"/>
    <w:rsid w:val="00DE527D"/>
    <w:rsid w:val="00DE63D4"/>
    <w:rsid w:val="00DF0E5C"/>
    <w:rsid w:val="00DF256F"/>
    <w:rsid w:val="00DF5FC1"/>
    <w:rsid w:val="00E0136B"/>
    <w:rsid w:val="00E03E7B"/>
    <w:rsid w:val="00E041C6"/>
    <w:rsid w:val="00E046F4"/>
    <w:rsid w:val="00E052E2"/>
    <w:rsid w:val="00E06676"/>
    <w:rsid w:val="00E1235F"/>
    <w:rsid w:val="00E21465"/>
    <w:rsid w:val="00E23AC2"/>
    <w:rsid w:val="00E24F32"/>
    <w:rsid w:val="00E252FD"/>
    <w:rsid w:val="00E270E0"/>
    <w:rsid w:val="00E319A9"/>
    <w:rsid w:val="00E376CE"/>
    <w:rsid w:val="00E37D04"/>
    <w:rsid w:val="00E4196D"/>
    <w:rsid w:val="00E449C8"/>
    <w:rsid w:val="00E45B63"/>
    <w:rsid w:val="00E46B62"/>
    <w:rsid w:val="00E50158"/>
    <w:rsid w:val="00E60408"/>
    <w:rsid w:val="00E608EF"/>
    <w:rsid w:val="00E6291C"/>
    <w:rsid w:val="00E67B8B"/>
    <w:rsid w:val="00E71130"/>
    <w:rsid w:val="00E74529"/>
    <w:rsid w:val="00E848F1"/>
    <w:rsid w:val="00E86945"/>
    <w:rsid w:val="00E87934"/>
    <w:rsid w:val="00E91154"/>
    <w:rsid w:val="00E93777"/>
    <w:rsid w:val="00E93A47"/>
    <w:rsid w:val="00E96717"/>
    <w:rsid w:val="00E972A4"/>
    <w:rsid w:val="00E97489"/>
    <w:rsid w:val="00EA3052"/>
    <w:rsid w:val="00EA5757"/>
    <w:rsid w:val="00EA6CD2"/>
    <w:rsid w:val="00EB1DB5"/>
    <w:rsid w:val="00EB373C"/>
    <w:rsid w:val="00EB3D64"/>
    <w:rsid w:val="00EB5581"/>
    <w:rsid w:val="00EC48E6"/>
    <w:rsid w:val="00ED1708"/>
    <w:rsid w:val="00ED240C"/>
    <w:rsid w:val="00EE024B"/>
    <w:rsid w:val="00EE07DE"/>
    <w:rsid w:val="00EE2D8F"/>
    <w:rsid w:val="00EE3046"/>
    <w:rsid w:val="00EE3343"/>
    <w:rsid w:val="00EE3D77"/>
    <w:rsid w:val="00EE5644"/>
    <w:rsid w:val="00EF0B3F"/>
    <w:rsid w:val="00EF4D78"/>
    <w:rsid w:val="00EF5444"/>
    <w:rsid w:val="00EF7DD1"/>
    <w:rsid w:val="00F01C96"/>
    <w:rsid w:val="00F04261"/>
    <w:rsid w:val="00F04357"/>
    <w:rsid w:val="00F06020"/>
    <w:rsid w:val="00F06181"/>
    <w:rsid w:val="00F11D64"/>
    <w:rsid w:val="00F15C0F"/>
    <w:rsid w:val="00F17CA8"/>
    <w:rsid w:val="00F22157"/>
    <w:rsid w:val="00F225EB"/>
    <w:rsid w:val="00F24353"/>
    <w:rsid w:val="00F30DEF"/>
    <w:rsid w:val="00F35E5E"/>
    <w:rsid w:val="00F404B5"/>
    <w:rsid w:val="00F4397E"/>
    <w:rsid w:val="00F44F19"/>
    <w:rsid w:val="00F50397"/>
    <w:rsid w:val="00F50833"/>
    <w:rsid w:val="00F54A2F"/>
    <w:rsid w:val="00F55008"/>
    <w:rsid w:val="00F61C39"/>
    <w:rsid w:val="00F62830"/>
    <w:rsid w:val="00F708E4"/>
    <w:rsid w:val="00F7112A"/>
    <w:rsid w:val="00F71443"/>
    <w:rsid w:val="00F7391A"/>
    <w:rsid w:val="00F818AC"/>
    <w:rsid w:val="00F81B9A"/>
    <w:rsid w:val="00F84BD5"/>
    <w:rsid w:val="00F85F92"/>
    <w:rsid w:val="00F9050C"/>
    <w:rsid w:val="00F93D7C"/>
    <w:rsid w:val="00F961C9"/>
    <w:rsid w:val="00F9793F"/>
    <w:rsid w:val="00FA22B0"/>
    <w:rsid w:val="00FA43CB"/>
    <w:rsid w:val="00FA5BAC"/>
    <w:rsid w:val="00FA6633"/>
    <w:rsid w:val="00FB25E5"/>
    <w:rsid w:val="00FB45BA"/>
    <w:rsid w:val="00FB4991"/>
    <w:rsid w:val="00FB565B"/>
    <w:rsid w:val="00FB7256"/>
    <w:rsid w:val="00FC35BF"/>
    <w:rsid w:val="00FC551B"/>
    <w:rsid w:val="00FC5EAC"/>
    <w:rsid w:val="00FD015C"/>
    <w:rsid w:val="00FD1E61"/>
    <w:rsid w:val="00FD3ADB"/>
    <w:rsid w:val="00FE0698"/>
    <w:rsid w:val="00FE127F"/>
    <w:rsid w:val="00FE21A6"/>
    <w:rsid w:val="00FE224E"/>
    <w:rsid w:val="00FE3FB3"/>
    <w:rsid w:val="00FE5830"/>
    <w:rsid w:val="00FF0005"/>
    <w:rsid w:val="00FF07BA"/>
    <w:rsid w:val="00FF7A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B0D3C"/>
  <w15:chartTrackingRefBased/>
  <w15:docId w15:val="{C68A8A9C-6CF3-499F-BFC2-7C9BC303A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C64"/>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0A5EF2"/>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397255"/>
    <w:pPr>
      <w:keepNext/>
      <w:keepLines/>
      <w:spacing w:before="40" w:after="12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0136B"/>
    <w:pPr>
      <w:keepNext/>
      <w:keepLines/>
      <w:spacing w:before="360" w:after="12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CB2C9A"/>
    <w:pPr>
      <w:keepNext/>
      <w:keepLines/>
      <w:spacing w:before="360" w:after="120"/>
      <w:ind w:left="432"/>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A03025"/>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A03025"/>
    <w:rPr>
      <w:rFonts w:ascii="Times New Roman" w:hAnsi="Times New Roman" w:cs="Times New Roman"/>
      <w:noProof/>
      <w:sz w:val="24"/>
    </w:rPr>
  </w:style>
  <w:style w:type="paragraph" w:customStyle="1" w:styleId="EndNoteBibliography">
    <w:name w:val="EndNote Bibliography"/>
    <w:basedOn w:val="Normal"/>
    <w:link w:val="EndNoteBibliographyChar"/>
    <w:rsid w:val="00A03025"/>
    <w:rPr>
      <w:rFonts w:cs="Times New Roman"/>
      <w:noProof/>
    </w:rPr>
  </w:style>
  <w:style w:type="character" w:customStyle="1" w:styleId="EndNoteBibliographyChar">
    <w:name w:val="EndNote Bibliography Char"/>
    <w:basedOn w:val="DefaultParagraphFont"/>
    <w:link w:val="EndNoteBibliography"/>
    <w:rsid w:val="00A03025"/>
    <w:rPr>
      <w:rFonts w:ascii="Times New Roman" w:hAnsi="Times New Roman" w:cs="Times New Roman"/>
      <w:noProof/>
      <w:sz w:val="24"/>
    </w:rPr>
  </w:style>
  <w:style w:type="character" w:styleId="Hyperlink">
    <w:name w:val="Hyperlink"/>
    <w:basedOn w:val="DefaultParagraphFont"/>
    <w:unhideWhenUsed/>
    <w:rsid w:val="00F85F92"/>
    <w:rPr>
      <w:color w:val="0563C1" w:themeColor="hyperlink"/>
      <w:u w:val="single"/>
    </w:rPr>
  </w:style>
  <w:style w:type="paragraph" w:styleId="BalloonText">
    <w:name w:val="Balloon Text"/>
    <w:basedOn w:val="Normal"/>
    <w:link w:val="BalloonTextChar"/>
    <w:uiPriority w:val="99"/>
    <w:semiHidden/>
    <w:unhideWhenUsed/>
    <w:rsid w:val="00E93A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3A47"/>
    <w:rPr>
      <w:rFonts w:ascii="Segoe UI" w:hAnsi="Segoe UI" w:cs="Segoe UI"/>
      <w:sz w:val="18"/>
      <w:szCs w:val="18"/>
    </w:rPr>
  </w:style>
  <w:style w:type="paragraph" w:styleId="Header">
    <w:name w:val="header"/>
    <w:basedOn w:val="Normal"/>
    <w:link w:val="HeaderChar"/>
    <w:uiPriority w:val="99"/>
    <w:unhideWhenUsed/>
    <w:rsid w:val="008A68FA"/>
    <w:pPr>
      <w:tabs>
        <w:tab w:val="center" w:pos="4680"/>
        <w:tab w:val="right" w:pos="9360"/>
      </w:tabs>
      <w:spacing w:after="0"/>
    </w:pPr>
  </w:style>
  <w:style w:type="character" w:customStyle="1" w:styleId="HeaderChar">
    <w:name w:val="Header Char"/>
    <w:basedOn w:val="DefaultParagraphFont"/>
    <w:link w:val="Header"/>
    <w:uiPriority w:val="99"/>
    <w:rsid w:val="008A68FA"/>
    <w:rPr>
      <w:rFonts w:ascii="Times New Roman" w:hAnsi="Times New Roman"/>
      <w:sz w:val="24"/>
    </w:rPr>
  </w:style>
  <w:style w:type="paragraph" w:styleId="Footer">
    <w:name w:val="footer"/>
    <w:basedOn w:val="Normal"/>
    <w:link w:val="FooterChar"/>
    <w:uiPriority w:val="99"/>
    <w:unhideWhenUsed/>
    <w:rsid w:val="008A68FA"/>
    <w:pPr>
      <w:tabs>
        <w:tab w:val="center" w:pos="4680"/>
        <w:tab w:val="right" w:pos="9360"/>
      </w:tabs>
      <w:spacing w:after="0"/>
    </w:pPr>
  </w:style>
  <w:style w:type="character" w:customStyle="1" w:styleId="FooterChar">
    <w:name w:val="Footer Char"/>
    <w:basedOn w:val="DefaultParagraphFont"/>
    <w:link w:val="Footer"/>
    <w:uiPriority w:val="99"/>
    <w:rsid w:val="008A68FA"/>
    <w:rPr>
      <w:rFonts w:ascii="Times New Roman" w:hAnsi="Times New Roman"/>
      <w:sz w:val="24"/>
    </w:rPr>
  </w:style>
  <w:style w:type="paragraph" w:styleId="ListParagraph">
    <w:name w:val="List Paragraph"/>
    <w:basedOn w:val="Normal"/>
    <w:link w:val="ListParagraphChar"/>
    <w:uiPriority w:val="34"/>
    <w:qFormat/>
    <w:rsid w:val="00DA1FF9"/>
    <w:pPr>
      <w:ind w:left="576"/>
    </w:pPr>
  </w:style>
  <w:style w:type="paragraph" w:styleId="Title">
    <w:name w:val="Title"/>
    <w:basedOn w:val="Normal"/>
    <w:next w:val="Normal"/>
    <w:link w:val="TitleChar"/>
    <w:uiPriority w:val="10"/>
    <w:qFormat/>
    <w:rsid w:val="00C174A0"/>
    <w:pPr>
      <w:spacing w:after="0" w:line="360" w:lineRule="auto"/>
      <w:contextualSpacing/>
    </w:pPr>
    <w:rPr>
      <w:rFonts w:ascii="Arial" w:eastAsiaTheme="majorEastAsia" w:hAnsi="Arial" w:cstheme="majorBidi"/>
      <w:b/>
      <w:spacing w:val="-10"/>
      <w:kern w:val="28"/>
      <w:sz w:val="32"/>
      <w:szCs w:val="56"/>
    </w:rPr>
  </w:style>
  <w:style w:type="character" w:customStyle="1" w:styleId="TitleChar">
    <w:name w:val="Title Char"/>
    <w:basedOn w:val="DefaultParagraphFont"/>
    <w:link w:val="Title"/>
    <w:uiPriority w:val="10"/>
    <w:rsid w:val="00C174A0"/>
    <w:rPr>
      <w:rFonts w:ascii="Arial" w:eastAsiaTheme="majorEastAsia" w:hAnsi="Arial" w:cstheme="majorBidi"/>
      <w:b/>
      <w:spacing w:val="-10"/>
      <w:kern w:val="28"/>
      <w:sz w:val="32"/>
      <w:szCs w:val="56"/>
    </w:rPr>
  </w:style>
  <w:style w:type="character" w:customStyle="1" w:styleId="Heading2Char">
    <w:name w:val="Heading 2 Char"/>
    <w:basedOn w:val="DefaultParagraphFont"/>
    <w:link w:val="Heading2"/>
    <w:uiPriority w:val="9"/>
    <w:rsid w:val="00397255"/>
    <w:rPr>
      <w:rFonts w:ascii="Times New Roman" w:eastAsiaTheme="majorEastAsia" w:hAnsi="Times New Roman" w:cstheme="majorBidi"/>
      <w:b/>
      <w:sz w:val="28"/>
      <w:szCs w:val="26"/>
    </w:rPr>
  </w:style>
  <w:style w:type="character" w:customStyle="1" w:styleId="Heading1Char">
    <w:name w:val="Heading 1 Char"/>
    <w:basedOn w:val="DefaultParagraphFont"/>
    <w:link w:val="Heading1"/>
    <w:uiPriority w:val="9"/>
    <w:rsid w:val="000A5EF2"/>
    <w:rPr>
      <w:rFonts w:asciiTheme="majorHAnsi" w:eastAsiaTheme="majorEastAsia" w:hAnsiTheme="majorHAnsi" w:cstheme="majorBidi"/>
      <w:b/>
      <w:sz w:val="36"/>
      <w:szCs w:val="32"/>
    </w:rPr>
  </w:style>
  <w:style w:type="paragraph" w:styleId="BodyText">
    <w:name w:val="Body Text"/>
    <w:basedOn w:val="Normal"/>
    <w:link w:val="BodyTextChar"/>
    <w:uiPriority w:val="99"/>
    <w:unhideWhenUsed/>
    <w:rsid w:val="00DF256F"/>
    <w:pPr>
      <w:spacing w:after="120"/>
    </w:pPr>
  </w:style>
  <w:style w:type="character" w:customStyle="1" w:styleId="BodyTextChar">
    <w:name w:val="Body Text Char"/>
    <w:basedOn w:val="DefaultParagraphFont"/>
    <w:link w:val="BodyText"/>
    <w:uiPriority w:val="99"/>
    <w:rsid w:val="00DF256F"/>
    <w:rPr>
      <w:rFonts w:ascii="Times New Roman" w:hAnsi="Times New Roman"/>
      <w:sz w:val="24"/>
    </w:rPr>
  </w:style>
  <w:style w:type="paragraph" w:styleId="BodyTextFirstIndent">
    <w:name w:val="Body Text First Indent"/>
    <w:basedOn w:val="BodyText"/>
    <w:link w:val="BodyTextFirstIndentChar"/>
    <w:uiPriority w:val="99"/>
    <w:unhideWhenUsed/>
    <w:rsid w:val="007A70F3"/>
    <w:pPr>
      <w:spacing w:after="160"/>
      <w:ind w:firstLine="360"/>
    </w:pPr>
  </w:style>
  <w:style w:type="character" w:customStyle="1" w:styleId="BodyTextFirstIndentChar">
    <w:name w:val="Body Text First Indent Char"/>
    <w:basedOn w:val="BodyTextChar"/>
    <w:link w:val="BodyTextFirstIndent"/>
    <w:uiPriority w:val="99"/>
    <w:rsid w:val="007A70F3"/>
    <w:rPr>
      <w:rFonts w:ascii="Times New Roman" w:hAnsi="Times New Roman"/>
      <w:sz w:val="24"/>
    </w:rPr>
  </w:style>
  <w:style w:type="character" w:customStyle="1" w:styleId="Heading3Char">
    <w:name w:val="Heading 3 Char"/>
    <w:basedOn w:val="DefaultParagraphFont"/>
    <w:link w:val="Heading3"/>
    <w:uiPriority w:val="9"/>
    <w:rsid w:val="00E0136B"/>
    <w:rPr>
      <w:rFonts w:ascii="Times New Roman" w:eastAsiaTheme="majorEastAsia" w:hAnsi="Times New Roman" w:cstheme="majorBidi"/>
      <w:b/>
      <w:i/>
      <w:sz w:val="24"/>
      <w:szCs w:val="24"/>
    </w:rPr>
  </w:style>
  <w:style w:type="character" w:customStyle="1" w:styleId="MTEquationSection">
    <w:name w:val="MTEquationSection"/>
    <w:basedOn w:val="DefaultParagraphFont"/>
    <w:rsid w:val="00E87934"/>
    <w:rPr>
      <w:vanish/>
      <w:color w:val="FF0000"/>
    </w:rPr>
  </w:style>
  <w:style w:type="paragraph" w:customStyle="1" w:styleId="MTDisplayEquation">
    <w:name w:val="MTDisplayEquation"/>
    <w:basedOn w:val="ListParagraph"/>
    <w:next w:val="Normal"/>
    <w:link w:val="MTDisplayEquationChar"/>
    <w:rsid w:val="00E87934"/>
    <w:pPr>
      <w:tabs>
        <w:tab w:val="center" w:pos="4800"/>
        <w:tab w:val="right" w:pos="9020"/>
      </w:tabs>
    </w:pPr>
  </w:style>
  <w:style w:type="character" w:customStyle="1" w:styleId="ListParagraphChar">
    <w:name w:val="List Paragraph Char"/>
    <w:basedOn w:val="DefaultParagraphFont"/>
    <w:link w:val="ListParagraph"/>
    <w:uiPriority w:val="34"/>
    <w:rsid w:val="00DA1FF9"/>
    <w:rPr>
      <w:rFonts w:ascii="Times New Roman" w:hAnsi="Times New Roman"/>
      <w:sz w:val="24"/>
    </w:rPr>
  </w:style>
  <w:style w:type="character" w:customStyle="1" w:styleId="MTDisplayEquationChar">
    <w:name w:val="MTDisplayEquation Char"/>
    <w:basedOn w:val="ListParagraphChar"/>
    <w:link w:val="MTDisplayEquation"/>
    <w:rsid w:val="00E87934"/>
    <w:rPr>
      <w:rFonts w:ascii="Times New Roman" w:hAnsi="Times New Roman"/>
      <w:sz w:val="24"/>
    </w:rPr>
  </w:style>
  <w:style w:type="paragraph" w:styleId="Bibliography">
    <w:name w:val="Bibliography"/>
    <w:basedOn w:val="Normal"/>
    <w:next w:val="Normal"/>
    <w:uiPriority w:val="37"/>
    <w:unhideWhenUsed/>
    <w:rsid w:val="00D45A23"/>
    <w:pPr>
      <w:ind w:left="576" w:hanging="576"/>
    </w:pPr>
  </w:style>
  <w:style w:type="paragraph" w:customStyle="1" w:styleId="Default">
    <w:name w:val="Default"/>
    <w:rsid w:val="00FE5830"/>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6B4CF9"/>
    <w:rPr>
      <w:color w:val="605E5C"/>
      <w:shd w:val="clear" w:color="auto" w:fill="E1DFDD"/>
    </w:rPr>
  </w:style>
  <w:style w:type="character" w:styleId="CommentReference">
    <w:name w:val="annotation reference"/>
    <w:rsid w:val="00984A00"/>
    <w:rPr>
      <w:sz w:val="16"/>
      <w:szCs w:val="16"/>
    </w:rPr>
  </w:style>
  <w:style w:type="paragraph" w:customStyle="1" w:styleId="Level1">
    <w:name w:val="Level 1"/>
    <w:uiPriority w:val="99"/>
    <w:rsid w:val="00984A00"/>
    <w:pPr>
      <w:suppressAutoHyphens/>
      <w:autoSpaceDE w:val="0"/>
      <w:spacing w:after="0" w:line="240" w:lineRule="auto"/>
      <w:ind w:left="720"/>
    </w:pPr>
    <w:rPr>
      <w:rFonts w:ascii="Times New Roman" w:eastAsia="Times New Roman" w:hAnsi="Times New Roman" w:cs="Times New Roman"/>
      <w:sz w:val="24"/>
      <w:szCs w:val="24"/>
      <w:lang w:eastAsia="zh-CN"/>
    </w:rPr>
  </w:style>
  <w:style w:type="paragraph" w:styleId="CommentText">
    <w:name w:val="annotation text"/>
    <w:basedOn w:val="Normal"/>
    <w:link w:val="CommentTextChar"/>
    <w:rsid w:val="00984A00"/>
    <w:pPr>
      <w:suppressAutoHyphens/>
      <w:spacing w:after="120"/>
    </w:pPr>
    <w:rPr>
      <w:rFonts w:ascii="Calibri" w:eastAsia="Times New Roman" w:hAnsi="Calibri" w:cs="Calibri"/>
      <w:sz w:val="20"/>
      <w:szCs w:val="20"/>
      <w:lang w:eastAsia="zh-CN"/>
    </w:rPr>
  </w:style>
  <w:style w:type="character" w:customStyle="1" w:styleId="CommentTextChar">
    <w:name w:val="Comment Text Char"/>
    <w:basedOn w:val="DefaultParagraphFont"/>
    <w:link w:val="CommentText"/>
    <w:rsid w:val="00984A00"/>
    <w:rPr>
      <w:rFonts w:ascii="Calibri" w:eastAsia="Times New Roman" w:hAnsi="Calibri" w:cs="Calibri"/>
      <w:sz w:val="20"/>
      <w:szCs w:val="20"/>
      <w:lang w:eastAsia="zh-CN"/>
    </w:rPr>
  </w:style>
  <w:style w:type="table" w:styleId="TableGrid">
    <w:name w:val="Table Grid"/>
    <w:basedOn w:val="TableNormal"/>
    <w:uiPriority w:val="39"/>
    <w:rsid w:val="005D5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istParagraph">
    <w:name w:val="TableListParagraph"/>
    <w:basedOn w:val="ListParagraph"/>
    <w:qFormat/>
    <w:rsid w:val="00415520"/>
    <w:pPr>
      <w:ind w:left="144"/>
    </w:pPr>
  </w:style>
  <w:style w:type="character" w:customStyle="1" w:styleId="Heading4Char">
    <w:name w:val="Heading 4 Char"/>
    <w:basedOn w:val="DefaultParagraphFont"/>
    <w:link w:val="Heading4"/>
    <w:uiPriority w:val="9"/>
    <w:rsid w:val="00CB2C9A"/>
    <w:rPr>
      <w:rFonts w:ascii="Times New Roman" w:eastAsiaTheme="majorEastAsia" w:hAnsi="Times New Roman" w:cstheme="majorBid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095081">
      <w:bodyDiv w:val="1"/>
      <w:marLeft w:val="0"/>
      <w:marRight w:val="0"/>
      <w:marTop w:val="0"/>
      <w:marBottom w:val="0"/>
      <w:divBdr>
        <w:top w:val="none" w:sz="0" w:space="0" w:color="auto"/>
        <w:left w:val="none" w:sz="0" w:space="0" w:color="auto"/>
        <w:bottom w:val="none" w:sz="0" w:space="0" w:color="auto"/>
        <w:right w:val="none" w:sz="0" w:space="0" w:color="auto"/>
      </w:divBdr>
    </w:div>
    <w:div w:id="394664138">
      <w:bodyDiv w:val="1"/>
      <w:marLeft w:val="0"/>
      <w:marRight w:val="0"/>
      <w:marTop w:val="0"/>
      <w:marBottom w:val="0"/>
      <w:divBdr>
        <w:top w:val="none" w:sz="0" w:space="0" w:color="auto"/>
        <w:left w:val="none" w:sz="0" w:space="0" w:color="auto"/>
        <w:bottom w:val="none" w:sz="0" w:space="0" w:color="auto"/>
        <w:right w:val="none" w:sz="0" w:space="0" w:color="auto"/>
      </w:divBdr>
    </w:div>
    <w:div w:id="477960423">
      <w:bodyDiv w:val="1"/>
      <w:marLeft w:val="0"/>
      <w:marRight w:val="0"/>
      <w:marTop w:val="0"/>
      <w:marBottom w:val="0"/>
      <w:divBdr>
        <w:top w:val="none" w:sz="0" w:space="0" w:color="auto"/>
        <w:left w:val="none" w:sz="0" w:space="0" w:color="auto"/>
        <w:bottom w:val="none" w:sz="0" w:space="0" w:color="auto"/>
        <w:right w:val="none" w:sz="0" w:space="0" w:color="auto"/>
      </w:divBdr>
    </w:div>
    <w:div w:id="695617000">
      <w:bodyDiv w:val="1"/>
      <w:marLeft w:val="0"/>
      <w:marRight w:val="0"/>
      <w:marTop w:val="0"/>
      <w:marBottom w:val="0"/>
      <w:divBdr>
        <w:top w:val="none" w:sz="0" w:space="0" w:color="auto"/>
        <w:left w:val="none" w:sz="0" w:space="0" w:color="auto"/>
        <w:bottom w:val="none" w:sz="0" w:space="0" w:color="auto"/>
        <w:right w:val="none" w:sz="0" w:space="0" w:color="auto"/>
      </w:divBdr>
    </w:div>
    <w:div w:id="736320890">
      <w:bodyDiv w:val="1"/>
      <w:marLeft w:val="0"/>
      <w:marRight w:val="0"/>
      <w:marTop w:val="0"/>
      <w:marBottom w:val="0"/>
      <w:divBdr>
        <w:top w:val="none" w:sz="0" w:space="0" w:color="auto"/>
        <w:left w:val="none" w:sz="0" w:space="0" w:color="auto"/>
        <w:bottom w:val="none" w:sz="0" w:space="0" w:color="auto"/>
        <w:right w:val="none" w:sz="0" w:space="0" w:color="auto"/>
      </w:divBdr>
    </w:div>
    <w:div w:id="866262041">
      <w:bodyDiv w:val="1"/>
      <w:marLeft w:val="0"/>
      <w:marRight w:val="0"/>
      <w:marTop w:val="0"/>
      <w:marBottom w:val="0"/>
      <w:divBdr>
        <w:top w:val="none" w:sz="0" w:space="0" w:color="auto"/>
        <w:left w:val="none" w:sz="0" w:space="0" w:color="auto"/>
        <w:bottom w:val="none" w:sz="0" w:space="0" w:color="auto"/>
        <w:right w:val="none" w:sz="0" w:space="0" w:color="auto"/>
      </w:divBdr>
    </w:div>
    <w:div w:id="1022055123">
      <w:bodyDiv w:val="1"/>
      <w:marLeft w:val="0"/>
      <w:marRight w:val="0"/>
      <w:marTop w:val="0"/>
      <w:marBottom w:val="0"/>
      <w:divBdr>
        <w:top w:val="none" w:sz="0" w:space="0" w:color="auto"/>
        <w:left w:val="none" w:sz="0" w:space="0" w:color="auto"/>
        <w:bottom w:val="none" w:sz="0" w:space="0" w:color="auto"/>
        <w:right w:val="none" w:sz="0" w:space="0" w:color="auto"/>
      </w:divBdr>
    </w:div>
    <w:div w:id="1027636997">
      <w:bodyDiv w:val="1"/>
      <w:marLeft w:val="0"/>
      <w:marRight w:val="0"/>
      <w:marTop w:val="0"/>
      <w:marBottom w:val="0"/>
      <w:divBdr>
        <w:top w:val="none" w:sz="0" w:space="0" w:color="auto"/>
        <w:left w:val="none" w:sz="0" w:space="0" w:color="auto"/>
        <w:bottom w:val="none" w:sz="0" w:space="0" w:color="auto"/>
        <w:right w:val="none" w:sz="0" w:space="0" w:color="auto"/>
      </w:divBdr>
    </w:div>
    <w:div w:id="1038706076">
      <w:bodyDiv w:val="1"/>
      <w:marLeft w:val="0"/>
      <w:marRight w:val="0"/>
      <w:marTop w:val="0"/>
      <w:marBottom w:val="0"/>
      <w:divBdr>
        <w:top w:val="none" w:sz="0" w:space="0" w:color="auto"/>
        <w:left w:val="none" w:sz="0" w:space="0" w:color="auto"/>
        <w:bottom w:val="none" w:sz="0" w:space="0" w:color="auto"/>
        <w:right w:val="none" w:sz="0" w:space="0" w:color="auto"/>
      </w:divBdr>
    </w:div>
    <w:div w:id="1303270630">
      <w:bodyDiv w:val="1"/>
      <w:marLeft w:val="0"/>
      <w:marRight w:val="0"/>
      <w:marTop w:val="0"/>
      <w:marBottom w:val="0"/>
      <w:divBdr>
        <w:top w:val="none" w:sz="0" w:space="0" w:color="auto"/>
        <w:left w:val="none" w:sz="0" w:space="0" w:color="auto"/>
        <w:bottom w:val="none" w:sz="0" w:space="0" w:color="auto"/>
        <w:right w:val="none" w:sz="0" w:space="0" w:color="auto"/>
      </w:divBdr>
    </w:div>
    <w:div w:id="1678190833">
      <w:bodyDiv w:val="1"/>
      <w:marLeft w:val="0"/>
      <w:marRight w:val="0"/>
      <w:marTop w:val="0"/>
      <w:marBottom w:val="0"/>
      <w:divBdr>
        <w:top w:val="none" w:sz="0" w:space="0" w:color="auto"/>
        <w:left w:val="none" w:sz="0" w:space="0" w:color="auto"/>
        <w:bottom w:val="none" w:sz="0" w:space="0" w:color="auto"/>
        <w:right w:val="none" w:sz="0" w:space="0" w:color="auto"/>
      </w:divBdr>
    </w:div>
    <w:div w:id="213085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6.wmf"/><Relationship Id="rId42" Type="http://schemas.openxmlformats.org/officeDocument/2006/relationships/oleObject" Target="embeddings/oleObject18.bin"/><Relationship Id="rId47" Type="http://schemas.openxmlformats.org/officeDocument/2006/relationships/image" Target="media/image18.wmf"/><Relationship Id="rId63" Type="http://schemas.openxmlformats.org/officeDocument/2006/relationships/hyperlink" Target="https://archive.fisheries.noaa.gov/afsc/refm/stocks/plan_team/2021_pop_cie/GOA-CIE_Rockfish_A_GProgram.pptx" TargetMode="External"/><Relationship Id="rId68" Type="http://schemas.openxmlformats.org/officeDocument/2006/relationships/hyperlink" Target="https://archive.fisheries.noaa.gov/afsc/refm/stocks/plan_team/2021_pop_cie/VAST%20history%20and%20comments.pptx"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0.wmf"/><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4.wmf"/><Relationship Id="rId40" Type="http://schemas.openxmlformats.org/officeDocument/2006/relationships/image" Target="media/image15.wmf"/><Relationship Id="rId45" Type="http://schemas.openxmlformats.org/officeDocument/2006/relationships/image" Target="media/image17.wmf"/><Relationship Id="rId53" Type="http://schemas.openxmlformats.org/officeDocument/2006/relationships/oleObject" Target="embeddings/oleObject24.bin"/><Relationship Id="rId58" Type="http://schemas.openxmlformats.org/officeDocument/2006/relationships/hyperlink" Target="mailto:Paul.Spencer@noaa.gov" TargetMode="External"/><Relationship Id="rId66" Type="http://schemas.openxmlformats.org/officeDocument/2006/relationships/hyperlink" Target="https://archive.fisheries.noaa.gov/afsc/refm/stocks/plan_team/2021_pop_cie/MACE%20GOA%20POP%20CIE%20Review%202021.mp4" TargetMode="External"/><Relationship Id="rId5" Type="http://schemas.openxmlformats.org/officeDocument/2006/relationships/webSettings" Target="webSettings.xml"/><Relationship Id="rId61" Type="http://schemas.openxmlformats.org/officeDocument/2006/relationships/hyperlink" Target="https://archive.fisheries.noaa.gov/afsc/refm/stocks/plan_team/2021_pop_cie/VAST%20CIE%20POP.pptx" TargetMode="External"/><Relationship Id="rId19" Type="http://schemas.openxmlformats.org/officeDocument/2006/relationships/oleObject" Target="embeddings/oleObject5.bin"/><Relationship Id="rId14" Type="http://schemas.openxmlformats.org/officeDocument/2006/relationships/image" Target="media/image3.png"/><Relationship Id="rId22" Type="http://schemas.openxmlformats.org/officeDocument/2006/relationships/oleObject" Target="embeddings/oleObject7.bin"/><Relationship Id="rId27" Type="http://schemas.openxmlformats.org/officeDocument/2006/relationships/image" Target="media/image9.wmf"/><Relationship Id="rId30" Type="http://schemas.openxmlformats.org/officeDocument/2006/relationships/oleObject" Target="embeddings/oleObject11.bin"/><Relationship Id="rId35" Type="http://schemas.openxmlformats.org/officeDocument/2006/relationships/image" Target="media/image13.wmf"/><Relationship Id="rId43" Type="http://schemas.openxmlformats.org/officeDocument/2006/relationships/image" Target="media/image16.wmf"/><Relationship Id="rId48" Type="http://schemas.openxmlformats.org/officeDocument/2006/relationships/oleObject" Target="embeddings/oleObject21.bin"/><Relationship Id="rId56" Type="http://schemas.openxmlformats.org/officeDocument/2006/relationships/hyperlink" Target="https://noaanmfs-meets.webex.com/webappng/sites/noaanmfs-meets/meeting/download/e90a1c6fabbf4fcda7812b1ac7f91830?siteurl=noaanmfs-meets&amp;MTID=mfd7ad8add58480f6fe38016ddf217e3e" TargetMode="External"/><Relationship Id="rId64" Type="http://schemas.openxmlformats.org/officeDocument/2006/relationships/hyperlink" Target="https://archive.fisheries.noaa.gov/afsc/refm/stocks/plan_team/2021_pop_cie/Input%20DataV2.pptx" TargetMode="External"/><Relationship Id="rId69" Type="http://schemas.openxmlformats.org/officeDocument/2006/relationships/footer" Target="footer1.xml"/><Relationship Id="rId8" Type="http://schemas.openxmlformats.org/officeDocument/2006/relationships/hyperlink" Target="mailto:shyun@pknu.ac.kr" TargetMode="External"/><Relationship Id="rId51" Type="http://schemas.openxmlformats.org/officeDocument/2006/relationships/image" Target="media/image20.wmf"/><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5.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5.bin"/><Relationship Id="rId46" Type="http://schemas.openxmlformats.org/officeDocument/2006/relationships/oleObject" Target="embeddings/oleObject20.bin"/><Relationship Id="rId59" Type="http://schemas.openxmlformats.org/officeDocument/2006/relationships/hyperlink" Target="https://archive.fisheries.noaa.gov/afsc/refm/stocks/plan_team/2021_pop_cie/POP_biology_2021_CIE.pptx" TargetMode="External"/><Relationship Id="rId67" Type="http://schemas.openxmlformats.org/officeDocument/2006/relationships/hyperlink" Target="https://archive.fisheries.noaa.gov/afsc/refm/stocks/plan_team/2021_pop_cie/MACE%20GOA%20POP%20CIE%20Review%202021.pptx" TargetMode="External"/><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hyperlink" Target="http://www.ciereviews.org" TargetMode="External"/><Relationship Id="rId62" Type="http://schemas.openxmlformats.org/officeDocument/2006/relationships/hyperlink" Target="https://archive.fisheries.noaa.gov/afsc/refm/stocks/plan_team/2021_pop_cie/Holland%20CIE%20GOA%20rockfish.pptx"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7.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19.wmf"/><Relationship Id="rId57" Type="http://schemas.openxmlformats.org/officeDocument/2006/relationships/hyperlink" Target="mailto:Pete.Hulson@noaa.gov" TargetMode="External"/><Relationship Id="rId10" Type="http://schemas.openxmlformats.org/officeDocument/2006/relationships/image" Target="media/image1.wmf"/><Relationship Id="rId31" Type="http://schemas.openxmlformats.org/officeDocument/2006/relationships/image" Target="media/image11.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hyperlink" Target="https://archive.fisheries.noaa.gov/afsc/refm/stocks/plan_team/2021_pop_cie/GOA2021%20BTS%20CIE042021%20POP.pptx" TargetMode="External"/><Relationship Id="rId65" Type="http://schemas.openxmlformats.org/officeDocument/2006/relationships/hyperlink" Target="https://archive.fisheries.noaa.gov/afsc/refm/stocks/plan_team/2021_pop_cie/Model.pptx" TargetMode="External"/><Relationship Id="rId4" Type="http://schemas.openxmlformats.org/officeDocument/2006/relationships/settings" Target="settings.xml"/><Relationship Id="rId9" Type="http://schemas.openxmlformats.org/officeDocument/2006/relationships/hyperlink" Target="mailto:shyunuw@gmail.com" TargetMode="External"/><Relationship Id="rId13" Type="http://schemas.openxmlformats.org/officeDocument/2006/relationships/oleObject" Target="embeddings/oleObject2.bin"/><Relationship Id="rId18" Type="http://schemas.openxmlformats.org/officeDocument/2006/relationships/oleObject" Target="embeddings/oleObject4.bin"/><Relationship Id="rId39" Type="http://schemas.openxmlformats.org/officeDocument/2006/relationships/oleObject" Target="embeddings/oleObject16.bin"/><Relationship Id="rId34" Type="http://schemas.openxmlformats.org/officeDocument/2006/relationships/oleObject" Target="embeddings/oleObject13.bin"/><Relationship Id="rId50" Type="http://schemas.openxmlformats.org/officeDocument/2006/relationships/oleObject" Target="embeddings/oleObject22.bin"/><Relationship Id="rId55" Type="http://schemas.openxmlformats.org/officeDocument/2006/relationships/hyperlink" Target="mailto:pete.hulson@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A312D-ED59-4785-9F58-34814CE03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11457</Words>
  <Characters>65307</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shyunuw@gmail.com</dc:creator>
  <cp:keywords/>
  <dc:description/>
  <cp:lastModifiedBy>Manoj Shivlani</cp:lastModifiedBy>
  <cp:revision>2</cp:revision>
  <cp:lastPrinted>2021-04-23T16:35:00Z</cp:lastPrinted>
  <dcterms:created xsi:type="dcterms:W3CDTF">2021-06-18T02:13:00Z</dcterms:created>
  <dcterms:modified xsi:type="dcterms:W3CDTF">2021-06-18T02:13:00Z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