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2" w:name="welcome"/>
    <w:p>
      <w:pPr>
        <w:pStyle w:val="Heading1"/>
      </w:pPr>
      <w:r>
        <w:t xml:space="preserve">1. Welcome</w:t>
      </w:r>
    </w:p>
    <w:p>
      <w:pPr>
        <w:pStyle w:val="BlockText"/>
      </w:pPr>
      <w:r>
        <w:t xml:space="preserve">Last run date: Tuesday, September 09, 2025</w:t>
      </w:r>
    </w:p>
    <w:p>
      <w:pPr>
        <w:pStyle w:val="FirstParagraph"/>
      </w:pPr>
      <w:r>
        <w:rPr>
          <w:b/>
          <w:bCs/>
        </w:rPr>
        <w:t xml:space="preserve">Principles and applications of fisheries-independent surveys</w:t>
      </w:r>
      <w:r>
        <w:t xml:space="preserve"> </w:t>
      </w:r>
      <w:r>
        <w:t xml:space="preserve">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p>
      <w:pPr>
        <w:pStyle w:val="FirstParagraph"/>
      </w:pPr>
      <w:r>
        <w:drawing>
          <wp:inline>
            <wp:extent cx="5943600" cy="7691717"/>
            <wp:effectExtent b="0" l="0" r="0" t="0"/>
            <wp:docPr descr="" title="" id="22" name="Picture"/>
            <a:graphic>
              <a:graphicData uri="http://schemas.openxmlformats.org/drawingml/2006/picture">
                <pic:pic>
                  <pic:nvPicPr>
                    <pic:cNvPr descr="./images/FISH572-flyer.png" id="23" name="Picture"/>
                    <pic:cNvPicPr>
                      <a:picLocks noChangeArrowheads="1" noChangeAspect="1"/>
                    </pic:cNvPicPr>
                  </pic:nvPicPr>
                  <pic:blipFill>
                    <a:blip r:embed="rId21"/>
                    <a:stretch>
                      <a:fillRect/>
                    </a:stretch>
                  </pic:blipFill>
                  <pic:spPr bwMode="auto">
                    <a:xfrm>
                      <a:off x="0" y="0"/>
                      <a:ext cx="5943600" cy="7691717"/>
                    </a:xfrm>
                    <a:prstGeom prst="rect">
                      <a:avLst/>
                    </a:prstGeom>
                    <a:noFill/>
                    <a:ln w="9525">
                      <a:noFill/>
                      <a:headEnd/>
                      <a:tailEnd/>
                    </a:ln>
                  </pic:spPr>
                </pic:pic>
              </a:graphicData>
            </a:graphic>
          </wp:inline>
        </w:drawing>
      </w:r>
    </w:p>
    <w:bookmarkStart w:id="27" w:name="instructors"/>
    <w:p>
      <w:pPr>
        <w:pStyle w:val="Heading2"/>
      </w:pPr>
      <w:r>
        <w:t xml:space="preserve">1.1 Instructors</w:t>
      </w:r>
    </w:p>
    <w:p>
      <w:pPr>
        <w:pStyle w:val="FirstParagraph"/>
      </w:pPr>
      <w:hyperlink r:id="rId24">
        <w:r>
          <w:rPr>
            <w:rStyle w:val="Hyperlink"/>
            <w:b/>
            <w:bCs/>
          </w:rPr>
          <w:t xml:space="preserve">Dr. Stan Kotwicki</w:t>
        </w:r>
      </w:hyperlink>
      <w:r>
        <w:t xml:space="preserve">, Groundfish Assessment Program Manager, Alaska Fisheries Science Center, NOAA. Stan.Kotwicki AT noaa.gov</w:t>
      </w:r>
    </w:p>
    <w:p>
      <w:pPr>
        <w:pStyle w:val="BodyText"/>
      </w:pPr>
      <w:hyperlink r:id="rId25">
        <w:r>
          <w:rPr>
            <w:rStyle w:val="Hyperlink"/>
            <w:b/>
            <w:bCs/>
          </w:rPr>
          <w:t xml:space="preserve">Dr. Allan Hicks</w:t>
        </w:r>
      </w:hyperlink>
      <w:r>
        <w:t xml:space="preserve">, Quantitative Scientist, International Pacific Halibut Commission. Allan.Hicks AT iphc.int</w:t>
      </w:r>
    </w:p>
    <w:p>
      <w:pPr>
        <w:pStyle w:val="BodyText"/>
      </w:pPr>
      <w:hyperlink r:id="rId26">
        <w:r>
          <w:rPr>
            <w:rStyle w:val="Hyperlink"/>
            <w:b/>
            <w:bCs/>
          </w:rPr>
          <w:t xml:space="preserve">Dr. Lewis Barnett</w:t>
        </w:r>
      </w:hyperlink>
      <w:r>
        <w:t xml:space="preserve">, Research Fish Biologist, Groundfish Assessment Program, Alaska Fisheries Science Center, NOAA. Lewis.Barnett AT noaa.gov</w:t>
      </w:r>
    </w:p>
    <w:bookmarkEnd w:id="27"/>
    <w:bookmarkStart w:id="30" w:name="class-teaching-assistants"/>
    <w:p>
      <w:pPr>
        <w:pStyle w:val="Heading2"/>
      </w:pPr>
      <w:r>
        <w:t xml:space="preserve">1.2 Class Teaching Assistants</w:t>
      </w:r>
    </w:p>
    <w:p>
      <w:pPr>
        <w:pStyle w:val="FirstParagraph"/>
      </w:pPr>
      <w:hyperlink r:id="rId28">
        <w:r>
          <w:rPr>
            <w:rStyle w:val="Hyperlink"/>
            <w:b/>
            <w:bCs/>
          </w:rPr>
          <w:t xml:space="preserve">Dr. Sophia Wassermann</w:t>
        </w:r>
      </w:hyperlink>
      <w:r>
        <w:t xml:space="preserve">, Research Fish Biologist, Alaska Fisheries Science Center, NOAA. Sophia.Wassermann AT noaa.gov</w:t>
      </w:r>
    </w:p>
    <w:p>
      <w:pPr>
        <w:pStyle w:val="BodyText"/>
      </w:pPr>
      <w:hyperlink r:id="rId29">
        <w:r>
          <w:rPr>
            <w:rStyle w:val="Hyperlink"/>
            <w:b/>
            <w:bCs/>
          </w:rPr>
          <w:t xml:space="preserve">Emily Markowitz</w:t>
        </w:r>
      </w:hyperlink>
      <w:r>
        <w:t xml:space="preserve">, Research Fish Biologist, Alaska Fisheries Science Center, NOAA. Emily.Markowitz AT noaa.gov</w:t>
      </w:r>
    </w:p>
    <w:bookmarkEnd w:id="30"/>
    <w:bookmarkStart w:id="31" w:name="course-summary"/>
    <w:p>
      <w:pPr>
        <w:pStyle w:val="Heading2"/>
      </w:pPr>
      <w:r>
        <w:t xml:space="preserve">1.3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p>
      <w:r>
        <w:br w:type="page"/>
      </w:r>
    </w:p>
    <w:bookmarkEnd w:id="31"/>
    <w:bookmarkEnd w:id="32"/>
    <w:bookmarkStart w:id="51" w:name="course-information"/>
    <w:p>
      <w:pPr>
        <w:pStyle w:val="Heading1"/>
      </w:pPr>
      <w:r>
        <w:t xml:space="preserve">2. Course Information</w:t>
      </w:r>
    </w:p>
    <w:bookmarkStart w:id="33" w:name="lectures"/>
    <w:p>
      <w:pPr>
        <w:pStyle w:val="Heading2"/>
      </w:pPr>
      <w:r>
        <w:t xml:space="preserve">2.1 Lectures</w:t>
      </w:r>
    </w:p>
    <w:p>
      <w:pPr>
        <w:pStyle w:val="FirstParagraph"/>
      </w:pPr>
      <w:r>
        <w:t xml:space="preserve">Mondays and Wednesdays 9:00-10:50 am: In person in room FSH 203.</w:t>
      </w:r>
    </w:p>
    <w:bookmarkEnd w:id="33"/>
    <w:bookmarkStart w:id="34" w:name="office-hours"/>
    <w:p>
      <w:pPr>
        <w:pStyle w:val="Heading2"/>
      </w:pPr>
      <w:r>
        <w:t xml:space="preserve">2.2 Office hours</w:t>
      </w:r>
    </w:p>
    <w:p>
      <w:pPr>
        <w:pStyle w:val="FirstParagraph"/>
      </w:pPr>
      <w:r>
        <w:t xml:space="preserve">Email instructors to set up meetings.</w:t>
      </w:r>
    </w:p>
    <w:bookmarkEnd w:id="34"/>
    <w:bookmarkStart w:id="35" w:name="credits"/>
    <w:p>
      <w:pPr>
        <w:pStyle w:val="Heading2"/>
      </w:pPr>
      <w:r>
        <w:t xml:space="preserve">2.3 Credits</w:t>
      </w:r>
    </w:p>
    <w:p>
      <w:pPr>
        <w:pStyle w:val="FirstParagraph"/>
      </w:pPr>
      <w:r>
        <w:t xml:space="preserve">It is a 4-credit class with numerical grades. It is expected that students will work on assignments for about 8 hours per week. Given the limited in-class time, we expect active participation in all lectures and discussions.</w:t>
      </w:r>
    </w:p>
    <w:bookmarkEnd w:id="35"/>
    <w:bookmarkStart w:id="36" w:name="prerequisites"/>
    <w:p>
      <w:pPr>
        <w:pStyle w:val="Heading2"/>
      </w:pPr>
      <w:r>
        <w:t xml:space="preserve">2.4 Prerequisites</w:t>
      </w:r>
    </w:p>
    <w:p>
      <w:pPr>
        <w:pStyle w:val="FirstParagraph"/>
      </w:pPr>
      <w:r>
        <w:t xml:space="preserve">Basic statistics, statistical modeling, background in fisheries/wildlife science; if unclear of eligibility, please correspond with the instructor to obtain permission.</w:t>
      </w:r>
    </w:p>
    <w:bookmarkEnd w:id="36"/>
    <w:bookmarkStart w:id="37" w:name="specific-learning-goals"/>
    <w:p>
      <w:pPr>
        <w:pStyle w:val="Heading2"/>
      </w:pPr>
      <w:r>
        <w:t xml:space="preserve">2.5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7"/>
    <w:bookmarkStart w:id="38" w:name="course-material"/>
    <w:p>
      <w:pPr>
        <w:pStyle w:val="Heading2"/>
      </w:pPr>
      <w:r>
        <w:t xml:space="preserve">2.6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8"/>
    <w:bookmarkStart w:id="39" w:name="course-format"/>
    <w:p>
      <w:pPr>
        <w:pStyle w:val="Heading2"/>
      </w:pPr>
      <w:r>
        <w:t xml:space="preserve">2.7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 class. Approximately one-quarter of in-class time will be used for these presentations and discussions. Presentations will include a summary of relevant scientific papers on a chosen survey-related topic, and all students will be expected to actively participate in discussions. A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student’s grade is based on a final written research paper using survey data. Topics for the final paper will be proposed by students and will be presented for class discussion and feedback within the first 3 weeks of the quarter.</w:t>
      </w:r>
    </w:p>
    <w:bookmarkEnd w:id="39"/>
    <w:bookmarkStart w:id="40" w:name="grading"/>
    <w:p>
      <w:pPr>
        <w:pStyle w:val="Heading2"/>
      </w:pPr>
      <w:r>
        <w:t xml:space="preserve">2.8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are from a fishery-independent survey. Project plans should be discussed with and accepted by instructors. Once accepted, students will be responsible for writing a 1-page project plan and for presenting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discussions. Literature review presentations will be conducted on Feb 9 or later, depending on the number of presentations. Papers for this literature review should be relevant to the final project. Students are advised to discuss potential papers for this review with instructors, but students will be given the opportunity to propose a paper(s) of their choice for presentations. The literature review presentation will be followed by a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 simulated</w:t>
      </w:r>
      <w:r>
        <w:t xml:space="preserve"> </w:t>
      </w:r>
      <w:r>
        <w:t xml:space="preserve">“true distributions”</w:t>
      </w:r>
      <w:r>
        <w:t xml:space="preserve">) or could involve custom analysis of survey data used for class projects. The format of the analysis presentation will be open and can include an analysis description with graphs and/or tables. Analyses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a 20-30 minute in-class slide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0"/>
    <w:bookmarkStart w:id="42" w:name="grading-scale"/>
    <w:p>
      <w:pPr>
        <w:pStyle w:val="Heading2"/>
      </w:pPr>
      <w:r>
        <w:t xml:space="preserve">2.9 Grading Scale</w:t>
      </w:r>
    </w:p>
    <w:p>
      <w:pPr>
        <w:pStyle w:val="FirstParagraph"/>
      </w:pPr>
      <w:r>
        <w:t xml:space="preserve">Learn more about the UW</w:t>
      </w:r>
      <w:r>
        <w:t xml:space="preserve"> </w:t>
      </w:r>
      <w:hyperlink r:id="rId41">
        <w:r>
          <w:rPr>
            <w:rStyle w:val="Hyperlink"/>
          </w:rPr>
          <w:t xml:space="preserve">grading scale</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42"/>
    <w:bookmarkStart w:id="44" w:name="lecture-plan"/>
    <w:p>
      <w:pPr>
        <w:pStyle w:val="Heading2"/>
      </w:pPr>
      <w:r>
        <w:t xml:space="preserve">2.10 Lecture plan</w:t>
      </w:r>
    </w:p>
    <w:p>
      <w:pPr>
        <w:pStyle w:val="FirstParagraph"/>
      </w:pPr>
      <w:hyperlink r:id="rId43">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576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Class Evaluation URL: https://uw.iasystem.org/survey/268860</w:t>
            </w:r>
          </w:p>
        </w:tc>
      </w:tr>
    </w:tbl>
    <w:bookmarkEnd w:id="44"/>
    <w:bookmarkStart w:id="46" w:name="academic-integrity"/>
    <w:p>
      <w:pPr>
        <w:pStyle w:val="Heading2"/>
      </w:pPr>
      <w:r>
        <w:t xml:space="preserve">2.11 Academic integrity</w:t>
      </w:r>
    </w:p>
    <w:p>
      <w:pPr>
        <w:pStyle w:val="FirstParagraph"/>
      </w:pPr>
      <w:r>
        <w:t xml:space="preserve">Plagiarism, cheating, and other misconduct are serious violations of your contract as a student. We expect that you will know and follow the University’s policies on cheating and plagiarism. Any suspected cases of academic misconduct will be handled according to University regulations. More information can be found</w:t>
      </w:r>
      <w:r>
        <w:t xml:space="preserve"> </w:t>
      </w:r>
      <w:hyperlink r:id="rId45">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6"/>
    <w:bookmarkStart w:id="49" w:name="religious-accommodation-policy"/>
    <w:p>
      <w:pPr>
        <w:pStyle w:val="Heading2"/>
      </w:pPr>
      <w:r>
        <w:t xml:space="preserve">2.12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For more information, including instructions for requesting accommodations, see the</w:t>
      </w:r>
      <w:r>
        <w:t xml:space="preserve"> </w:t>
      </w:r>
      <w:hyperlink r:id="rId47">
        <w:r>
          <w:rPr>
            <w:rStyle w:val="Hyperlink"/>
          </w:rPr>
          <w:t xml:space="preserve">UW Religious Accommodations Policy</w:t>
        </w:r>
      </w:hyperlink>
      <w:r>
        <w:t xml:space="preserve">. Accommodations must be requested within the first two weeks of this course using the</w:t>
      </w:r>
      <w:r>
        <w:t xml:space="preserve"> </w:t>
      </w:r>
      <w:hyperlink r:id="rId48">
        <w:r>
          <w:rPr>
            <w:rStyle w:val="Hyperlink"/>
          </w:rPr>
          <w:t xml:space="preserve">Religious Accommodations Request form</w:t>
        </w:r>
      </w:hyperlink>
      <w:r>
        <w:t xml:space="preserve">.</w:t>
      </w:r>
    </w:p>
    <w:bookmarkEnd w:id="49"/>
    <w:bookmarkStart w:id="50" w:name="disability-accommodations"/>
    <w:p>
      <w:pPr>
        <w:pStyle w:val="Heading2"/>
      </w:pPr>
      <w:r>
        <w:t xml:space="preserve">2.13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50"/>
    <w:bookmarkEnd w:id="51"/>
    <w:bookmarkStart w:id="52" w:name="frequently-asked-questions"/>
    <w:p>
      <w:pPr>
        <w:pStyle w:val="Heading1"/>
      </w:pPr>
      <w:r>
        <w:t xml:space="preserve">3. Frequently Asked Questions</w:t>
      </w:r>
    </w:p>
    <w:p>
      <w:pPr>
        <w:pStyle w:val="FirstParagraph"/>
      </w:pPr>
      <w:r>
        <w:t xml:space="preserve">This is a quick-reference for common questions about the course. If you don’t find what you need here, please contact the course instructors.</w:t>
      </w:r>
    </w:p>
    <w:p>
      <w:pPr>
        <w:pStyle w:val="BodyText"/>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2"/>
    <w:bookmarkStart w:id="73" w:name="survey-resources"/>
    <w:p>
      <w:pPr>
        <w:pStyle w:val="Heading1"/>
      </w:pPr>
      <w:r>
        <w:t xml:space="preserve">4. Survey Resources</w:t>
      </w:r>
    </w:p>
    <w:bookmarkStart w:id="71" w:name="afsc-grounfish-bottom-trawl-survey"/>
    <w:p>
      <w:pPr>
        <w:pStyle w:val="Heading2"/>
      </w:pPr>
      <w:r>
        <w:t xml:space="preserve">4.1 AFSC Grounfish Bottom Trawl Survey</w:t>
      </w:r>
    </w:p>
    <w:p>
      <w:pPr>
        <w:pStyle w:val="Compact"/>
        <w:numPr>
          <w:ilvl w:val="0"/>
          <w:numId w:val="1012"/>
        </w:numPr>
      </w:pPr>
      <w:hyperlink r:id="rId53">
        <w:r>
          <w:rPr>
            <w:rStyle w:val="Hyperlink"/>
          </w:rPr>
          <w:t xml:space="preserve">Groundfish Assessment Program Bottom Trawl Surveys</w:t>
        </w:r>
      </w:hyperlink>
    </w:p>
    <w:p>
      <w:pPr>
        <w:pStyle w:val="Compact"/>
        <w:numPr>
          <w:ilvl w:val="0"/>
          <w:numId w:val="1012"/>
        </w:numPr>
      </w:pPr>
      <w:hyperlink r:id="rId54">
        <w:r>
          <w:rPr>
            <w:rStyle w:val="Hyperlink"/>
          </w:rPr>
          <w:t xml:space="preserve">AFSC’s Resource Assessment and Conservation Engineering Division</w:t>
        </w:r>
      </w:hyperlink>
    </w:p>
    <w:p>
      <w:pPr>
        <w:pStyle w:val="Compact"/>
        <w:numPr>
          <w:ilvl w:val="0"/>
          <w:numId w:val="1012"/>
        </w:numPr>
      </w:pPr>
      <w:hyperlink r:id="rId55">
        <w:r>
          <w:rPr>
            <w:rStyle w:val="Hyperlink"/>
          </w:rPr>
          <w:t xml:space="preserve">All AFSC Research Surveys</w:t>
        </w:r>
      </w:hyperlink>
    </w:p>
    <w:p>
      <w:pPr>
        <w:pStyle w:val="Compact"/>
        <w:numPr>
          <w:ilvl w:val="0"/>
          <w:numId w:val="1012"/>
        </w:numPr>
      </w:pPr>
      <w:hyperlink r:id="rId56">
        <w:r>
          <w:rPr>
            <w:rStyle w:val="Hyperlink"/>
          </w:rPr>
          <w:t xml:space="preserve">Publications and Data Reports</w:t>
        </w:r>
      </w:hyperlink>
    </w:p>
    <w:p>
      <w:pPr>
        <w:pStyle w:val="Compact"/>
        <w:numPr>
          <w:ilvl w:val="0"/>
          <w:numId w:val="1012"/>
        </w:numPr>
      </w:pPr>
      <w:hyperlink r:id="rId57">
        <w:r>
          <w:rPr>
            <w:rStyle w:val="Hyperlink"/>
          </w:rPr>
          <w:t xml:space="preserve">Data Documentation</w:t>
        </w:r>
      </w:hyperlink>
    </w:p>
    <w:p>
      <w:pPr>
        <w:pStyle w:val="Compact"/>
        <w:numPr>
          <w:ilvl w:val="0"/>
          <w:numId w:val="1012"/>
        </w:numPr>
      </w:pPr>
      <w:r>
        <w:t xml:space="preserve">Recent Publications:</w:t>
      </w:r>
      <w:r>
        <w:t xml:space="preserve"> </w:t>
      </w:r>
      <w:r>
        <w:t xml:space="preserve">(Hoff, 2016; Markowitz et al., 2024, 2025; Siple et al., 2024; Von Szalay et al., 2023; Zacher et al., 2024)</w:t>
      </w:r>
      <w:r>
        <w:t xml:space="preserve">.</w:t>
      </w:r>
    </w:p>
    <w:bookmarkStart w:id="70" w:name="refs"/>
    <w:bookmarkStart w:id="59"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8">
        <w:r>
          <w:rPr>
            <w:rStyle w:val="Hyperlink"/>
          </w:rPr>
          <w:t xml:space="preserve">https://doi.org/10.7289/V5/TM-AFSC-339</w:t>
        </w:r>
      </w:hyperlink>
    </w:p>
    <w:bookmarkEnd w:id="59"/>
    <w:bookmarkStart w:id="61"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60">
        <w:r>
          <w:rPr>
            <w:rStyle w:val="Hyperlink"/>
          </w:rPr>
          <w:t xml:space="preserve">https://doi.org/10.25923/2mry-yx09</w:t>
        </w:r>
      </w:hyperlink>
    </w:p>
    <w:bookmarkEnd w:id="61"/>
    <w:bookmarkStart w:id="63"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2">
        <w:r>
          <w:rPr>
            <w:rStyle w:val="Hyperlink"/>
          </w:rPr>
          <w:t xml:space="preserve">https://doi.org/10.25923/8qa3-x785</w:t>
        </w:r>
      </w:hyperlink>
    </w:p>
    <w:bookmarkEnd w:id="63"/>
    <w:bookmarkStart w:id="65"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4">
        <w:r>
          <w:rPr>
            <w:rStyle w:val="Hyperlink"/>
          </w:rPr>
          <w:t xml:space="preserve">https://doi.org/10.25923/gbb1-x748</w:t>
        </w:r>
      </w:hyperlink>
    </w:p>
    <w:bookmarkEnd w:id="65"/>
    <w:bookmarkStart w:id="67"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6">
        <w:r>
          <w:rPr>
            <w:rStyle w:val="Hyperlink"/>
          </w:rPr>
          <w:t xml:space="preserve">https://doi.org/10.25923/85cy-g225</w:t>
        </w:r>
      </w:hyperlink>
    </w:p>
    <w:bookmarkEnd w:id="67"/>
    <w:bookmarkStart w:id="69"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8">
        <w:r>
          <w:rPr>
            <w:rStyle w:val="Hyperlink"/>
          </w:rPr>
          <w:t xml:space="preserve">https://doi.org/10.25923/q0fw-z324</w:t>
        </w:r>
      </w:hyperlink>
    </w:p>
    <w:bookmarkEnd w:id="69"/>
    <w:bookmarkEnd w:id="70"/>
    <w:bookmarkEnd w:id="71"/>
    <w:bookmarkStart w:id="72" w:name="international-pacific-halibut-commission"/>
    <w:p>
      <w:pPr>
        <w:pStyle w:val="Heading2"/>
      </w:pPr>
      <w:r>
        <w:t xml:space="preserve">4.2 International Pacific Halibut Commission</w:t>
      </w:r>
    </w:p>
    <w:p>
      <w:pPr>
        <w:pStyle w:val="FirstParagraph"/>
      </w:pPr>
      <w:r>
        <w:rPr>
          <w:i/>
          <w:iCs/>
        </w:rPr>
        <w:t xml:space="preserve">[Info coming soon!]</w:t>
      </w:r>
    </w:p>
    <w:bookmarkEnd w:id="72"/>
    <w:bookmarkEnd w:id="73"/>
    <w:bookmarkStart w:id="78" w:name="references"/>
    <w:p>
      <w:pPr>
        <w:pStyle w:val="Heading1"/>
      </w:pPr>
      <w:r>
        <w:t xml:space="preserve">5. References</w:t>
      </w:r>
    </w:p>
    <w:bookmarkStart w:id="75" w:name="Xf5755a1eb062d57dc9fef5ef7f6dd104bd60a40"/>
    <w:p>
      <w:pPr>
        <w:pStyle w:val="Heading2"/>
      </w:pPr>
      <w:r>
        <w:t xml:space="preserve">5.1 NOAA quarto book with R and download PDF or docx</w:t>
      </w:r>
    </w:p>
    <w:p>
      <w:pPr>
        <w:pStyle w:val="FirstParagraph"/>
      </w:pPr>
      <w:r>
        <w:t xml:space="preserve">This is a template for</w:t>
      </w:r>
      <w:r>
        <w:t xml:space="preserve"> </w:t>
      </w:r>
      <w:hyperlink r:id="rId74">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75"/>
    <w:bookmarkStart w:id="76" w:name="noaa-readme"/>
    <w:p>
      <w:pPr>
        <w:pStyle w:val="Heading2"/>
      </w:pPr>
      <w:r>
        <w:t xml:space="preserve">5.2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6"/>
    <w:bookmarkStart w:id="77" w:name="noaa-license"/>
    <w:p>
      <w:pPr>
        <w:pStyle w:val="Heading2"/>
      </w:pPr>
      <w:r>
        <w:t xml:space="preserve">5.3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7"/>
    <w:bookmarkEnd w:id="78"/>
    <w:bookmarkStart w:id="86" w:name="references-1"/>
    <w:p>
      <w:pPr>
        <w:pStyle w:val="Heading1"/>
      </w:pPr>
      <w:r>
        <w:t xml:space="preserve">References</w:t>
      </w:r>
    </w:p>
    <w:bookmarkStart w:id="85" w:name="refs"/>
    <w:bookmarkStart w:id="79"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8">
        <w:r>
          <w:rPr>
            <w:rStyle w:val="Hyperlink"/>
          </w:rPr>
          <w:t xml:space="preserve">https://doi.org/10.7289/V5/TM-AFSC-339</w:t>
        </w:r>
      </w:hyperlink>
    </w:p>
    <w:bookmarkEnd w:id="79"/>
    <w:bookmarkStart w:id="80"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60">
        <w:r>
          <w:rPr>
            <w:rStyle w:val="Hyperlink"/>
          </w:rPr>
          <w:t xml:space="preserve">https://doi.org/10.25923/2mry-yx09</w:t>
        </w:r>
      </w:hyperlink>
    </w:p>
    <w:bookmarkEnd w:id="80"/>
    <w:bookmarkStart w:id="81"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2">
        <w:r>
          <w:rPr>
            <w:rStyle w:val="Hyperlink"/>
          </w:rPr>
          <w:t xml:space="preserve">https://doi.org/10.25923/8qa3-x785</w:t>
        </w:r>
      </w:hyperlink>
    </w:p>
    <w:bookmarkEnd w:id="81"/>
    <w:bookmarkStart w:id="82"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4">
        <w:r>
          <w:rPr>
            <w:rStyle w:val="Hyperlink"/>
          </w:rPr>
          <w:t xml:space="preserve">https://doi.org/10.25923/gbb1-x748</w:t>
        </w:r>
      </w:hyperlink>
    </w:p>
    <w:bookmarkEnd w:id="82"/>
    <w:bookmarkStart w:id="83"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6">
        <w:r>
          <w:rPr>
            <w:rStyle w:val="Hyperlink"/>
          </w:rPr>
          <w:t xml:space="preserve">https://doi.org/10.25923/85cy-g225</w:t>
        </w:r>
      </w:hyperlink>
    </w:p>
    <w:bookmarkEnd w:id="83"/>
    <w:bookmarkStart w:id="84"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8">
        <w:r>
          <w:rPr>
            <w:rStyle w:val="Hyperlink"/>
          </w:rPr>
          <w:t xml:space="preserve">https://doi.org/10.25923/q0fw-z324</w:t>
        </w:r>
      </w:hyperlink>
    </w:p>
    <w:bookmarkEnd w:id="84"/>
    <w:bookmarkEnd w:id="85"/>
    <w:bookmarkEnd w:id="86"/>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hyperlink" Id="rId57"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60" Target="https://doi.org/10.25923/2mry-yx09" TargetMode="External" /><Relationship Type="http://schemas.openxmlformats.org/officeDocument/2006/relationships/hyperlink" Id="rId66" Target="https://doi.org/10.25923/85cy-g225" TargetMode="External" /><Relationship Type="http://schemas.openxmlformats.org/officeDocument/2006/relationships/hyperlink" Id="rId62" Target="https://doi.org/10.25923/8qa3-x785" TargetMode="External" /><Relationship Type="http://schemas.openxmlformats.org/officeDocument/2006/relationships/hyperlink" Id="rId64" Target="https://doi.org/10.25923/gbb1-x748" TargetMode="External" /><Relationship Type="http://schemas.openxmlformats.org/officeDocument/2006/relationships/hyperlink" Id="rId68" Target="https://doi.org/10.25923/q0fw-z324" TargetMode="External" /><Relationship Type="http://schemas.openxmlformats.org/officeDocument/2006/relationships/hyperlink" Id="rId58"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4" Target="https://nmfs-opensci.github.io/NOAA-quarto-book/" TargetMode="External" /><Relationship Type="http://schemas.openxmlformats.org/officeDocument/2006/relationships/hyperlink" Id="rId47" Target="https://registrar.washington.edu/staff-faculty/religious-accommodations-policy/" TargetMode="External" /><Relationship Type="http://schemas.openxmlformats.org/officeDocument/2006/relationships/hyperlink" Id="rId48" Target="https://registrar.washington.edu/students/religious-accommodations-request/" TargetMode="External" /><Relationship Type="http://schemas.openxmlformats.org/officeDocument/2006/relationships/hyperlink" Id="rId56"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7" Target="https://www.commerce.gov/" TargetMode="External" /><Relationship Type="http://schemas.openxmlformats.org/officeDocument/2006/relationships/hyperlink" Id="rId89" Target="https://www.fisheries.noaa.gov/" TargetMode="External" /><Relationship Type="http://schemas.openxmlformats.org/officeDocument/2006/relationships/hyperlink" Id="rId54" Target="https://www.fisheries.noaa.gov/about/resource-assessment-and-conservation-engineering-division" TargetMode="External" /><Relationship Type="http://schemas.openxmlformats.org/officeDocument/2006/relationships/hyperlink" Id="rId55" Target="https://www.fisheries.noaa.gov/alaska/ecosystems/alaska-fish-research-surveys" TargetMode="External" /><Relationship Type="http://schemas.openxmlformats.org/officeDocument/2006/relationships/hyperlink" Id="rId53"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8"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57"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60" Target="https://doi.org/10.25923/2mry-yx09" TargetMode="External" /><Relationship Type="http://schemas.openxmlformats.org/officeDocument/2006/relationships/hyperlink" Id="rId66" Target="https://doi.org/10.25923/85cy-g225" TargetMode="External" /><Relationship Type="http://schemas.openxmlformats.org/officeDocument/2006/relationships/hyperlink" Id="rId62" Target="https://doi.org/10.25923/8qa3-x785" TargetMode="External" /><Relationship Type="http://schemas.openxmlformats.org/officeDocument/2006/relationships/hyperlink" Id="rId64" Target="https://doi.org/10.25923/gbb1-x748" TargetMode="External" /><Relationship Type="http://schemas.openxmlformats.org/officeDocument/2006/relationships/hyperlink" Id="rId68" Target="https://doi.org/10.25923/q0fw-z324" TargetMode="External" /><Relationship Type="http://schemas.openxmlformats.org/officeDocument/2006/relationships/hyperlink" Id="rId58"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4" Target="https://nmfs-opensci.github.io/NOAA-quarto-book/" TargetMode="External" /><Relationship Type="http://schemas.openxmlformats.org/officeDocument/2006/relationships/hyperlink" Id="rId47" Target="https://registrar.washington.edu/staff-faculty/religious-accommodations-policy/" TargetMode="External" /><Relationship Type="http://schemas.openxmlformats.org/officeDocument/2006/relationships/hyperlink" Id="rId48" Target="https://registrar.washington.edu/students/religious-accommodations-request/" TargetMode="External" /><Relationship Type="http://schemas.openxmlformats.org/officeDocument/2006/relationships/hyperlink" Id="rId56"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7" Target="https://www.commerce.gov/" TargetMode="External" /><Relationship Type="http://schemas.openxmlformats.org/officeDocument/2006/relationships/hyperlink" Id="rId89" Target="https://www.fisheries.noaa.gov/" TargetMode="External" /><Relationship Type="http://schemas.openxmlformats.org/officeDocument/2006/relationships/hyperlink" Id="rId54" Target="https://www.fisheries.noaa.gov/about/resource-assessment-and-conservation-engineering-division" TargetMode="External" /><Relationship Type="http://schemas.openxmlformats.org/officeDocument/2006/relationships/hyperlink" Id="rId55" Target="https://www.fisheries.noaa.gov/alaska/ecosystems/alaska-fish-research-surveys" TargetMode="External" /><Relationship Type="http://schemas.openxmlformats.org/officeDocument/2006/relationships/hyperlink" Id="rId53"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8"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Allan Hicks; Dr. Lewis Barnett; Dr. Sophia Wassermann; Emily Markowitz</dc:creator>
  <cp:keywords/>
  <dcterms:created xsi:type="dcterms:W3CDTF">2025-09-09T23:36:08Z</dcterms:created>
  <dcterms:modified xsi:type="dcterms:W3CDTF">2025-09-09T23:36:08Z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