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Aleutian</w:t>
      </w:r>
      <w:r>
        <w:t xml:space="preserve"> </w:t>
      </w:r>
      <w:r>
        <w:t xml:space="preserve">Islands</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September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 title="" id="1" name="Picture"/>
            <a:graphic>
              <a:graphicData uri="http://schemas.openxmlformats.org/drawingml/2006/picture">
                <pic:pic>
                  <pic:nvPicPr>
                    <pic:cNvPr descr="MapAI.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Aleutian Islands (AI).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Atka mackerel (</w:t>
      </w:r>
      <w:r>
        <w:rPr>
          <w:i/>
        </w:rPr>
        <w:t xml:space="preserve">Pleurogrammus monopterygius</w:t>
      </w:r>
      <w:r>
        <w:t xml:space="preserve">), northern rockfish (</w:t>
      </w:r>
      <w:r>
        <w:rPr>
          <w:i/>
        </w:rPr>
        <w:t xml:space="preserve">Sebastes polyspinis</w:t>
      </w:r>
      <w:r>
        <w:t xml:space="preserve">), and Pacific ocean perch (</w:t>
      </w:r>
      <w:r>
        <w:rPr>
          <w:i/>
        </w:rPr>
        <w:t xml:space="preserve">Sebastes alutus</w:t>
      </w:r>
      <w:r>
        <w:t xml:space="preserve">) collected in trawls with satisfactory performance at standard survey stations. Data were combined in the International North Pacific Fisheries Commission (INPFC) strata; Southern Bering Sea, Eastern Aleutian Islands, Central Aleutian Islands, and Western Aleutian Islands (Figure 1).</w:t>
      </w:r>
    </w:p>
    <w:p>
      <w:pPr>
        <w:pStyle w:val="BodyText"/>
      </w:pPr>
      <w:r>
        <w:t xml:space="preserve">Length-weight relationships for each of the seven species were estimated within each stratum from a linear regression of log-transformed values across all years where data were available (1984–2018); the slopes of these relationships were estimated independently in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amongst survey years for all species considered (Figure 2). The updated computational methods used to calculate this year’s residual body condition indexes returned different values than those reported in the last Aleutian Islands Ecosystem Considerations document (Boldt et al. 2018). The patterns of above or below average residual condition observed in 2018 largely match those generated here from the updated computations, but with notable reductions in the magnitude of the residuals from the latter in most years. The lower magnitude results come from using stratum-specific regression coefficients and samples weighted in proportion to biomass which reduces the influence of spatio-temporal variation in sampling intensity on the residuals. Some exceptions to the pattern tracking observed for the majority of cases are instances when residual condition switched from above to below average (&gt;250 mm pollock in 1993 and 2015 and 100–250 mm pollock in 2010) and an instance when 100–250 mm pollock (2016) condition switched from below average to above. Condition of most species since 2010 has primarily been below the long term average or neutral. Exceptions occur for 100–250 mm walleye pollock in 2016 and Atka mackerel in 2012 where the residual body condition is neutral or slightly positive. Southern rock sole residual body condition is trending positive in the Aleutians since 2012. The period prior to the 2010 AI bottom trawl survey is characterized by body condition indicators cycling between positive and negative values through the years.</w:t>
      </w:r>
    </w:p>
    <w:p>
      <w:pPr>
        <w:pStyle w:val="CaptionedFigure"/>
      </w:pPr>
      <w:r>
        <w:drawing>
          <wp:inline>
            <wp:extent cx="5334000" cy="6223000"/>
            <wp:effectExtent b="0" l="0" r="0" t="0"/>
            <wp:docPr descr="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 Filled bars denote weighted length-weight residuals using this year’s indicator calculation, error bars denote two standard errors, points denote the mean of the unweighted length-weight residual from the previous year’s (2018) ESR." title="" id="1" name="Picture"/>
            <a:graphic>
              <a:graphicData uri="http://schemas.openxmlformats.org/drawingml/2006/picture">
                <pic:pic>
                  <pic:nvPicPr>
                    <pic:cNvPr descr="AI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 Filled bars denote weighted length-weight residuals using this year’s indicator calculation, error bars denote two standard errors, points denote the mean of the unweighted length-weight residual from the previous year’s (2018) ESR.</w:t>
      </w:r>
    </w:p>
    <w:p>
      <w:pPr>
        <w:pStyle w:val="BodyText"/>
      </w:pPr>
      <w:r>
        <w:t xml:space="preserve">The general pattern of below average residual body condition index across recent survey years for the Aleutian Islands as described above was mostly reflected in the spatial condition indicators across INPFC strata (Figure 3). In some instances, stratum-specific condition was above average when the overall annual condition was below average (e.g., in the Central and Western Aleutians for Atka mackerel in 2014 and for &gt;250 mm walleye pollock in 2016). The relative contribution of stratum-specific residual body condition to the overall trends (indicated by the height of each colored bar segment) does not demonstrate a clear pattern, although for many species, changes in body condition were synchronous amongst strata within years. The strata represented by southern rock sole and 100–250 mm walleye pollock condition indicators varied through time but it is unclear whether this was due to variation in fish distribution or sampling effort.</w:t>
      </w:r>
    </w:p>
    <w:p>
      <w:pPr>
        <w:pStyle w:val="CaptionedFigure"/>
      </w:pPr>
      <w:r>
        <w:drawing>
          <wp:inline>
            <wp:extent cx="5334000" cy="6223000"/>
            <wp:effectExtent b="0" l="0" r="0" t="0"/>
            <wp:docPr descr="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 title="" id="1" name="Picture"/>
            <a:graphic>
              <a:graphicData uri="http://schemas.openxmlformats.org/drawingml/2006/picture">
                <pic:pic>
                  <pic:nvPicPr>
                    <pic:cNvPr descr="AI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the beginning of June and the bottom trawl survey is conducted throughout the summer months moving from east to west so that spatial and temporal trends in fish growth over the season become confounded with survey progress.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Aleutian Islands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 specific body condition in the future.</w:t>
      </w:r>
    </w:p>
    <w:p>
      <w:pPr>
        <w:pStyle w:val="BodyText"/>
      </w:pPr>
      <w:r>
        <w:t xml:space="preserve">The trend toward lowered body condition for many Aleutian Islands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Aleutian Islands.</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Aleutian Islands Groundfish Condition</dc:title>
  <dc:creator/>
  <cp:keywords/>
  <dcterms:created xsi:type="dcterms:W3CDTF">2020-09-30T21:14:02Z</dcterms:created>
  <dcterms:modified xsi:type="dcterms:W3CDTF">2020-09-30T21:14:02Z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