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lengths and weights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for each species were estimated with a linear regression of log-transformed values over all years and areas where data were available (EBS: 1982–2019, NBS: 2010 &amp; 2017–2019). A different slope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&lt;10 samples were used for length-weight calculations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magnitude of length-weight residuals was much lower using the new method, in part because the new method reduces the influence of spatial variation in length-weight relationships and spatial-temporal variation in sampling effort on length-weight residuals. Last year, it was reported for the EBS that:</w:t>
      </w:r>
      <w:r>
        <w:t xml:space="preserve"> </w:t>
      </w:r>
      <w:r>
        <w:t xml:space="preserve">“</w:t>
      </w:r>
      <w:r>
        <w:t xml:space="preserve">with the exception of age-1 [walleye] pollock [defined here as age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2020-09-30T16:56:33Z</dcterms:created>
  <dcterms:modified xsi:type="dcterms:W3CDTF">2020-09-30T16:56:33Z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