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Bianca Prohaska</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t xml:space="preserve"> </w:t>
      </w:r>
      <w:r>
        <w:rPr>
          <w:b/>
        </w:rPr>
        <w:t xml:space="preserve">Last updated</w:t>
      </w:r>
      <w:r>
        <w:t xml:space="preserve">: October 2021</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indicators of prey availability, growth, general health, and habitat condition (Blackwell et al., 2000; Froese, 2006). Positive length-weight residuals indicate better condition (i.e., heavier per unit length) and negative residuals indicate poorer condition (i.e., lighter per unit length) (Froese, 2006).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 Rodgveller, 2019; Barbeaux et al.,2020).</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The groundfish morphometric condition indicator is calculated from paired fork lengths (mm) and weights (g)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survey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w:t>
      </w:r>
    </w:p>
    <w:p>
      <w:pPr>
        <w:pStyle w:val="BodyText"/>
      </w:pPr>
      <w:r>
        <w:t xml:space="preserve">To calculate indicators, length-weight relationships were estimated from linear regression models based on a log-transformation of the exponential growth relationship,</w:t>
      </w:r>
      <w:r>
        <w:t xml:space="preserve"> </w:t>
      </w:r>
      <w:r>
        <w:rPr>
          <w:i/>
        </w:rPr>
        <w:t xml:space="preserve">W</w:t>
      </w:r>
      <w:r>
        <w:t xml:space="preserve"> </w:t>
      </w:r>
      <w:r>
        <w:t xml:space="preserve">=</w:t>
      </w:r>
      <w:r>
        <w:t xml:space="preserve"> </w:t>
      </w:r>
      <w:r>
        <w:rPr>
          <w:i/>
        </w:rPr>
        <w:t xml:space="preserve">aL</w:t>
      </w:r>
      <w:r>
        <w:rPr>
          <w:i/>
          <w:vertAlign w:val="superscript"/>
        </w:rPr>
        <w:t xml:space="preserve">b</w:t>
      </w:r>
      <w:r>
        <w:t xml:space="preserve">, where</w:t>
      </w:r>
      <w:r>
        <w:t xml:space="preserve"> </w:t>
      </w:r>
      <w:r>
        <w:rPr>
          <w:i/>
        </w:rPr>
        <w:t xml:space="preserve">W</w:t>
      </w:r>
      <w:r>
        <w:t xml:space="preserve"> </w:t>
      </w:r>
      <w:r>
        <w:t xml:space="preserve">is weight (g) and</w:t>
      </w:r>
      <w:r>
        <w:t xml:space="preserve"> </w:t>
      </w:r>
      <w:r>
        <w:rPr>
          <w:i/>
        </w:rPr>
        <w:t xml:space="preserve">L</w:t>
      </w:r>
      <w:r>
        <w:t xml:space="preserve"> </w:t>
      </w:r>
      <w:r>
        <w:t xml:space="preserve">is fork length (mm) for all areas for the period 1997–2021 (EBS: 1997–2021, NBS: 2010 &amp; 2017–2019, 2021). A unique slope (</w:t>
      </w:r>
      <w:r>
        <w:rPr>
          <w:i/>
        </w:rPr>
        <w:t xml:space="preserve">b</w:t>
      </w:r>
      <w:r>
        <w:t xml:space="preserve">) was estimated for each survey stratum to account for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For the EBS shelf, individual length-weight residuals were averaged for each stratum and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Analysis for the NBS was conducted separately from the EBS because of the shorter time series and the NBS was treated as a single stratum. To minimize the influence of unrepresentative samples on indicator calculations, combinations of species, stratum, and year with sample size &lt;10 were used to fit length-weight regressions but were excluded from calculating length-weight residuals for both the EBS and NBS.</w:t>
      </w:r>
    </w:p>
    <w:p>
      <w:pPr>
        <w:pStyle w:val="BodyText"/>
      </w:pPr>
      <w:r>
        <w:rPr>
          <w:b/>
        </w:rPr>
        <w:t xml:space="preserve">Status and Trends</w:t>
      </w:r>
      <w:r>
        <w:t xml:space="preserve">: Fish condition, indicated by length-weight residuals, has varied over time for all species examined (Figure 2 &amp; 3). In 2019, an upward trend in condition was observed for most species relative to 2017–2018 with positive weighted length-weight residuals relative to historical averages for large walleye pollock (&gt;250 mm), northern rock sole, yellowfin sole, arrowtooth flounder, and Alaska plaice. In 2021, mean weighted length-weight residuals in the EBS were negative for large walleye pollock (&gt;250 mm), and arrowtooth flounder (Figure 2). Mean weighted length-weight residuals were negative for Pacific cod, northern rock sole, Alaska plaice, and flathead sole, although 95% confidence intervals for these species included the historical mean. Weighted-length weight residuals were near the historical averages for small walleye pollock (100-250 mm) and while yellowfin sole (Figure 2).</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2021, negative length-weight residuals were observed for large walleye pollock (&gt;250 mm), Pacific cod, yellowfin sole, and Alaska plaice. The only species with a positive length-weight residual in the NBS in 2021 was small walleye pollock (100-250 mm) (Figure 3).</w:t>
      </w:r>
      <w:r>
        <w:t xml:space="preserve"> </w:t>
      </w:r>
      <w:r>
        <w:t xml:space="preserve">In 2021, similar to 2010-2019, Pacific cod condition was generally negative on the middle and outer northern shelf and outer southern shelf (Strata 40, 50, and 60); however, condition was also negative on the inner southern shelf and inner northern shelf (strata 10, 20 and 30) indicating a decline in condition on these strata since 2019. Large walleye pollock (&gt;250 mm) condition was primarily negative on all strata in 2021, which is consistent with the observed condition on the inner shelf since 2015. In 2021 small walleye pollock (100–250 mm) condition was generally positive, and consistent with observed condition on the inner shelf since 2014. In 2021, negative residuals occurred on all strata for northern rock sole, Alaska plaice, flathead sole and arrowtooth flounder. The remaining species, yellowfin sole, had positive residuals on the outer shelf (Strata 40).</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21.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1999-2021. Length-weight residuals are not weighted by stratum biomass.</w:t>
      </w:r>
    </w:p>
    <w:p>
      <w:pPr>
        <w:pStyle w:val="BodyText"/>
      </w:pPr>
      <w:r>
        <w:rPr>
          <w:b/>
        </w:rPr>
        <w:t xml:space="preserve">Factors influencing observed trends</w:t>
      </w:r>
      <w:r>
        <w:t xml:space="preserve">: Several factors may influence the observed temporal and spatial patterns in fish condition in the EBS and NBS. Water temperature could explain some of the spatial and temporal variability in length-weight residuals. Historically, particularly cold years tend to correspond to negative length-weight residuals, while particularly warm years tend to correspond to positive length-weight residuals. For example, water temperatures during the 1999 survey were particularly cold in the Bering Sea and this corresponded to a year of negative length-weight residuals for all groundfish for which data exist. In addition, spatial temporal factor analyses suggest the morphometric condition of age-7 walleye pollock is strongly correlated with cold pool extent in the EBS (Grüss et al., 2021). In recent years, continuing warm temperatures across the Bering Sea shelf since the record low seasonal sea ice extent in 2017–2018 and historical cold pool area minimum in 2018 (Stabeno et al., 2019), may have influenced the positive trend in fish condition from 2016 to 2019. Although, warmer conditions also occurred in 2021, with the fourth smallest cold pool area and fifth warmest mean bottom temperature in the 39-year survey time series, the majority of species had negative or neutral length-weight residuals in 2021. Although, warmer temperatures may increase growth rates if there is adequate prey to offset temperature-dependent increases in metabolic demand, growth rates may also decline if prey resources are not adequate to offset temperature-dependent increases in metabolic demand. For example, elevated temperatures during the 2014–2016 marine heatwave in the</w:t>
      </w:r>
    </w:p>
    <w:p>
      <w:pPr>
        <w:pStyle w:val="BodyText"/>
      </w:pPr>
      <w:r>
        <w:t xml:space="preserve">Gulf of Alaska led to lower growth rates of Pacific cod and lower condition because prey resources were not sufficient to make up for increased metabolic demand (Barbeaux et al., 2020). The influence of temperature on growth rates depends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length-weight residuals include survey timing, stomach fullness, fish movement patterns, sex, and environmental conditions (Froese, 2006). The starting date of annual length-weight data collections has varied from late May to early June and ended in late July-early August in the EBS, and mid-August in the NBS. Although we account for some of this variation by using stratum-specific regression coefficients, variation in condition could relate to the timing of collection within survey strata. Survey timing can be further compounded by seasonal fluctuations in reproductive condition with the buildup and depletion of energy stores (Wuenschel et al 2019). Another consideration is that fish weights sampled at sea are typically inclusive of stomach content weights so gut fullness may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Although the condition indicator characterizes spatial and temporal variation of length-weight residuals for important fish species in the EBS and NBS they do not inform the mechanisms or processes behind the observed patterns.</w:t>
      </w:r>
    </w:p>
    <w:p>
      <w:pPr>
        <w:pStyle w:val="BodyText"/>
      </w:pPr>
      <w:r>
        <w:rPr>
          <w:b/>
        </w:rPr>
        <w:t xml:space="preserve">Implications</w:t>
      </w:r>
      <w:r>
        <w:t xml:space="preserve">: Fish morphometric condition can be considered an indicator of ecosystem productivity with implications for fish survival, maturity, and reproduction. For example, in Prince William Sound, the pre-winter condition of may determine their overwinter survival (Paul and Paul, 1999), differences in feeding conditions have been linked to differences in morphometric condition of pink salmon in Prince William Sound (Boldt and Haldorson, 2004), variation in morphometric condition has been linked to variation in maturity of sablefish (Rodgveller, 2019), and lower morphometric condition of Pacific cod was associated with higher mortality and lower growth rates during the 2014–2016 marine heat wave in the Gulf of Alaska (Barbeaux et al., 2020). Thus, the condition of EBS and NBS groundfishes may provide us with insight into ecosystem productivity as well as fish survival, demographic status,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 (Froese, 2006), particularly since juvenile and adult walleye pollock exhibited opposite trends in condition in both the EBS and NBS this year.</w:t>
      </w:r>
    </w:p>
    <w:p>
      <w:pPr>
        <w:pStyle w:val="BodyText"/>
      </w:pPr>
      <w:r>
        <w:t xml:space="preserve">The negative trend in fish condition observed during the 2021 AFSC/RACE GAP EBS and NBS bottom trawl surveys (i.e., increasingly negative length-weight residuals) could be related to concurrent trends in other ecosystem components and needs to be examined further. Furthermore, this denotes a shift in a general positive trend in fish condition in the previous two to three survey years. Trends such as prolonged warmer water temperatures following the marine heat wave of 2014-16 (Bond et al., 2015) and reduced sea ice and cold pool areal extent in the eastern Bering Sea (Stabeno et al., 2019) may affect fish condition in ways that have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 in 2022. Furthermore, there is an ongoing Essential Fish Habitat project within the AFSC Groundfish Assessment Program to validate the morphometric condition indicator in Pacific cod and walleye pollock using a physiological metric. Finally,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 (Hurst et al. 2021). Future research priorities should consider this provided guidance.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2021-10-07T21:45:58Z</dcterms:created>
  <dcterms:modified xsi:type="dcterms:W3CDTF">2021-10-07T21:45:58Z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