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October 2023</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fishes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1997–2023 (EBS: 1997–2023,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Methodological Changes</w:t>
      </w:r>
      <w:r>
        <w:t xml:space="preserve">: In Groundfish Morphometric Condition Indicator contributions to the 2022 Eastern Bering Sea and Aleutians Islands Ecosystem Status Reports, historical stratum-biomass weighted residuals condition indicators were presented alongside condition indicators that were calculated using the R package VAST following methods that were presented for select GOA species during the Spring Preview of Ecological and Economic Conditions (PEEC) in May 2020. The authors noted there were strong correlations between VAST and stratum-biomass weighted condition indicators for most EBS and NBS species (r = 0.79–0.98). The authors received the following feedback about the change from the BSAI Groundfish Plan Team meeting during their November 2022 meeting:</w:t>
      </w:r>
    </w:p>
    <w:p>
      <w:pPr>
        <w:pStyle w:val="BodyText"/>
      </w:pPr>
      <w:r>
        <w:rPr>
          <w:iCs/>
          <w:i/>
        </w:rPr>
        <w:t xml:space="preserve">“</w:t>
      </w:r>
      <w:r>
        <w:rPr>
          <w:iCs/>
          <w:i/>
        </w:rPr>
        <w:t xml:space="preserve">The Team discussed the revised condition indices that now use a different, VAST-based condition index, but felt additional methodology regarding this transition was needed. The Team recommended a short presentation next September to the Team to review the methods and tradeoffs in approaches. The Team encouraged collaboration with the NMFS longline survey team to develop analogous VAST indices.</w:t>
      </w:r>
      <w:r>
        <w:rPr>
          <w:iCs/>
          <w:i/>
        </w:rPr>
        <w:t xml:space="preserve">”</w:t>
      </w:r>
    </w:p>
    <w:p>
      <w:pPr>
        <w:pStyle w:val="BodyText"/>
      </w:pPr>
      <w:r>
        <w:t xml:space="preserve">Based on feedback from the Plan Team, staff limitations, and the lack of a clear path to transition condition indicators for longline survey species to VAST, analyses supporting the transition to VAST were not conducted during 2023. Therefore, the 2023 condition indicator was calculated from statum-biomass weighted residuals of length-weight regressions.</w:t>
      </w:r>
    </w:p>
    <w:p>
      <w:pPr>
        <w:pStyle w:val="BodyText"/>
      </w:pPr>
      <w:r>
        <w:t xml:space="preserve">Stratum-biomass weighted residuals for NBS strata are presented for the first time in 2023. NBS length-weight samples were previously pooled across strata to calculate region-wide length-weight residuals because of the lack of samples from regular survey sampling prior to 2017. The authors have opted to present stratum-biomass weighted residuals for the NBS in 2023 because of the accumulation of regular length-weight samples in recent years.</w:t>
      </w:r>
    </w:p>
    <w:p>
      <w:pPr>
        <w:pStyle w:val="BodyText"/>
      </w:pPr>
      <w:r>
        <w:rPr>
          <w:bCs/>
          <w:b/>
        </w:rPr>
        <w:t xml:space="preserve">Status and Trends</w:t>
      </w:r>
      <w:r>
        <w:t xml:space="preserve">: Fish condition, indicated by length-weight residuals, has varied over time for all species examined in the EBS (Figure 2 &amp; 3). In 2023 a downward trend in condition from 2022 was observed for all species in the EBS, with large walleye pollock (&gt;250 mm), and arrowtooth flounder decreasing since 2019; however, all species were still within one standard deviation of the mean except for large walleye pollock (&gt;250 mm) which was negative but within two standard deviations of the mean (Figure 2). Large walleye pollock (&gt;250 mm) exhibited the second worst condition observed over the full time series with the lowest observed condition occurring in 1999 (Figure 2). In 2019, an upward trend in condition was observed for most species relative to 2017–2018 with positive weighted length-weight residuals relative to historical averages for large walleye pollock (&gt;250 mm), northern rock sole, yellowfin sole, arrowtooth flounder, and Alaska plaice; however, in 2021 condition had a downward trend in most species examined. In 2022 in the EBS, conditions were near the historical mean, or positive for all species examined except for arrowtooth flounder and large walleye pollock (&gt;250 mm). While their conditions were below average, the mean for both groups fell within one standard deviation of the historical mean (Figure 2).</w:t>
      </w:r>
    </w:p>
    <w:p>
      <w:pPr>
        <w:pStyle w:val="BodyText"/>
      </w:pPr>
      <w:r>
        <w:t xml:space="preserve">In the EBS in 2023, condition was negative for large walleye pollock (&gt;250 mm), arrowtooth flounder, and flathead sole across most strata (Figure 3). In 2023, there was a divergence in small walleye pollock (100-250 mm) condition among strata with more positive condition observed on the inner shelf (Stratum 10), and more negative condition observed on the middle shelf (Stratum 30).</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4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3. Length-weight residuals are not weighted by stratum biomass." title="" id="29" name="Picture"/>
            <a:graphic>
              <a:graphicData uri="http://schemas.openxmlformats.org/drawingml/2006/picture">
                <pic:pic>
                  <pic:nvPicPr>
                    <pic:cNvPr descr="EBS_GroundfishCondition_2024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1999-2023. Length-weight residuals are not weighted by stratum biomass.</w:t>
      </w:r>
    </w:p>
    <w:p>
      <w:pPr>
        <w:pStyle w:val="BodyText"/>
      </w:pPr>
      <w:r>
        <w:t xml:space="preserve">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4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4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Temperature appears to influence morphological condition of several species in the EBS and NBS, so near-average cold pool extent and water temperatures in 2023 likely played a role in the near-average condition (within 1 S.D. of the mean) for most species in the EBS and NBS.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that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2023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Research is being planned and implemented across multiple AFSC programs to explore standardization of statistical methods for calculating condition indicators, and to examine relationships among putatively similar indicators of fish condition (i.e., morphometric, bioenergetic, physiological). Research is underway to evaluate connections between morphometric condition indices, temperature, and density-dependent competition.</w:t>
      </w:r>
    </w:p>
    <w:bookmarkStart w:id="61" w:name="references"/>
    <w:p>
      <w:pPr>
        <w:pStyle w:val="Heading2"/>
      </w:pPr>
      <w:r>
        <w:t xml:space="preserve">References</w:t>
      </w:r>
    </w:p>
    <w:bookmarkStart w:id="60"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2">
        <w:r>
          <w:rPr>
            <w:rStyle w:val="Hyperlink"/>
          </w:rPr>
          <w:t xml:space="preserve">https://doi.org/10.1006/jfbi.1999.0927</w:t>
        </w:r>
      </w:hyperlink>
    </w:p>
    <w:bookmarkEnd w:id="53"/>
    <w:bookmarkStart w:id="55"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4">
        <w:r>
          <w:rPr>
            <w:rStyle w:val="Hyperlink"/>
          </w:rPr>
          <w:t xml:space="preserve">https://doi.org/10.1016/j.fishres.2019.03.013</w:t>
        </w:r>
      </w:hyperlink>
    </w:p>
    <w:bookmarkEnd w:id="55"/>
    <w:bookmarkStart w:id="57"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6">
        <w:r>
          <w:rPr>
            <w:rStyle w:val="Hyperlink"/>
          </w:rPr>
          <w:t xml:space="preserve">https://doi.org/10.1029/2019GL083816</w:t>
        </w:r>
      </w:hyperlink>
    </w:p>
    <w:bookmarkEnd w:id="57"/>
    <w:bookmarkStart w:id="59"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58">
        <w:r>
          <w:rPr>
            <w:rStyle w:val="Hyperlink"/>
          </w:rPr>
          <w:t xml:space="preserve">https://doi.org/10.1139/cjfas-2018-0076</w:t>
        </w:r>
      </w:hyperlink>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6"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58"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6"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58"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2024-08-27T19:58:09Z</dcterms:created>
  <dcterms:modified xsi:type="dcterms:W3CDTF">2024-08-27T19:58:09Z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