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sean.rohan@noaa.gov</w:t>
        </w:r>
      </w:hyperlink>
      <w:r>
        <w:t xml:space="preserve"> </w:t>
      </w:r>
      <w:r>
        <w:rPr>
          <w:bCs/>
          <w:b/>
        </w:rPr>
        <w:t xml:space="preserve">Last updated</w:t>
      </w:r>
      <w:r>
        <w:t xml:space="preserve">: September 2024</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collected in bottom trawls at standard survey stations (Figure 1). Alaska plaice were not sampled in 2024.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1997–2024 (EBS: 1997–2024, NBS: 2010, 2017, 2019, 2021-2023). Unique intercepts (</w:t>
      </w:r>
      <w:r>
        <w:rPr>
          <w:iCs/>
          <w:i/>
        </w:rPr>
        <w:t xml:space="preserve">a</w:t>
      </w:r>
      <w:r>
        <w:t xml:space="preserve">) and slopes (</w:t>
      </w:r>
      <w:r>
        <w:rPr>
          <w:iCs/>
          <w:i/>
        </w:rPr>
        <w:t xml:space="preserve">b</w:t>
      </w:r>
      <w:r>
        <w:t xml:space="preserve">) were estimated for each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Status and Trends</w:t>
      </w:r>
      <w:r>
        <w:t xml:space="preserve">: Fish condition, indicated by length-weight residuals, has varied over time for all species examined in the EBS (Figure 2 &amp; 3). Since 2022, a declining trend in condition was observed in small walleye pollock (100-250 mm), northern rock sole, and Pacific cod; however, these species were still within one standard deviation of the historical mean (Figure 2). Large walleye pollock (&gt;250 mm), yellowfin sole, and arrowtooth flounder exhibited an increase in condition from 2023 to 2024, while little to no change in condition was observed in flathead sole (Figure 2). Despite observing increasing or decreasing trends in condition among most of the species examined, the 2024 mean condition of all species, except for northern rock sole, fell within two standard errors of the mean condition in 2023 (Figure 2). Furthermore, the mean condition of every species fell within one standard deviation of the historical mean in 2024 (Figure 2).</w:t>
      </w:r>
    </w:p>
    <w:p>
      <w:pPr>
        <w:pStyle w:val="BodyText"/>
      </w:pPr>
      <w:r>
        <w:t xml:space="preserve">In the EBS in 2024, condition was negative for all species examined across most strata, except for yellowfin sole on the inner and middle shelf (Strata 10 and 30), and arrowtooth flounder on the southern outer shelf (Stratum 50) (Figure 3).</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5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4. Length-weight residuals are not weighted by stratum biomass." title="" id="29" name="Picture"/>
            <a:graphic>
              <a:graphicData uri="http://schemas.openxmlformats.org/drawingml/2006/picture">
                <pic:pic>
                  <pic:nvPicPr>
                    <pic:cNvPr descr="EBS_GroundfishCondition_2025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1999-2024. Length-weight residuals are not weighted by stratum biomass.</w:t>
      </w:r>
    </w:p>
    <w:p>
      <w:pPr>
        <w:pStyle w:val="BodyText"/>
      </w:pPr>
      <w:r>
        <w:t xml:space="preserve">The NBS was not surveyed in 2024; however, in the NBS in 2023, positive condition was observed for large walleye pollock (&gt;250 mm), which has been increasing since 2021. The remaining species exhibited near-average condition in the NBS in 2023, except for yellowfin sole, which exhibited negative condition and has been declining since 2019 (Figure 4).</w:t>
      </w:r>
    </w:p>
    <w:p>
      <w:pPr>
        <w:pStyle w:val="BodyText"/>
      </w:pPr>
      <w:r>
        <w:t xml:space="preserve">In 2023 large walleye pollock (&gt;250 mm) condition was positive in all NBS strata, whereas condition was previously negative in all strata from 2021-2022 (Figure 5). Pacific cod, small walleye pollock (100-250 mm), Alaska plaice, and yellowfin sole condition have been consistently negative across all strata since 2021, with a notable exception in 2023 of positive condition for Pacific cod in the inner southern NBS shelf, and Alaska plaice in the northern inner NBS shelf and Norton Sound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5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 title="" id="35" name="Picture"/>
            <a:graphic>
              <a:graphicData uri="http://schemas.openxmlformats.org/drawingml/2006/picture">
                <pic:pic>
                  <pic:nvPicPr>
                    <pic:cNvPr descr="EBS_GroundfishCondition_2025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w:t>
      </w:r>
    </w:p>
    <w:p>
      <w:pPr>
        <w:pStyle w:val="BodyText"/>
      </w:pPr>
      <w:r>
        <w:rPr>
          <w:bCs/>
          <w:b/>
        </w:rPr>
        <w:t xml:space="preserve">Factors influencing observed trends</w:t>
      </w:r>
      <w:r>
        <w:t xml:space="preserve">: Similar to trends observed in 2023, temperature appears to influence morphological condition of species in the EBS, so near-average cold pool extent and water temperatures in 2024 likely played a role in the near-average condition (within 1 S.D. of the mean) for all species examined in the EBS. Historically, particularly cold years tend to correspond with negative condition, while particularly warm years tend to correspond to positive condition. For example, water temperatures were particularly cold during the 1999 Bering Sea survey, a year in which negative condition was observed for all species for which data were available. In addition, spatiotemporal factor analyses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since the record low seasonal sea ice extent in 2017–2018 and historical cold pool area minimum in 2018</w:t>
      </w:r>
      <w:r>
        <w:t xml:space="preserve"> </w:t>
      </w:r>
      <w:r>
        <w:t xml:space="preserve">(Stabeno &amp; Bell, 2019)</w:t>
      </w:r>
      <w:r>
        <w:t xml:space="preserve">, may have influenced the positive trend in the condition of several species from 2016 to 2019. However, despite near-average temperature in 2023 large walleye pollock (&gt;250 mm) condition in the EBS was the second lowest recorded over the time series. In 2024 temperature was near-average again, and while large walleye pollock (&gt;250 mm) condition was still negative, it was less negative than that observed in 2023.</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of Pacific cod and lower condition because available prey resources did not make up for increased metabolic demand</w:t>
      </w:r>
      <w:r>
        <w:t xml:space="preserve"> </w:t>
      </w:r>
      <w:r>
        <w:t xml:space="preserve">(Barbeaux et al., 2020)</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we account for some of this variation by using spatially-varying coefficients in the length-weight relationship, variation in condition could relate to variation in the timing of sample collection within survey strata. Survey timing can be further compounded by seasonal fluctuations in reproductive condition with the buildup and depletion of energy stores</w:t>
      </w:r>
      <w:r>
        <w:t xml:space="preserve"> </w:t>
      </w:r>
      <w:r>
        <w:t xml:space="preserve">(Wuenschel et al., 2019)</w:t>
      </w:r>
      <w:r>
        <w:t xml:space="preserve">. Another consideration is that fish weights sampled at sea include gut content weights, so variation in gut fullness may influence weight measurements.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this year.</w:t>
      </w:r>
    </w:p>
    <w:p>
      <w:pPr>
        <w:pStyle w:val="BodyText"/>
      </w:pPr>
      <w:r>
        <w:t xml:space="preserve">The near-average condition for most species in 2024 may be related to the near historical average temperatures observed.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p>
      <w:pPr>
        <w:pStyle w:val="BodyText"/>
      </w:pPr>
      <w:r>
        <w:rPr>
          <w:bCs/>
          <w:b/>
        </w:rPr>
        <w:t xml:space="preserve">Research priorities</w:t>
      </w:r>
      <w:r>
        <w:t xml:space="preserve">: Recent studies have sought to improve the understanding of factors that affect fish growth and morphometric condition in the EBS (e.g.</w:t>
      </w:r>
      <w:r>
        <w:t xml:space="preserve">(Oke et al., 2022)</w:t>
      </w:r>
      <w:r>
        <w:t xml:space="preserve">) although significant knowledge gaps remain for numerous species and life history stages. Research is underway to evaluate connections between morphometric condition indices, temperature, and density-dependent competition.</w:t>
      </w:r>
    </w:p>
    <w:bookmarkStart w:id="63" w:name="references"/>
    <w:p>
      <w:pPr>
        <w:pStyle w:val="Heading2"/>
      </w:pPr>
      <w:r>
        <w:t xml:space="preserve">References</w:t>
      </w:r>
    </w:p>
    <w:bookmarkStart w:id="62"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Oke2022"/>
    <w:p>
      <w:pPr>
        <w:pStyle w:val="Bibliography"/>
      </w:pPr>
      <w:r>
        <w:t xml:space="preserve">Oke, K. B., Mueter, F. J., &amp; Litzow, M. A. (2022).</w:t>
      </w:r>
      <w:r>
        <w:t xml:space="preserve"> </w:t>
      </w:r>
      <w:r>
        <w:t xml:space="preserve">Warming leads to opposite patterns in weight-at-age for young versus old age classes of Bering Sea walleye pollock</w:t>
      </w:r>
      <w:r>
        <w:t xml:space="preserve">.</w:t>
      </w:r>
      <w:r>
        <w:t xml:space="preserve"> </w:t>
      </w:r>
      <w:r>
        <w:rPr>
          <w:iCs/>
          <w:i/>
        </w:rPr>
        <w:t xml:space="preserve">Canadian Journal of Fisheries and Aquatic Sciences</w:t>
      </w:r>
      <w:r>
        <w:t xml:space="preserve">.</w:t>
      </w:r>
      <w:r>
        <w:t xml:space="preserve"> </w:t>
      </w:r>
      <w:hyperlink r:id="rId52">
        <w:r>
          <w:rPr>
            <w:rStyle w:val="Hyperlink"/>
          </w:rPr>
          <w:t xml:space="preserve">https://doi.org/10.1139/cjfas-2021-0315</w:t>
        </w:r>
      </w:hyperlink>
    </w:p>
    <w:bookmarkEnd w:id="53"/>
    <w:bookmarkStart w:id="55"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4">
        <w:r>
          <w:rPr>
            <w:rStyle w:val="Hyperlink"/>
          </w:rPr>
          <w:t xml:space="preserve">https://doi.org/10.1006/jfbi.1999.0927</w:t>
        </w:r>
      </w:hyperlink>
    </w:p>
    <w:bookmarkEnd w:id="55"/>
    <w:bookmarkStart w:id="57"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6">
        <w:r>
          <w:rPr>
            <w:rStyle w:val="Hyperlink"/>
          </w:rPr>
          <w:t xml:space="preserve">https://doi.org/10.1016/j.fishres.2019.03.013</w:t>
        </w:r>
      </w:hyperlink>
    </w:p>
    <w:bookmarkEnd w:id="57"/>
    <w:bookmarkStart w:id="59" w:name="ref-Stabeno2019a"/>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8">
        <w:r>
          <w:rPr>
            <w:rStyle w:val="Hyperlink"/>
          </w:rPr>
          <w:t xml:space="preserve">https://doi.org/10.1029/2019GL083816</w:t>
        </w:r>
      </w:hyperlink>
    </w:p>
    <w:bookmarkEnd w:id="59"/>
    <w:bookmarkStart w:id="61"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60">
        <w:r>
          <w:rPr>
            <w:rStyle w:val="Hyperlink"/>
          </w:rPr>
          <w:t xml:space="preserve">https://doi.org/10.1139/cjfas-2018-0076</w:t>
        </w:r>
      </w:hyperlink>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2025-09-18T21:05:22Z</dcterms:created>
  <dcterms:modified xsi:type="dcterms:W3CDTF">2025-09-18T21:05:22Z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