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from a linear regression of log-transformed values across all years where data were available (1984–2019);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 Efforts are underway to redevelop the groundfish condition indicator for next year’s (2021) ESR, using a spatio-temporal model with spatial random effects (VAST). This computational change is expected to provide more precise biomass expansion, improve estimates of uncertainty, and better account for spatio-temporal variation in length-weight sampling during bottom trawl surveys. Revised indicators will be presented in 2021 alongside a retrospective analysis comparing the historical and revised condition indicators. At present,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p>
      <w:pPr>
        <w:pStyle w:val="BodyText"/>
      </w:pPr>
      <w:r>
        <w:rPr>
          <w:b/>
        </w:rPr>
        <w:t xml:space="preserve">Status and Trends</w:t>
      </w:r>
      <w:r>
        <w:t xml:space="preserve">: Residual body condition varied over time for all species considered (Figure 2). Body condition appears to be trending downward for many species in the latter half of the time series although Pacific cod condition is increasingly positive since 2015. Prior to 2011, residual body condition indexes of these GOA species vary by survey year, cycling between negative and positive residuals with no clear temporal trends during that time frame.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title="" id="1" name="Picture"/>
            <a:graphic>
              <a:graphicData uri="http://schemas.openxmlformats.org/drawingml/2006/picture">
                <pic:pic>
                  <pic:nvPicPr>
                    <pic:cNvPr descr="GOA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w:t>
      </w:r>
    </w:p>
    <w:p>
      <w:pPr>
        <w:pStyle w:val="BodyText"/>
      </w:pPr>
      <w:r>
        <w:t xml:space="preserve">The overall pattern of declining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2020-09-15T14:14:42Z</dcterms:created>
  <dcterms:modified xsi:type="dcterms:W3CDTF">2020-09-15T14:14:42Z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