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 Ned Laman</w:t>
      </w:r>
      <w:r>
        <w:rPr>
          <w:vertAlign w:val="superscript"/>
        </w:rPr>
        <w:t xml:space="preserve">1</w:t>
      </w:r>
      <w:r>
        <w:t xml:space="preserve">,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
        </w:rPr>
        <w:t xml:space="preserve">Contact</w:t>
      </w:r>
      <w:r>
        <w:t xml:space="preserve">:</w:t>
      </w:r>
      <w:r>
        <w:t xml:space="preserve"> </w:t>
      </w:r>
      <w:hyperlink r:id="rId20">
        <w:r>
          <w:rPr>
            <w:rStyle w:val="Hyperlink"/>
          </w:rPr>
          <w:t xml:space="preserve">ned.laman@noaa.gov</w:t>
        </w:r>
      </w:hyperlink>
      <w:r>
        <w:br/>
      </w:r>
      <w:r>
        <w:rPr>
          <w:b/>
        </w:rPr>
        <w:t xml:space="preserve">Last updated</w:t>
      </w:r>
      <w:r>
        <w:t xml:space="preserve">: August 2020</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 title="" id="1" name="Picture"/>
            <a:graphic>
              <a:graphicData uri="http://schemas.openxmlformats.org/drawingml/2006/picture">
                <pic:pic>
                  <pic:nvPicPr>
                    <pic:cNvPr descr="MapGOA.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Gulf of Alaska (GOA).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northern rockfish (</w:t>
      </w:r>
      <w:r>
        <w:rPr>
          <w:i/>
        </w:rPr>
        <w:t xml:space="preserve">Sebastes polyspinis</w:t>
      </w:r>
      <w:r>
        <w:t xml:space="preserve">), Pacific ocean perch (</w:t>
      </w:r>
      <w:r>
        <w:rPr>
          <w:i/>
        </w:rPr>
        <w:t xml:space="preserve">Sebastes alutus</w:t>
      </w:r>
      <w:r>
        <w:t xml:space="preserve">), and dusky rockfish (</w:t>
      </w:r>
      <w:r>
        <w:rPr>
          <w:i/>
        </w:rPr>
        <w:t xml:space="preserve">Sebastes variabilis</w:t>
      </w:r>
      <w:r>
        <w:t xml:space="preserve">) collected in trawls with satisfactory performance at standard survey stations. Data were combined in the International North Pacific Fisheries Commission (INPFC) strata; Shumagin, Chirikof, Kodiak, Yakutat and Southeast (Figure 1).</w:t>
      </w:r>
    </w:p>
    <w:p>
      <w:pPr>
        <w:pStyle w:val="BodyText"/>
      </w:pPr>
      <w:r>
        <w:t xml:space="preserve">Length-weight relationships for each of the seven species were estimated within each stratum from a linear regression of log-transformed values across all years where data were available (1984–2019); the slopes of these relationships were estimated independently in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Residual body condition varied over time for all species considered (Figure 2). Body condition appears to be trending downward for many species in the latter half of the time series although Pacific cod condition is increasingly positive since 2015. Prior to 2011, residual body condition indexes of these GOA species vary by survey year, cycling between negative and positive residuals with no clear temporal trends during that time frame. Residual body condition of 100–250 mm walleye pollock in the GOA is strikingly positive during early years in the time series, but has remained mostly neutral or slightly negative since the early 1990s.</w:t>
      </w:r>
    </w:p>
    <w:p>
      <w:pPr>
        <w:pStyle w:val="CaptionedFigure"/>
      </w:pPr>
      <w:r>
        <w:drawing>
          <wp:inline>
            <wp:extent cx="5334000" cy="6223000"/>
            <wp:effectExtent b="0" l="0" r="0" t="0"/>
            <wp:docPr descr="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 title="" id="1" name="Picture"/>
            <a:graphic>
              <a:graphicData uri="http://schemas.openxmlformats.org/drawingml/2006/picture">
                <pic:pic>
                  <pic:nvPicPr>
                    <pic:cNvPr descr="GOA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w:t>
      </w:r>
    </w:p>
    <w:p>
      <w:pPr>
        <w:pStyle w:val="BodyText"/>
      </w:pPr>
      <w:r>
        <w:t xml:space="preserve">The overall pattern of declining residual body condition index across recent survey years for the Gulf of Alaska as described above was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the direction of residual body condition (positive or negative) was synchronous amongst strata within years. Patterns of fish distribution are also apparent in the stratum condition indexes. For example, Northern rockfish have primarily been collected from the Shumagin and Chirikof strata in recent surveys. The trend of increasingly positive Pacific cod residuals appears to be largely driven by a shift in residual body condition in the Kodiak and Shumagin strata.</w:t>
      </w:r>
    </w:p>
    <w:p>
      <w:pPr>
        <w:pStyle w:val="CaptionedFigure"/>
      </w:pPr>
      <w:r>
        <w:drawing>
          <wp:inline>
            <wp:extent cx="5334000" cy="6223000"/>
            <wp:effectExtent b="0" l="0" r="0" t="0"/>
            <wp:docPr descr="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 title="" id="1" name="Picture"/>
            <a:graphic>
              <a:graphicData uri="http://schemas.openxmlformats.org/drawingml/2006/picture">
                <pic:pic>
                  <pic:nvPicPr>
                    <pic:cNvPr descr="GOA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late May and the bottom trawl survey is conducted throughout the summer months moving from west to east so that spatial and temporal trends in fish growth over the season become confounded with survey progress. In addition, spatial variability in residual condition may also reflect local environmental features which can influence growth and prey availability in the areas surveyed (e.g., warm core eddies in the central Gulf of Alaska; Atwood et al., 2010).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Gulf of Alaska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sex-specific body condition in the future.</w:t>
      </w:r>
    </w:p>
    <w:p>
      <w:pPr>
        <w:pStyle w:val="BodyText"/>
      </w:pPr>
      <w:r>
        <w:t xml:space="preserve">The trend toward lowered body condition for many Gulf of Alaska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Gulf of Alaska.</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2020-09-29T18:09:34Z</dcterms:created>
  <dcterms:modified xsi:type="dcterms:W3CDTF">2020-09-29T18:09:34Z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