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Sean Rohan</w:t>
      </w:r>
      <w:r>
        <w:rPr>
          <w:vertAlign w:val="superscript"/>
        </w:rPr>
        <w:t xml:space="preserve">1</w:t>
      </w:r>
      <w:r>
        <w:t xml:space="preserve">, and Ned Laman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October 2021</w:t>
      </w:r>
    </w:p>
    <w:p>
      <w:pPr>
        <w:pStyle w:val="BodyText"/>
      </w:pPr>
      <w:r>
        <w:rPr>
          <w:bCs/>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Variability in growth can act as a key indicator of population health and can reflect how populations respond to environmental and other factors (Brosset et al., 2017).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w:t>
      </w:r>
    </w:p>
    <w:p>
      <w:pPr>
        <w:pStyle w:val="BodyText"/>
      </w:pPr>
      <w:r>
        <w:rPr>
          <w:bCs/>
          <w:b/>
        </w:rPr>
        <w:t xml:space="preserve">Methods</w:t>
      </w:r>
      <w:r>
        <w:t xml:space="preserve">: 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and dusky rockfish (</w:t>
      </w:r>
      <w:r>
        <w:rPr>
          <w:iCs/>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AFSC/RACE GAP GOA bottom trawl survey years where data were available (1984–2021). Groundfish condition was calculated from a linear regression of log-transformed exponential growth,</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and a bias correction was applied when predicting weights priori to calculating residuals. Stratum mean residuals were weighted in proportion to stratum biomass and stratum-year combinations with samples sizes &lt;10 were eliminated from indicator calculations although they were included when establishing length-weight relationships.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As in previous years, confidence intervals for the condition indicator reflect uncertainty based on length-weight residuals, but now better reflect sample sizes and stratum biomasses among years. Confidence intervals do not account for uncertainty in stratum biomass estimates. Combinations of stratum and year with &lt;10 samples were used for length-weight relationships but excluded from indicator calculations. Code used to calculate the condition indicator is available on GitHub at (</w:t>
      </w:r>
      <w:hyperlink r:id="rId21">
        <w:r>
          <w:rPr>
            <w:rStyle w:val="Hyperlink"/>
          </w:rPr>
          <w:t xml:space="preserve">https://www.github.com/sean-rohan-noaa/akfishcondition</w:t>
        </w:r>
      </w:hyperlink>
      <w:r>
        <w:t xml:space="preserve">).</w:t>
      </w:r>
    </w:p>
    <w:p>
      <w:pPr>
        <w:pStyle w:val="BodyText"/>
      </w:pPr>
      <w:r>
        <w:rPr>
          <w:bCs/>
          <w:b/>
        </w:rPr>
        <w:t xml:space="preserve">Status and Trends</w:t>
      </w:r>
      <w:r>
        <w:t xml:space="preserve">: Residual body condition varied among survey years for all species considered (Figure 2). Fish condition for all seven species were below average in 2021, but with the same condition or reduction in magnitude for most species in the final year relative to 2019. Residual body condition for pollock, Pacific cod, and arrowtooth flounder remained constant relative to 2019. Southern rock sole residual body condition improved over the last four years, but the final two years remained a constant below average condition. Residual body condition for dusky and northern rockfish also improved, but are still below average. Finally, Pacific ocean perch residual body condition is below average and trending downward in the final four years. Prior to 2015,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 Overall, GOA fish condition remains below average.</w:t>
      </w:r>
    </w:p>
    <w:p>
      <w:pPr>
        <w:pStyle w:val="CaptionedFigure"/>
      </w:pPr>
      <w:r>
        <w:drawing>
          <wp:inline>
            <wp:extent cx="5334000" cy="6223000"/>
            <wp:effectExtent b="0" l="0" r="0" t="0"/>
            <wp:docPr descr="Figure 2. Biomass-weighted residual body condition index across survey years (1984-2021)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 title="" id="1" name="Picture"/>
            <a:graphic>
              <a:graphicData uri="http://schemas.openxmlformats.org/drawingml/2006/picture">
                <pic:pic>
                  <pic:nvPicPr>
                    <pic:cNvPr descr="GOA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(1984-2021)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error bars denote two standard errors.</w:t>
      </w:r>
    </w:p>
    <w:p>
      <w:pPr>
        <w:pStyle w:val="BodyText"/>
      </w:pPr>
      <w:r>
        <w:t xml:space="preserve">The general patterns of above and below average residual body condition index across recent survey years for the Gulf of Alaska as described above were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 strata within years. For example, residual body condition for small pollock (100 - 250 mm) in Shumagin and Southeast were positive while other locations trended negative. Residual body condition for southern rock sole in Yakutat and Southeast were also positive, while the rest of the regions trended negative. While Pacific cod residuals trended negative again, residual body condition in the Kodiak strata remained positive. All other fish residual body condition was negative across all strata. Patterns of fish distribution are also apparent in the stratum condition indexes. For example, northern rockfish have primarily been collected from the Shumagin and Chirikof strata in recent surveys.</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21) grouped by International North Pacific Fisheries Commission (INPFC) statistical sampling strata." title="" id="1" name="Picture"/>
            <a:graphic>
              <a:graphicData uri="http://schemas.openxmlformats.org/drawingml/2006/picture">
                <pic:pic>
                  <pic:nvPicPr>
                    <pic:cNvPr descr="GOA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(1984–2021) grouped by International North Pacific Fisheries Commission (INPFC) statistical sampling strata.</w:t>
      </w:r>
    </w:p>
    <w:p>
      <w:pPr>
        <w:pStyle w:val="BodyText"/>
      </w:pPr>
      <w:r>
        <w:rPr>
          <w:bCs/>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Following an unprecedented warming event from 2014 - 2016 (Bond et al., 2015; Stabeno et al., 2019; Barbeaux et al., 2020), there has been a general trend of warming ocean temperatures in the survey area and sea surface temperature anomaly data continue to reflect temperatures above average historical conditions through 2021 (NOAA 2021);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 (Suryan et al., 2021). Warmer ocean temperatures can lead to lower energy (leaner) prey, increased metabolic needs of younger fish, and therefore slower growth for juveniles, as observed in Pacific cod (Barbeaux et al., 2020). Despite this evidence, it remains difficult to attribute changes in parameters such as somatic growth and fish condition directly to environmental changes (e.g., Brosset et al., 2017). Additionally, spatial and temporal trends in fish growth over the season become confounded with survey progress since the first length-weight data are generally collected in late May and the bottom trawl survey is conducted throughout the summer months moving from west to east. In addition, spatial variability in residual condition may also reflect local environmental features which can influence growth and prey availability in the areas surveyed (e.g., warm core eddies in the central Gulf of Alaska; Atwood et al., 2010). The fish condition computations presented here begin to, but do not wholly, account for spatio-temporal trends in the data contributed by survey sampling logistics nor do they resolve sources of variability in the underlying populations.</w:t>
      </w:r>
    </w:p>
    <w:p>
      <w:pPr>
        <w:pStyle w:val="BodyText"/>
      </w:pPr>
      <w:r>
        <w:rPr>
          <w:bCs/>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or regional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2020; NOAA, 2021)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Cs/>
          <w:b/>
        </w:rPr>
        <w:t xml:space="preserve">Research priorities</w:t>
      </w:r>
      <w:r>
        <w:t xml:space="preserve">: Efforts are underway to redevelop the groundfish condition indicator for next year’s (2022) ESR, using a spatio-temporal model with spatial random effects (VAST). The change is expected to allow more precise biomass expansion, improve estimates of uncertainty, and better account for spatial-temporal trends in fish growth magnified by our sampling design as well as variation in length-weight samples from bottom trawl surveys due to methodological changes (e.g., transition from sex-and-length stratified to random sampling). In 2022, revised indicators using these spatio-temporal analyses will be presented in a retrospective analysis comparing historical and revised condition indicators.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1" Target="https://www.github.com/sean-rohan-noaa/akfishcondi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2021-10-04T22:48:01Z</dcterms:created>
  <dcterms:modified xsi:type="dcterms:W3CDTF">2021-10-04T22:48:01Z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