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 and Bianca Prohaska</w:t>
      </w:r>
      <w:r>
        <w:br/>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BodyText"/>
      </w:pPr>
      <w:r>
        <w:rPr>
          <w:bCs/>
          <w:b/>
        </w:rPr>
        <w:t xml:space="preserve">Description of Indicator</w:t>
      </w:r>
      <w:r>
        <w:t xml:space="preserve">: Length-weight residuals represent how heavy a fish is per unit body length and are an indicator of somatic growth variability</w:t>
      </w:r>
      <w:r>
        <w:t xml:space="preserve"> </w:t>
      </w:r>
      <w:r>
        <w:t xml:space="preserve">(Brodeur et al., 2004)</w:t>
      </w:r>
      <w:r>
        <w:t xml:space="preserve">. Therefore, length-weight residuals can be considered indicators of prey availability, growth, general health, and habitat condition</w:t>
      </w:r>
      <w:r>
        <w:t xml:space="preserve"> </w:t>
      </w:r>
      <w:r>
        <w:t xml:space="preserve">(Blackwell et al., 2000; Froese, 2006)</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w:t>
      </w:r>
      <w:r>
        <w:t xml:space="preserve"> </w:t>
      </w:r>
      <w:r>
        <w:t xml:space="preserve">Rodgveller (2019)</w:t>
      </w:r>
      <w:r>
        <w:t xml:space="preserve">;</w:t>
      </w:r>
      <w:r>
        <w:t xml:space="preserve"> </w:t>
      </w:r>
      <w:r>
        <w:t xml:space="preserve">Barbeaux et al. (2020)</w:t>
      </w:r>
      <w:r>
        <w:t xml:space="preserve">).</w:t>
      </w:r>
    </w:p>
    <w:p>
      <w:pPr>
        <w:pStyle w:val="CaptionedFigure"/>
      </w:pPr>
      <w:r>
        <w:drawing>
          <wp:inline>
            <wp:extent cx="4579632" cy="4579632"/>
            <wp:effectExtent b="0" l="0" r="0" t="0"/>
            <wp:docPr descr="Figure 1. AFSC/RACE GAP summer bottom trawl survey strata (10-90) and station locations (x) in the eastern Bering Sea shelf and northern Bering Sea." title="" id="1" name="Picture"/>
            <a:graphic>
              <a:graphicData uri="http://schemas.openxmlformats.org/drawingml/2006/picture">
                <pic:pic>
                  <pic:nvPicPr>
                    <pic:cNvPr descr="C:/Users/sean.rohan/Work/afsc/akfishcondition/ebs_nbs_survey_area.png" id="0" name="Picture"/>
                    <pic:cNvPicPr>
                      <a:picLocks noChangeArrowheads="1" noChangeAspect="1"/>
                    </pic:cNvPicPr>
                  </pic:nvPicPr>
                  <pic:blipFill>
                    <a:blip r:embed="rId21"/>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in the eastern Bering Sea shelf and northern Bering Sea.</w:t>
      </w:r>
    </w:p>
    <w:p>
      <w:pPr>
        <w:pStyle w:val="BodyText"/>
      </w:pPr>
      <w:r>
        <w:t xml:space="preserve">The groundfish morphometric condition indicator is calculated from paired fork lengths (mm) and weights (g)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survey stations (Figure 1). For these analyses and results, survey strata 31 and 32 were combined as stratum 30; strata 41, 42, and 43 were combined as stratum 40; and strata 61 and 62 were combined as stratum 60. Northwest survey strata 82 and 90 were excluded from these analyses.</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1997–2021 (EBS: 1997–2021, NBS: 2010 &amp; 2017–2019, 2021). A unique slope (</w:t>
      </w:r>
      <w:r>
        <w:rPr>
          <w:iCs/>
          <w:i/>
        </w:rPr>
        <w:t xml:space="preserve">b</w:t>
      </w:r>
      <w:r>
        <w:t xml:space="preserve">) was estimated for each survey stratum to account for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For the EBS shelf, individual length-weight residuals were averaged for each stratum and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Analysis for the NBS was conducted separately from the EBS because of the shorter time series and the NBS was treated as a single stratum. To minimize the influence of unrepresentative samples on indicator calculations, combinations of species, stratum, and year with sample size &lt;10 were used to fit length-weight regressions but were excluded from calculating length-weight residuals for both the EBS and NBS.</w:t>
      </w:r>
    </w:p>
    <w:p>
      <w:pPr>
        <w:pStyle w:val="BodyText"/>
      </w:pPr>
      <w:r>
        <w:rPr>
          <w:bCs/>
          <w:b/>
        </w:rPr>
        <w:t xml:space="preserve">Methodological Changes</w:t>
      </w:r>
      <w:r>
        <w:t xml:space="preserve">: Length-weight data from corner stations were included in analyses. This change was made because length-weight samples from corner stations are collected within stratum boundaries following regular sampling protocols.</w:t>
      </w:r>
    </w:p>
    <w:p>
      <w:pPr>
        <w:pStyle w:val="BodyText"/>
      </w:pPr>
      <w:r>
        <w:rPr>
          <w:bCs/>
          <w:b/>
        </w:rPr>
        <w:t xml:space="preserve">Status and Trends</w:t>
      </w:r>
      <w:r>
        <w:t xml:space="preserve">: Fish condition, indicated by length-weight residuals, has varied over time for all species examined (Figure 2 &amp; 3). In 2019, an upward trend in condition was observed for most species relative to 2017–2018 with positive weighted length-weight residuals relative to historical averages for large walleye pollock (&gt;250 mm), northern rock sole, yellowfin sole, arrowtooth flounder, and Alaska plaice. In 2021, mean weighted length-weight residuals in the EBS were negative for large walleye pollock (&gt;250 mm), and arrowtooth flounder (Figure 2). Mean weighted length-weight residuals were negative for Pacific cod, northern rock sole, Alaska plaice, and flathead sole, although 95% confidence intervals for these species included the historical mean. Weighted-length weight residuals were near the historical averages for small walleye pollock (100-250 mm) and yellowfin sole (Figure 2).</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2021, negative length-weight residuals were observed for large walleye pollock (&gt;250 mm), Pacific cod, yellowfin sole, and Alaska plaice in the NBS (Figure 3). The only species with a positive length-weight residual in the NBS in 2021 was small walleye pollock (100-250 mm) (Figure 3).</w:t>
      </w:r>
    </w:p>
    <w:p>
      <w:pPr>
        <w:pStyle w:val="BodyText"/>
      </w:pPr>
      <w:r>
        <w:t xml:space="preserve">In 2021, similar to 2010-2019, Pacific cod condition was generally negative on the middle and outer northern shelf and outer southern shelf (Strata 40, 50, and 60); however, condition was also negative on the inner southern shelf and inner northern shelf (strata 10, 20 and 30) indicating a decline in condition on these strata since 2019. Large walleye pollock (&gt;250 mm) condition was primarily negative on all strata in 2021, which is consistent with the observed condition on the inner shelf since 2015. In 2021, small walleye pollock (100–250 mm) condition was generally positive, and consistent with observed condition on the inner shelf since 2014. In 2021, condition was observed in all EBS strata for northern rock sole, Alaska plaice, flathead sole and arrowtooth flounder. The remaining species, yellowfin sole, had positive residuals on the outer shelf (Stratum 40).</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21.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1999-2021. Length-weight residuals are not weighted by stratum biomass.</w:t>
      </w:r>
    </w:p>
    <w:p>
      <w:pPr>
        <w:pStyle w:val="BodyText"/>
      </w:pPr>
      <w:r>
        <w:rPr>
          <w:bCs/>
          <w:b/>
        </w:rPr>
        <w:t xml:space="preserve">Factors influencing observed trends</w:t>
      </w:r>
      <w:r>
        <w:t xml:space="preserve">: Several factors may influence the observed temporal and spatial patterns in fish condition in the EBS and NBS. Water temperature could explain some of the spatial and temporal variability in length-weight residuals. Historically, particularly cold years tend to correspond with negative condition, while particularly warm years tend to correspond to positive condition. For example, water temperatures during the 1999 survey were particularly cold in the Bering Sea and this corresponded with a year of negative condition for all groundfish with individual length-weight data. In addition, spatial temporal factor analyses suggest the morphometric condition of age-7 walleye pollock is strongly correlated with cold pool extent in the EBS</w:t>
      </w:r>
      <w:r>
        <w:t xml:space="preserve"> </w:t>
      </w:r>
      <w:r>
        <w:t xml:space="preserve">(Grüss et al., 2021)</w:t>
      </w:r>
      <w:r>
        <w:t xml:space="preserve">. In recent years, continuing warm temperatures across the Bering Sea shelf since the record low seasonal sea ice extent in 2017–2018 and historical cold pool area minimum in 2018</w:t>
      </w:r>
      <w:r>
        <w:t xml:space="preserve"> </w:t>
      </w:r>
      <w:r>
        <w:t xml:space="preserve">(Stabeno &amp; Bell, 2019)</w:t>
      </w:r>
      <w:r>
        <w:t xml:space="preserve">, may have influenced the positive trend in fish condition from 2016 to 2019. Although, warmer conditions also occurred in 2021, with the fourth smallest cold pool area and fifth warmest mean bottom temperature in the 39-year survey time series, the majority of species had negative or neutral condition in 2021. Although, warmer temperatures may increase growth rates if there is adequate prey to offset temperature-dependent increases in metabolic demand, growth rates may also decline if prey resources are not adequate to offset temperature-dependent increases in metabolic demand. For example, elevated temperatures during the 2014–2016 marine heatwave in the</w:t>
      </w:r>
    </w:p>
    <w:p>
      <w:pPr>
        <w:pStyle w:val="BodyText"/>
      </w:pPr>
      <w:r>
        <w:t xml:space="preserve">Gulf of Alaska led to lower growth rates of Pacific cod and lower condition because prey resources were not sufficient to make up for increased metabolic demand</w:t>
      </w:r>
      <w:r>
        <w:t xml:space="preserve"> </w:t>
      </w:r>
      <w:r>
        <w:t xml:space="preserve">(Barbeaux et al., 2020)</w:t>
      </w:r>
      <w:r>
        <w:t xml:space="preserve">. The influence of temperature on growth rates depends on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length-weight residuals include survey timing, stomach fullness, fish movement patterns, sex, and environmental conditions</w:t>
      </w:r>
      <w:r>
        <w:t xml:space="preserve"> </w:t>
      </w:r>
      <w:r>
        <w:t xml:space="preserve">(Froese, 2006)</w:t>
      </w:r>
      <w:r>
        <w:t xml:space="preserve">. The starting date of annual length-weight data collections has varied from late May to early June and ended in late July-early August in the EBS, and mid-August in the NBS. Although we account for some of this variation by using stratum-specific regression coefficients, variation in condition could relate to the timing of collection within survey strata. Survey timing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are typically inclusive of stomach content weights so gut fullness may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Although the condition indicator characterizes spatial and temporal variation of length-weight residuals for important fish species in the EBS and NBS they do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Thus, the condition of EBS and NBS groundfishes may provide insight into ecosystem productivity as well as fish survival, demographic status,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r>
        <w:t xml:space="preserve"> </w:t>
      </w:r>
      <w:r>
        <w:t xml:space="preserve">(Froese, 2006)</w:t>
      </w:r>
      <w:r>
        <w:t xml:space="preserve">, particularly since juvenile and adult walleye pollock exhibited opposite trends in condition in both the EBS and NBS this year.</w:t>
      </w:r>
    </w:p>
    <w:p>
      <w:pPr>
        <w:pStyle w:val="BodyText"/>
      </w:pPr>
      <w:r>
        <w:t xml:space="preserve">The negative trend in fish condition observed during the 2021 AFSC/RACE GAP EBS and NBS bottom trawl surveys (i.e., increasingly negative length-weight residuals) could be related to concurrent trends in other ecosystem components and needs to be examined further. Furthermore, this denotes a shift in a general positive trend in fish condition in the previous two to three survey years. Trends such as prolonged warmer water temperatures following the marine heat wave of 2014-16</w:t>
      </w:r>
      <w:r>
        <w:t xml:space="preserve"> </w:t>
      </w:r>
      <w:r>
        <w:t xml:space="preserve">(Bond et al., 2015)</w:t>
      </w:r>
      <w:r>
        <w:t xml:space="preserve"> </w:t>
      </w:r>
      <w:r>
        <w:t xml:space="preserve">and reduced sea ice and cold pool areal extent in the eastern Bering Sea (Stabeno and Bell, 2019) may affect fish condition in ways that have yet to be determined. As we continue to add years of length-weight data and expand our knowledge of relationships between condition, growth, production, survival, and the ecosystem, these data may increase our understanding of the health of fish populations in the EBS and NBS.</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 in 2022. Furthermore, there is an ongoing Essential Fish Habitat project within the AFSC Groundfish Assessment Program to validate the morphometric condition indicator in Pacific cod and walleye pollock using a physiological metric. Finally,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w:t>
      </w:r>
      <w:r>
        <w:t xml:space="preserve"> </w:t>
      </w:r>
      <w:r>
        <w:t xml:space="preserve">(Hurst et al., 2021)</w:t>
      </w:r>
      <w:r>
        <w:t xml:space="preserve">. Future research priorities should consider this guidance.</w:t>
      </w:r>
    </w:p>
    <w:bookmarkStart w:id="49" w:name="references"/>
    <w:p>
      <w:pPr>
        <w:pStyle w:val="Heading2"/>
      </w:pPr>
      <w:r>
        <w:t xml:space="preserve">References</w:t>
      </w:r>
    </w:p>
    <w:bookmarkStart w:id="48" w:name="refs"/>
    <w:bookmarkStart w:id="26"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25">
        <w:r>
          <w:rPr>
            <w:rStyle w:val="Hyperlink"/>
          </w:rPr>
          <w:t xml:space="preserve">https://doi.org/10.3389/fmars.2020.00703</w:t>
        </w:r>
      </w:hyperlink>
    </w:p>
    <w:bookmarkEnd w:id="26"/>
    <w:bookmarkStart w:id="28"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27">
        <w:r>
          <w:rPr>
            <w:rStyle w:val="Hyperlink"/>
          </w:rPr>
          <w:t xml:space="preserve">https://doi.org/10.1080/10641260091129161</w:t>
        </w:r>
      </w:hyperlink>
    </w:p>
    <w:bookmarkEnd w:id="28"/>
    <w:bookmarkStart w:id="30"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29">
        <w:r>
          <w:rPr>
            <w:rStyle w:val="Hyperlink"/>
          </w:rPr>
          <w:t xml:space="preserve">https://doi.org/10.1577/t02-138</w:t>
        </w:r>
      </w:hyperlink>
    </w:p>
    <w:bookmarkEnd w:id="30"/>
    <w:bookmarkStart w:id="32"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31">
        <w:r>
          <w:rPr>
            <w:rStyle w:val="Hyperlink"/>
          </w:rPr>
          <w:t xml:space="preserve">https://doi.org/10.1002/2015GL063306</w:t>
        </w:r>
      </w:hyperlink>
    </w:p>
    <w:bookmarkEnd w:id="32"/>
    <w:bookmarkStart w:id="33"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33"/>
    <w:bookmarkStart w:id="35"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34">
        <w:r>
          <w:rPr>
            <w:rStyle w:val="Hyperlink"/>
          </w:rPr>
          <w:t xml:space="preserve">https://doi.org/10.1111/j.1439-0426.2006.00805.x</w:t>
        </w:r>
      </w:hyperlink>
    </w:p>
    <w:bookmarkEnd w:id="35"/>
    <w:bookmarkStart w:id="37"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36">
        <w:r>
          <w:rPr>
            <w:rStyle w:val="Hyperlink"/>
          </w:rPr>
          <w:t xml:space="preserve">https://doi.org/10.1016/j.pocean.2021.102569</w:t>
        </w:r>
      </w:hyperlink>
    </w:p>
    <w:bookmarkEnd w:id="37"/>
    <w:bookmarkStart w:id="39" w:name="ref-Hurst2021"/>
    <w:p>
      <w:pPr>
        <w:pStyle w:val="Bibliography"/>
      </w:pPr>
      <w:r>
        <w:t xml:space="preserve">Hurst, T. P., O’Leary, C. A., Rohan, S. K., Siddon, E. C., Thorson, J. T., &amp; Vollenweider, J. J. (2021).</w:t>
      </w:r>
      <w:r>
        <w:t xml:space="preserve"> </w:t>
      </w:r>
      <w:r>
        <w:rPr>
          <w:iCs/>
          <w:i/>
        </w:rPr>
        <w:t xml:space="preserve">Inventory, management uses, and recommendations for fish and crab condition information from the 2021 AFSC Condition Congress. AFSC Processed Rep. 2021-04, 39 p. Alaska Fish. Sci. Cent., NOAA, Nat. Mar. Fish. Serv., 7600 Sand Point Way NE, Seattle, WA 981</w:t>
      </w:r>
      <w:r>
        <w:t xml:space="preserve">.</w:t>
      </w:r>
      <w:r>
        <w:t xml:space="preserve"> </w:t>
      </w:r>
      <w:hyperlink r:id="rId38">
        <w:r>
          <w:rPr>
            <w:rStyle w:val="Hyperlink"/>
          </w:rPr>
          <w:t xml:space="preserve">https://doi.org/10.25923/p1yd-0793</w:t>
        </w:r>
      </w:hyperlink>
    </w:p>
    <w:bookmarkEnd w:id="39"/>
    <w:bookmarkStart w:id="41"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40">
        <w:r>
          <w:rPr>
            <w:rStyle w:val="Hyperlink"/>
          </w:rPr>
          <w:t xml:space="preserve">https://doi.org/10.1006/jfbi.1999.0927</w:t>
        </w:r>
      </w:hyperlink>
    </w:p>
    <w:bookmarkEnd w:id="41"/>
    <w:bookmarkStart w:id="43"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2">
        <w:r>
          <w:rPr>
            <w:rStyle w:val="Hyperlink"/>
          </w:rPr>
          <w:t xml:space="preserve">https://doi.org/10.1016/j.fishres.2019.03.013</w:t>
        </w:r>
      </w:hyperlink>
    </w:p>
    <w:bookmarkEnd w:id="43"/>
    <w:bookmarkStart w:id="45"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44">
        <w:r>
          <w:rPr>
            <w:rStyle w:val="Hyperlink"/>
          </w:rPr>
          <w:t xml:space="preserve">https://doi.org/10.1029/2019GL083816</w:t>
        </w:r>
      </w:hyperlink>
    </w:p>
    <w:bookmarkEnd w:id="45"/>
    <w:bookmarkStart w:id="47"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46">
        <w:r>
          <w:rPr>
            <w:rStyle w:val="Hyperlink"/>
          </w:rPr>
          <w:t xml:space="preserve">https://doi.org/10.1139/cjfas-2018-0076</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1" Target="https://doi.org/10.1002/2015GL063306" TargetMode="External" /><Relationship Type="http://schemas.openxmlformats.org/officeDocument/2006/relationships/hyperlink" Id="rId40" Target="https://doi.org/10.1006/jfbi.1999.0927" TargetMode="External" /><Relationship Type="http://schemas.openxmlformats.org/officeDocument/2006/relationships/hyperlink" Id="rId42" Target="https://doi.org/10.1016/j.fishres.2019.03.013" TargetMode="External" /><Relationship Type="http://schemas.openxmlformats.org/officeDocument/2006/relationships/hyperlink" Id="rId36" Target="https://doi.org/10.1016/j.pocean.2021.102569" TargetMode="External" /><Relationship Type="http://schemas.openxmlformats.org/officeDocument/2006/relationships/hyperlink" Id="rId44" Target="https://doi.org/10.1029/2019GL083816" TargetMode="External" /><Relationship Type="http://schemas.openxmlformats.org/officeDocument/2006/relationships/hyperlink" Id="rId27" Target="https://doi.org/10.1080/10641260091129161" TargetMode="External" /><Relationship Type="http://schemas.openxmlformats.org/officeDocument/2006/relationships/hyperlink" Id="rId34" Target="https://doi.org/10.1111/j.1439-0426.2006.00805.x" TargetMode="External" /><Relationship Type="http://schemas.openxmlformats.org/officeDocument/2006/relationships/hyperlink" Id="rId46" Target="https://doi.org/10.1139/cjfas-2018-0076" TargetMode="External" /><Relationship Type="http://schemas.openxmlformats.org/officeDocument/2006/relationships/hyperlink" Id="rId29" Target="https://doi.org/10.1577/t02-138" TargetMode="External" /><Relationship Type="http://schemas.openxmlformats.org/officeDocument/2006/relationships/hyperlink" Id="rId38" Target="https://doi.org/10.25923/p1yd-0793" TargetMode="External" /><Relationship Type="http://schemas.openxmlformats.org/officeDocument/2006/relationships/hyperlink" Id="rId25" Target="https://doi.org/10.3389/fmars.2020.00703" TargetMode="External"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2/2015GL063306" TargetMode="External" /><Relationship Type="http://schemas.openxmlformats.org/officeDocument/2006/relationships/hyperlink" Id="rId40" Target="https://doi.org/10.1006/jfbi.1999.0927" TargetMode="External" /><Relationship Type="http://schemas.openxmlformats.org/officeDocument/2006/relationships/hyperlink" Id="rId42" Target="https://doi.org/10.1016/j.fishres.2019.03.013" TargetMode="External" /><Relationship Type="http://schemas.openxmlformats.org/officeDocument/2006/relationships/hyperlink" Id="rId36" Target="https://doi.org/10.1016/j.pocean.2021.102569" TargetMode="External" /><Relationship Type="http://schemas.openxmlformats.org/officeDocument/2006/relationships/hyperlink" Id="rId44" Target="https://doi.org/10.1029/2019GL083816" TargetMode="External" /><Relationship Type="http://schemas.openxmlformats.org/officeDocument/2006/relationships/hyperlink" Id="rId27" Target="https://doi.org/10.1080/10641260091129161" TargetMode="External" /><Relationship Type="http://schemas.openxmlformats.org/officeDocument/2006/relationships/hyperlink" Id="rId34" Target="https://doi.org/10.1111/j.1439-0426.2006.00805.x" TargetMode="External" /><Relationship Type="http://schemas.openxmlformats.org/officeDocument/2006/relationships/hyperlink" Id="rId46" Target="https://doi.org/10.1139/cjfas-2018-0076" TargetMode="External" /><Relationship Type="http://schemas.openxmlformats.org/officeDocument/2006/relationships/hyperlink" Id="rId29" Target="https://doi.org/10.1577/t02-138" TargetMode="External" /><Relationship Type="http://schemas.openxmlformats.org/officeDocument/2006/relationships/hyperlink" Id="rId38" Target="https://doi.org/10.25923/p1yd-0793" TargetMode="External" /><Relationship Type="http://schemas.openxmlformats.org/officeDocument/2006/relationships/hyperlink" Id="rId25" Target="https://doi.org/10.3389/fmars.2020.00703"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2021-10-16T00:11:20Z</dcterms:created>
  <dcterms:modified xsi:type="dcterms:W3CDTF">2021-10-16T00:11:20Z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