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w:t>
      </w:r>
      <w:r>
        <w:t xml:space="preserve">and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hyperlink r:id="rId20">
        <w:r>
          <w:rPr>
            <w:rStyle w:val="Hyperlink"/>
          </w:rPr>
          <w:t xml:space="preserve">cecilia.oleary@noaa.gov</w:t>
        </w:r>
      </w:hyperlink>
      <w:r>
        <w:br/>
      </w:r>
      <w:r>
        <w:rPr>
          <w:bCs/>
          <w:b/>
        </w:rPr>
        <w:t xml:space="preserve">Last updated</w:t>
      </w:r>
      <w:r>
        <w:t xml:space="preserve">: October 2022</w:t>
      </w:r>
    </w:p>
    <w:p>
      <w:pPr>
        <w:pStyle w:val="BodyText"/>
      </w:pPr>
      <w:r>
        <w:rPr>
          <w:bCs/>
          <w:b/>
        </w:rPr>
        <w:t xml:space="preserve">Description of Indicator</w:t>
      </w:r>
      <w:r>
        <w:t xml:space="preserve">: Morphometric condition indicators based on length-weight relationships characterize variation in somatic growth and can be considered indicators of prey availability, growth, general health, and habitat condition</w:t>
      </w:r>
      <w:r>
        <w:t xml:space="preserve"> </w:t>
      </w:r>
      <w:r>
        <w:t xml:space="preserve">(Blackwell et al., 2000; Froese, 2006)</w:t>
      </w:r>
      <w:r>
        <w:t xml:space="preserve">. This contribution presents two morphometric condition indicators based on length-weight relationships: a new relative condition indicator that is estimated using a spatiotemporal model and the historical indicator based on residuals of the length-weight relationship.</w:t>
      </w:r>
    </w:p>
    <w:p>
      <w:pPr>
        <w:pStyle w:val="BodyText"/>
      </w:pPr>
      <w:r>
        <w:t xml:space="preserve">To calculate indicators, length-weight relationships were estimated from linear regression models based on a log-transformation of the exponential growth relationship, W = aLb, where W is weight (g) and L is fork length (mm) for all areas for the period 1991–2024. Unique unique intercepts and (a) and slopes (b)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 akfishcondition R package and GitHub repository (</w:t>
      </w:r>
      <w:hyperlink r:id="rId21">
        <w:r>
          <w:rPr>
            <w:rStyle w:val="Hyperlink"/>
          </w:rPr>
          <w:t xml:space="preserve">https://github.com/afsc-gap-products/akfishcondition</w:t>
        </w:r>
      </w:hyperlink>
      <w:r>
        <w:t xml:space="preserve">).</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23" name="Picture"/>
            <a:graphic>
              <a:graphicData uri="http://schemas.openxmlformats.org/drawingml/2006/picture">
                <pic:pic>
                  <pic:nvPicPr>
                    <pic:cNvPr descr="MapAI.png" id="24"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rPr>
          <w:bCs/>
          <w:b/>
        </w:rPr>
        <w:t xml:space="preserve">Methodological Changes</w:t>
      </w:r>
      <w:r>
        <w:t xml:space="preserve">: In 2022, historical stratum-biomass weighted residuals condition indicators were presented alongside condition indicators that were calculated using the R package VAST following methods that were presented for select GOA species during the Spring Preview of Ecological and Economic Conditions in May 2020. The authors noted there were strong correlations between VAST and stratum biomass weighted condition indicators for most species (r = 0.79–0.98). The authors received the following feedback about the change from the BSAI Groundfish Plan Team meeting during their November 2022 meeting:</w:t>
      </w:r>
      <w:r>
        <w:t xml:space="preserve"> </w:t>
      </w:r>
      <w:r>
        <w:t xml:space="preserve">“</w:t>
      </w:r>
      <w:r>
        <w:t xml:space="preserve">The Team discussed the revised condition indices that now use a different, VAST-based condition index, but felt additional methodology regarding this transition was needed. The Team recommended a short presentation next September to the Team to review the methods and tradeoffs in approaches. The Team encouraged collaboration with the NMFS longline survey team to develop analogous VAST indices.</w:t>
      </w:r>
      <w:r>
        <w:t xml:space="preserve">”</w:t>
      </w:r>
      <w:r>
        <w:t xml:space="preserve"> </w:t>
      </w:r>
      <w:r>
        <w:t xml:space="preserve">Based on feedback from the Plan Team, staff limitations, and the lack of a clear path to transition condition indicators for longline species to VAST, the 2024 condition indicator was calculated from stratum-biomass weighted residuals of length-weight regressions.</w:t>
      </w:r>
    </w:p>
    <w:p>
      <w:pPr>
        <w:pStyle w:val="BodyText"/>
      </w:pPr>
      <w:r>
        <w:rPr>
          <w:bCs/>
          <w:b/>
        </w:rPr>
        <w:t xml:space="preserve">Status and Trends</w:t>
      </w:r>
      <w:r>
        <w:t xml:space="preserve">: Body condition varied amongst survey years for all species considered (Figure 2). Prior to 2010, the AI bottom trawl survey was characterized by condition cycling between positive and negative values through the years. Condition of most species since 2012 has primarily been below the long term average or neutral. Exceptions occur for 100–250 mm walleye pollock in 2016 and Atka mackerel in 2012 where the residual body condition is neutral or slightly positive. Overall, walleye pollock have fluctuated around the mean and are near the average in 2022. Walleye pollock &gt; 250 mm had above average condition in 2010 and declined from 2010 - 2016, but were near average condition in 2018 and 2022. Atka mackerel showed above average condition in 2010, declined to below average by 2014, but have been near average since 2016. Southern rock sole residual body condition is trending positive in the Aleutians since 2012. Southern rock sole are near the time series mean in 2022. Pacific cod, northern rockfish, arrowtooth flounder, and Pacific ocean perch were above or near average condition in 2010, but subsequently had declining conditions through 2018. These species were in better condition in 2022 than 2018, but are still below their time series means. Notably, in 2022, residual body condition remained at neutral or became slightly more positive than the condition values since 2010 for all species considered, although the body condition of all species besides southern rock sole remain below the long term average for both the historical and model-based index.</w:t>
      </w:r>
    </w:p>
    <w:p>
      <w:pPr>
        <w:pStyle w:val="CaptionedFigure"/>
      </w:pPr>
      <w:r>
        <w:drawing>
          <wp:inline>
            <wp:extent cx="5334000" cy="6223000"/>
            <wp:effectExtent b="0" l="0" r="0" t="0"/>
            <wp:docPr descr="Figure 2. Weighted length-weight residuals for seven groundfish species collected during AFSC/RACE GAP standard summer bottom trawl surveys of the Aleutian Islands, 1991–2024. Filled bars denote weighted length-weight residuals using this year’s indicator calculation. Error bars denote standard errors, thin black lines are 2 standard errors and thick blue boxes are 1 standard error." title="" id="26" name="Picture"/>
            <a:graphic>
              <a:graphicData uri="http://schemas.openxmlformats.org/drawingml/2006/picture">
                <pic:pic>
                  <pic:nvPicPr>
                    <pic:cNvPr descr="AI_GroundfishCondition_2024_files/figure-docx/figure%202%20grid-1.png" id="27"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collected during AFSC/RACE GAP standard summer bottom trawl surveys of the Aleutian Islands, 1991–2024. Filled bars denote weighted length-weight residuals using this year’s indicator calculation. Error bars denote standard errors, thin black lines are 2 standard errors and thick blue boxes are 1 standard error.</w:t>
      </w:r>
    </w:p>
    <w:p>
      <w:pPr>
        <w:pStyle w:val="CaptionedFigure"/>
      </w:pPr>
      <w:r>
        <w:drawing>
          <wp:inline>
            <wp:extent cx="5334000" cy="6223000"/>
            <wp:effectExtent b="0" l="0" r="0" t="0"/>
            <wp:docPr descr="Figure 3. Residual body condition index for Aleutian Islands groundfish species collected on the National Marine Fisheries Service (NMFS) Alaska Fisheries Science Center Resource Assessment and Conservation Engineering (AFSC/RACE) Groundfish Assessment Program (GAP) standard summer bottom trawl survey (1991–2024) grouped by International North Pacific Fisheries Commission (INPFC) statistical sampling strata." title="" id="29" name="Picture"/>
            <a:graphic>
              <a:graphicData uri="http://schemas.openxmlformats.org/drawingml/2006/picture">
                <pic:pic>
                  <pic:nvPicPr>
                    <pic:cNvPr descr="AI_GroundfishCondition_2024_files/figure-docx/figure%203%20grid-1.png" id="30" name="Picture"/>
                    <pic:cNvPicPr>
                      <a:picLocks noChangeArrowheads="1" noChangeAspect="1"/>
                    </pic:cNvPicPr>
                  </pic:nvPicPr>
                  <pic:blipFill>
                    <a:blip r:embed="rId28"/>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Aleutian Islands groundfish species collected on the National Marine Fisheries Service (NMFS) Alaska Fisheries Science Center Resource Assessment and Conservation Engineering (AFSC/RACE) Groundfish Assessment Program (GAP) standard summer bottom trawl survey (1991–2024) grouped by International North Pacific Fisheries Commission (INPFC) statistical sampling strata.</w:t>
      </w:r>
    </w:p>
    <w:p>
      <w:pPr>
        <w:pStyle w:val="BodyText"/>
      </w:pPr>
      <w:r>
        <w:rPr>
          <w:bCs/>
          <w:b/>
        </w:rPr>
        <w:t xml:space="preserve">Factors causing observed trends</w:t>
      </w:r>
      <w:r>
        <w:t xml:space="preserve">: Several factors could affect morphological condition, including water temperature. Since the Warm Blob in 2014</w:t>
      </w:r>
      <w:r>
        <w:t xml:space="preserve"> </w:t>
      </w:r>
      <w:r>
        <w:t xml:space="preserve">(Bond et al., 2015; Stabeno &amp; Bell, 2019)</w:t>
      </w:r>
      <w:r>
        <w:t xml:space="preserve">, there has been a general trend of warming ocean temperatures in the survey area through 2022 that could affect fish growth conditions there. The influence of temperature on growth rates depends on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morphological condition include survey timing, stomach fullness, fish movement patterns, sex, and environmental conditions</w:t>
      </w:r>
      <w:r>
        <w:t xml:space="preserve"> </w:t>
      </w:r>
      <w:r>
        <w:t xml:space="preserve">(Froese, 2006)</w:t>
      </w:r>
      <w:r>
        <w:t xml:space="preserv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We can expect some fish to exhibit seasonal or ontogenetic movement patterns during the survey months. Effects of survey timing on body condition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include gut content weights so variation in gut fullness may influence weight measurements. Since feeding conditions vary over space and time, prey consumption rates and the proportion of total body weight attributable to gut contents may also be an important factor influencing length-at-weight.</w:t>
      </w:r>
    </w:p>
    <w:p>
      <w:pPr>
        <w:pStyle w:val="BodyText"/>
      </w:pPr>
      <w:r>
        <w:t xml:space="preserve">Finally, although condition indicators characterizes spatial and temporal variation in morphometric condition of groundfish species in the Aleutian Islands, it does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The condition of Aleutian Islands groundfish may similarly contribute to survival and recruitment and provide insight into ecosystem productivity, fish survival, demographic status, and population health. The condition of Aleutian Islands groundfish may similarly contribute to survival and recruitment and provide insight into ecosystem productivity, fish survival, demographic status, and population health.</w:t>
      </w:r>
    </w:p>
    <w:p>
      <w:pPr>
        <w:pStyle w:val="BodyText"/>
      </w:pPr>
      <w:r>
        <w:t xml:space="preserve">Survivorship is likely affected by many factors not examined here.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 for more insight into individual health and survivorship</w:t>
      </w:r>
      <w:r>
        <w:t xml:space="preserve"> </w:t>
      </w:r>
      <w:r>
        <w:t xml:space="preserve">(Froese, 2006)</w:t>
      </w:r>
      <w:r>
        <w:t xml:space="preserve">.</w:t>
      </w:r>
    </w:p>
    <w:p>
      <w:pPr>
        <w:pStyle w:val="BodyText"/>
      </w:pPr>
      <w:r>
        <w:t xml:space="preserve">The trend toward lowered body condition for many Aleutian Islands species from 2010 to 2018 RACE/AFSC GAP bottom trawl surveys (i.e., increasingly negative length-weight residuals) is a potential cause for concern. However, the increase in body condition for all groundfish species in 2022 may portend a reversal of the trend. Recent downward trends in body condition could indicate poor overwinter survival or may reflect the influence of locally changing environmental conditions depressing fish growth, local production, or survivorship. Indications are that the Warm Blob</w:t>
      </w:r>
      <w:r>
        <w:t xml:space="preserve"> </w:t>
      </w:r>
      <w:r>
        <w:t xml:space="preserve">(Bond et al., 2015; Stabeno &amp; Bell, 2019)</w:t>
      </w:r>
      <w:r>
        <w:t xml:space="preserve"> </w:t>
      </w:r>
      <w:r>
        <w:t xml:space="preserve">has been followed by years with elevated water temperatures</w:t>
      </w:r>
      <w:r>
        <w:t xml:space="preserve"> </w:t>
      </w:r>
      <w:r>
        <w:t xml:space="preserve">(e.g.,</w:t>
      </w:r>
      <w:r>
        <w:t xml:space="preserve"> </w:t>
      </w:r>
      <w:r>
        <w:t xml:space="preserve">Barbeaux et al. (2020)</w:t>
      </w:r>
      <w:r>
        <w:t xml:space="preserve">)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Cs/>
          <w:b/>
        </w:rPr>
        <w:t xml:space="preserve">Research priorities</w:t>
      </w:r>
      <w:r>
        <w:t xml:space="preserve">: The new model-based condition indicator (VAST relative condition) will be further explored for biases and sensitivities to data, model structure, and parameterization. Specifically, the 100-250 mm walleye pollock VAST relative condition indicator model does not converge, and so further model structure and parameterization research is needed. Research is also being planned and implemented across multiple AFSC programs to explore standardization of statistical methods for calculating condition indicators, and to examine relationships among putatively similar indicators of fish condition (i.e., morphometric, bioenergetic, physiological). Finally, we plan to explore variation in condition indices between life history stages alongside density dependence and climate change impacts</w:t>
      </w:r>
      <w:r>
        <w:t xml:space="preserve"> </w:t>
      </w:r>
      <w:r>
        <w:t xml:space="preserve">(Bolin et al., 2021; Oke et al., 2022)</w:t>
      </w:r>
      <w:r>
        <w:t xml:space="preserve">.</w:t>
      </w:r>
    </w:p>
    <w:bookmarkStart w:id="54" w:name="references"/>
    <w:p>
      <w:pPr>
        <w:pStyle w:val="Heading2"/>
      </w:pPr>
      <w:r>
        <w:t xml:space="preserve">References</w:t>
      </w:r>
    </w:p>
    <w:bookmarkStart w:id="53" w:name="refs"/>
    <w:bookmarkStart w:id="32"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1">
        <w:r>
          <w:rPr>
            <w:rStyle w:val="Hyperlink"/>
          </w:rPr>
          <w:t xml:space="preserve">https://doi.org/10.3389/fmars.2020.00703</w:t>
        </w:r>
      </w:hyperlink>
    </w:p>
    <w:bookmarkEnd w:id="32"/>
    <w:bookmarkStart w:id="34"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33">
        <w:r>
          <w:rPr>
            <w:rStyle w:val="Hyperlink"/>
          </w:rPr>
          <w:t xml:space="preserve">https://doi.org/10.1080/10641260091129161</w:t>
        </w:r>
      </w:hyperlink>
    </w:p>
    <w:bookmarkEnd w:id="34"/>
    <w:bookmarkStart w:id="36"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35">
        <w:r>
          <w:rPr>
            <w:rStyle w:val="Hyperlink"/>
          </w:rPr>
          <w:t xml:space="preserve">https://doi.org/10.1577/t02-138</w:t>
        </w:r>
      </w:hyperlink>
    </w:p>
    <w:bookmarkEnd w:id="36"/>
    <w:bookmarkStart w:id="38" w:name="ref-Bolin2021"/>
    <w:p>
      <w:pPr>
        <w:pStyle w:val="Bibliography"/>
      </w:pPr>
      <w:r>
        <w:t xml:space="preserve">Bolin, J. A., Schoeman, D. S., Evans, K. J., Cummins, S. F., &amp; Scales, K. L. (2021).</w:t>
      </w:r>
      <w:r>
        <w:t xml:space="preserve"> </w:t>
      </w:r>
      <w:r>
        <w:t xml:space="preserve">Achieving sustainable and climate‐resilient fisheries requires marine ecosystem forecasts to include fish condition</w:t>
      </w:r>
      <w:r>
        <w:t xml:space="preserve">.</w:t>
      </w:r>
      <w:r>
        <w:t xml:space="preserve"> </w:t>
      </w:r>
      <w:r>
        <w:rPr>
          <w:iCs/>
          <w:i/>
        </w:rPr>
        <w:t xml:space="preserve">Fish and Fisheries</w:t>
      </w:r>
      <w:r>
        <w:t xml:space="preserve">,</w:t>
      </w:r>
      <w:r>
        <w:t xml:space="preserve"> </w:t>
      </w:r>
      <w:r>
        <w:rPr>
          <w:iCs/>
          <w:i/>
        </w:rPr>
        <w:t xml:space="preserve">22</w:t>
      </w:r>
      <w:r>
        <w:t xml:space="preserve">(5), 1067–1084.</w:t>
      </w:r>
      <w:r>
        <w:t xml:space="preserve"> </w:t>
      </w:r>
      <w:hyperlink r:id="rId37">
        <w:r>
          <w:rPr>
            <w:rStyle w:val="Hyperlink"/>
          </w:rPr>
          <w:t xml:space="preserve">https://doi.org/10.1111/faf.12569</w:t>
        </w:r>
      </w:hyperlink>
    </w:p>
    <w:bookmarkEnd w:id="38"/>
    <w:bookmarkStart w:id="40"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9">
        <w:r>
          <w:rPr>
            <w:rStyle w:val="Hyperlink"/>
          </w:rPr>
          <w:t xml:space="preserve">https://doi.org/10.1002/2015GL063306</w:t>
        </w:r>
      </w:hyperlink>
    </w:p>
    <w:bookmarkEnd w:id="40"/>
    <w:bookmarkStart w:id="42"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41">
        <w:r>
          <w:rPr>
            <w:rStyle w:val="Hyperlink"/>
          </w:rPr>
          <w:t xml:space="preserve">https://doi.org/10.1111/j.1439-0426.2006.00805.x</w:t>
        </w:r>
      </w:hyperlink>
    </w:p>
    <w:bookmarkEnd w:id="42"/>
    <w:bookmarkStart w:id="44" w:name="ref-Oke2022"/>
    <w:p>
      <w:pPr>
        <w:pStyle w:val="Bibliography"/>
      </w:pPr>
      <w:r>
        <w:t xml:space="preserve">Oke, K. B., Mueter, F. J., &amp; Litzow, M. A. (2022).</w:t>
      </w:r>
      <w:r>
        <w:t xml:space="preserve"> </w:t>
      </w:r>
      <w:r>
        <w:t xml:space="preserve">Warming leads to opposite patterns in weight-at-age for young versus old age classes of Bering Sea walleye pollock</w:t>
      </w:r>
      <w:r>
        <w:t xml:space="preserve">.</w:t>
      </w:r>
      <w:r>
        <w:t xml:space="preserve"> </w:t>
      </w:r>
      <w:r>
        <w:rPr>
          <w:iCs/>
          <w:i/>
        </w:rPr>
        <w:t xml:space="preserve">Canadian Journal of Fisheries and Aquatic Sciences</w:t>
      </w:r>
      <w:r>
        <w:t xml:space="preserve">.</w:t>
      </w:r>
      <w:r>
        <w:t xml:space="preserve"> </w:t>
      </w:r>
      <w:hyperlink r:id="rId43">
        <w:r>
          <w:rPr>
            <w:rStyle w:val="Hyperlink"/>
          </w:rPr>
          <w:t xml:space="preserve">https://doi.org/10.1139/cjfas-2021-0315</w:t>
        </w:r>
      </w:hyperlink>
    </w:p>
    <w:bookmarkEnd w:id="44"/>
    <w:bookmarkStart w:id="46"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5">
        <w:r>
          <w:rPr>
            <w:rStyle w:val="Hyperlink"/>
          </w:rPr>
          <w:t xml:space="preserve">https://doi.org/10.1006/jfbi.1999.0927</w:t>
        </w:r>
      </w:hyperlink>
    </w:p>
    <w:bookmarkEnd w:id="46"/>
    <w:bookmarkStart w:id="48"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7">
        <w:r>
          <w:rPr>
            <w:rStyle w:val="Hyperlink"/>
          </w:rPr>
          <w:t xml:space="preserve">https://doi.org/10.1016/j.fishres.2019.03.013</w:t>
        </w:r>
      </w:hyperlink>
    </w:p>
    <w:bookmarkEnd w:id="48"/>
    <w:bookmarkStart w:id="50"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49">
        <w:r>
          <w:rPr>
            <w:rStyle w:val="Hyperlink"/>
          </w:rPr>
          <w:t xml:space="preserve">https://doi.org/10.1029/2019GL083816</w:t>
        </w:r>
      </w:hyperlink>
    </w:p>
    <w:bookmarkEnd w:id="50"/>
    <w:bookmarkStart w:id="52"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51">
        <w:r>
          <w:rPr>
            <w:rStyle w:val="Hyperlink"/>
          </w:rPr>
          <w:t xml:space="preserve">https://doi.org/10.1139/cjfas-2018-0076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9" Target="https://doi.org/10.1002/2015GL063306" TargetMode="External" /><Relationship Type="http://schemas.openxmlformats.org/officeDocument/2006/relationships/hyperlink" Id="rId45" Target="https://doi.org/10.1006/jfbi.1999.0927" TargetMode="External" /><Relationship Type="http://schemas.openxmlformats.org/officeDocument/2006/relationships/hyperlink" Id="rId47" Target="https://doi.org/10.1016/j.fishres.2019.03.013" TargetMode="External" /><Relationship Type="http://schemas.openxmlformats.org/officeDocument/2006/relationships/hyperlink" Id="rId49" Target="https://doi.org/10.1029/2019GL083816" TargetMode="External" /><Relationship Type="http://schemas.openxmlformats.org/officeDocument/2006/relationships/hyperlink" Id="rId33" Target="https://doi.org/10.1080/10641260091129161" TargetMode="External" /><Relationship Type="http://schemas.openxmlformats.org/officeDocument/2006/relationships/hyperlink" Id="rId37" Target="https://doi.org/10.1111/faf.12569" TargetMode="External" /><Relationship Type="http://schemas.openxmlformats.org/officeDocument/2006/relationships/hyperlink" Id="rId41" Target="https://doi.org/10.1111/j.1439-0426.2006.00805.x" TargetMode="External" /><Relationship Type="http://schemas.openxmlformats.org/officeDocument/2006/relationships/hyperlink" Id="rId51" Target="https://doi.org/10.1139/cjfas-2018-0076" TargetMode="External" /><Relationship Type="http://schemas.openxmlformats.org/officeDocument/2006/relationships/hyperlink" Id="rId43" Target="https://doi.org/10.1139/cjfas-2021-0315" TargetMode="External" /><Relationship Type="http://schemas.openxmlformats.org/officeDocument/2006/relationships/hyperlink" Id="rId35" Target="https://doi.org/10.1577/t02-138" TargetMode="External" /><Relationship Type="http://schemas.openxmlformats.org/officeDocument/2006/relationships/hyperlink" Id="rId31" Target="https://doi.org/10.3389/fmars.2020.00703" TargetMode="External" /><Relationship Type="http://schemas.openxmlformats.org/officeDocument/2006/relationships/hyperlink" Id="rId21" Target="https://github.com/afsc-gap-products/akfishcondition" TargetMode="External" /><Relationship Type="http://schemas.openxmlformats.org/officeDocument/2006/relationships/hyperlink" Id="rId20" Target="mailto:cecilia.oleary@noaa.gov"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2015GL063306" TargetMode="External" /><Relationship Type="http://schemas.openxmlformats.org/officeDocument/2006/relationships/hyperlink" Id="rId45" Target="https://doi.org/10.1006/jfbi.1999.0927" TargetMode="External" /><Relationship Type="http://schemas.openxmlformats.org/officeDocument/2006/relationships/hyperlink" Id="rId47" Target="https://doi.org/10.1016/j.fishres.2019.03.013" TargetMode="External" /><Relationship Type="http://schemas.openxmlformats.org/officeDocument/2006/relationships/hyperlink" Id="rId49" Target="https://doi.org/10.1029/2019GL083816" TargetMode="External" /><Relationship Type="http://schemas.openxmlformats.org/officeDocument/2006/relationships/hyperlink" Id="rId33" Target="https://doi.org/10.1080/10641260091129161" TargetMode="External" /><Relationship Type="http://schemas.openxmlformats.org/officeDocument/2006/relationships/hyperlink" Id="rId37" Target="https://doi.org/10.1111/faf.12569" TargetMode="External" /><Relationship Type="http://schemas.openxmlformats.org/officeDocument/2006/relationships/hyperlink" Id="rId41" Target="https://doi.org/10.1111/j.1439-0426.2006.00805.x" TargetMode="External" /><Relationship Type="http://schemas.openxmlformats.org/officeDocument/2006/relationships/hyperlink" Id="rId51" Target="https://doi.org/10.1139/cjfas-2018-0076" TargetMode="External" /><Relationship Type="http://schemas.openxmlformats.org/officeDocument/2006/relationships/hyperlink" Id="rId43" Target="https://doi.org/10.1139/cjfas-2021-0315" TargetMode="External" /><Relationship Type="http://schemas.openxmlformats.org/officeDocument/2006/relationships/hyperlink" Id="rId35" Target="https://doi.org/10.1577/t02-138" TargetMode="External" /><Relationship Type="http://schemas.openxmlformats.org/officeDocument/2006/relationships/hyperlink" Id="rId31" Target="https://doi.org/10.3389/fmars.2020.00703" TargetMode="External" /><Relationship Type="http://schemas.openxmlformats.org/officeDocument/2006/relationships/hyperlink" Id="rId21" Target="https://github.com/afsc-gap-products/akfishcondition" TargetMode="External" /><Relationship Type="http://schemas.openxmlformats.org/officeDocument/2006/relationships/hyperlink" Id="rId20" Target="mailto:cecilia.oleary@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2024-08-27T19:22:52Z</dcterms:created>
  <dcterms:modified xsi:type="dcterms:W3CDTF">2024-08-27T19:22:52Z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