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14-Sep-2021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Roll No: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181370051</w:t>
        <w:tab/>
        <w:tab/>
        <w:t xml:space="preserve">           </w:t>
        <w:tab/>
      </w:r>
      <w:r w:rsidDel="00000000" w:rsidR="00000000" w:rsidRPr="00000000">
        <w:rPr>
          <w:rFonts w:ascii="Arial" w:cs="Arial" w:eastAsia="Arial" w:hAnsi="Arial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(Spr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Instructor: Qaiser S Durrani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Time: 10min;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Marks: 15</w:t>
        <w:tab/>
        <w:tab/>
        <w:tab/>
        <w:t xml:space="preserve">Quiz 3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Give your answers in the given space only. No extra space would be entertained.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quality software is produced by satisfying both external and internal criteria. However, only external criteria matters in the end. Justify?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127000</wp:posOffset>
                </wp:positionV>
                <wp:extent cx="6743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4150" y="3779683"/>
                          <a:ext cx="6743700" cy="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127000</wp:posOffset>
                </wp:positionV>
                <wp:extent cx="6743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120" w:befor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Satisfying the customer involves making sure both internal and external customers are happy.The internal suppliers are the subordinates who answer to a particular supervisor. Satisfying them involves giving them the tools and motivation they need to do their jobs.It is important to go beyond satisfaction, making the customer – and supplier – feel important and valued, and part of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to external criteria is internal criteria. Justify.</w:t>
      </w:r>
    </w:p>
    <w:p w:rsidR="00000000" w:rsidDel="00000000" w:rsidP="00000000" w:rsidRDefault="00000000" w:rsidRPr="00000000" w14:paraId="0000000A">
      <w:pPr>
        <w:spacing w:after="120" w:before="24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Many internal and external criteria reflect each other. A text that showed a high average sentence length would be likely to be of one kind of book or magazine rather than another. For some parameters of classification the external evidence is primary -- whether a text is printed in a book or a newspaper, whether it is in written or spoken form, etc. No matter what kind of language is found in the document or transcript, these real-world distinctions are clear-cut, and relate to the experience of end-users of the typology, who will not all be experts in linguistics.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“Modularity should be easy to use than to build.” Justify.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Software modularity indicates that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 the number of application modules are capable of serving a specified business domain.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 Modularity is successful because developers use prewritten code, which saves resources. Overall, modularity provides greater software development manageability.</w:t>
      </w:r>
    </w:p>
    <w:p w:rsidR="00000000" w:rsidDel="00000000" w:rsidP="00000000" w:rsidRDefault="00000000" w:rsidRPr="00000000" w14:paraId="00000011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“Internal data coupling is highly desirable for good quality”. Comment.</w:t>
      </w:r>
    </w:p>
    <w:p w:rsidR="00000000" w:rsidDel="00000000" w:rsidP="00000000" w:rsidRDefault="00000000" w:rsidRPr="00000000" w14:paraId="00000016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Common Coupling: Global coupling, or common coupling, occurs when two or more functions share global data. ... Data coupling is better than stamp coupling,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 because the module takes exactly what</w:t>
      </w: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it needs, without the need of it knowing the structure of a particular data structure</w:t>
      </w:r>
    </w:p>
    <w:p w:rsidR="00000000" w:rsidDel="00000000" w:rsidP="00000000" w:rsidRDefault="00000000" w:rsidRPr="00000000" w14:paraId="00000019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address problem of scaling?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Evaluate and Plan. Take a hard look inside your business to see if you are ready for growth. ...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Find the Money. Scaling a business doesn't come free. ...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Secure the Sales. ...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Invest in Technology. ...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720" w:hanging="360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Find Staff or Strategically Outsource.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Rule="auto"/>
        <w:ind w:left="36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6743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4150" y="3779683"/>
                          <a:ext cx="6743700" cy="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6743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304800</wp:posOffset>
                </wp:positionV>
                <wp:extent cx="6743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4150" y="3779683"/>
                          <a:ext cx="6743700" cy="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304800</wp:posOffset>
                </wp:positionV>
                <wp:extent cx="6743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footerReference r:id="rId10" w:type="default"/>
      <w:pgSz w:h="15840" w:w="12240" w:orient="portrait"/>
      <w:pgMar w:bottom="5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BSCS/SE Programs</w:t>
      <w:tab/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Software Construction &amp; Development/OOAD</w:t>
      <w:tab/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GIFT University Gujranwala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114300" distR="114300">
              <wp:extent cx="6858000" cy="228600"/>
              <wp:effectExtent b="0" l="0" r="0" t="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17000" y="3665700"/>
                        <a:ext cx="6858000" cy="228600"/>
                        <a:chOff x="1917000" y="3665700"/>
                        <a:chExt cx="6858000" cy="228600"/>
                      </a:xfrm>
                    </wpg:grpSpPr>
                    <wpg:grpSp>
                      <wpg:cNvGrpSpPr/>
                      <wpg:grpSpPr>
                        <a:xfrm>
                          <a:off x="1917000" y="3665700"/>
                          <a:ext cx="6858000" cy="228600"/>
                          <a:chOff x="0" y="0"/>
                          <a:chExt cx="6858000" cy="22860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6858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113600"/>
                            <a:ext cx="6743700" cy="70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drawing>
            <wp:inline distB="0" distT="0" distL="114300" distR="114300">
              <wp:extent cx="6858000" cy="2286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