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56"/>
        </w:rPr>
        <w:t>ML Pattern Scorer V2</w:t>
      </w:r>
    </w:p>
    <w:p>
      <w:pPr>
        <w:jc w:val="center"/>
      </w:pPr>
      <w:r>
        <w:rPr>
          <w:color w:val="1B3A5C"/>
          <w:sz w:val="36"/>
        </w:rPr>
        <w:t>Production Readiness Analysis</w:t>
      </w:r>
    </w:p>
    <w:p>
      <w:pPr>
        <w:jc w:val="center"/>
      </w:pPr>
      <w:r>
        <w:t>March 2026  |  Multi-Tier (10-30, 31-60, 61-90)  |  SR + MFE Ensemble Models</w:t>
      </w:r>
    </w:p>
    <w:p/>
    <w:p>
      <w:pPr>
        <w:pStyle w:val="Heading1"/>
      </w:pPr>
      <w:r>
        <w:t>Executive Summary</w:t>
      </w:r>
    </w:p>
    <w:p>
      <w:r>
        <w:t>The V2 ML Pattern Scorer is a 3-model ensemble (LightGBM + XGBoost + CatBoost) that scores seasonal stock pattern opportunities across multiple holding-period tiers. The 10-30 day tier was trained on 34.7 million samples and the 31-60 day tier on 54.4 million samples, both covering 475 S&amp;P 500 stocks across 26 years (2000-2025). It predicts both actual return (SR model) and maximum favorable excursion (MFE model) per opportunity.</w:t>
      </w:r>
    </w:p>
    <w:p>
      <w:r>
        <w:t>Eight years of true out-of-sample walk-forward validation (2018-2025) demonstrate consistent filtering power across both tiers. At ML_70, the 10-30 tier delivers 79.3% average win rate (Sharpe 8.49) and the 31-60 tier delivers 78.2% average win rate (Sharpe 8.83). The 31-60 tier produces larger absolute returns due to longer holding periods. Neither tier has ever produced a losing year at ML_70 or above.</w:t>
      </w:r>
    </w:p>
    <w:p>
      <w:r>
        <w:t>The model supports two deployment tracks: (1) a $10K options account using 10-30 and 31-60 day tiers with aggressive filtering to 3-4 concurrent positions, and (2) a larger stock portfolio strategy using all tiers including 61-90 day patterns, maintaining 20-50 diversified positions as a quantitative seasonal rotation approach.</w:t>
      </w:r>
    </w:p>
    <w:p>
      <w:pPr>
        <w:pStyle w:val="Heading1"/>
      </w:pPr>
      <w:r>
        <w:t>1. Model Filtering Power</w:t>
      </w:r>
    </w:p>
    <w:p>
      <w:r>
        <w:t>The core value of the model is opportunity filtering: separating the best seasonal patterns from the rest. The tables below show ML_70 (top 30%) performance vs. unfiltered baseline across all 8 walk-forward years for the 10-30 tier.</w:t>
      </w:r>
    </w:p>
    <w:tbl>
      <w:tblPr>
        <w:tblStyle w:val="MediumShading1-Accent1"/>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tcPr>
          <w:p>
            <w:pPr>
              <w:jc w:val="center"/>
            </w:pPr>
            <w:r/>
            <w:r>
              <w:rPr>
                <w:rFonts w:ascii="Calibri" w:hAnsi="Calibri"/>
                <w:b/>
                <w:sz w:val="18"/>
              </w:rPr>
              <w:t>Year</w:t>
            </w:r>
          </w:p>
        </w:tc>
        <w:tc>
          <w:tcPr>
            <w:tcW w:type="dxa" w:w="1425"/>
          </w:tcPr>
          <w:p>
            <w:pPr>
              <w:jc w:val="center"/>
            </w:pPr>
            <w:r/>
            <w:r>
              <w:rPr>
                <w:rFonts w:ascii="Calibri" w:hAnsi="Calibri"/>
                <w:b/>
                <w:sz w:val="18"/>
              </w:rPr>
              <w:t>Base WR</w:t>
            </w:r>
          </w:p>
        </w:tc>
        <w:tc>
          <w:tcPr>
            <w:tcW w:type="dxa" w:w="1425"/>
          </w:tcPr>
          <w:p>
            <w:pPr>
              <w:jc w:val="center"/>
            </w:pPr>
            <w:r/>
            <w:r>
              <w:rPr>
                <w:rFonts w:ascii="Calibri" w:hAnsi="Calibri"/>
                <w:b/>
                <w:sz w:val="18"/>
              </w:rPr>
              <w:t>ML_70 WR</w:t>
            </w:r>
          </w:p>
        </w:tc>
        <w:tc>
          <w:tcPr>
            <w:tcW w:type="dxa" w:w="1425"/>
          </w:tcPr>
          <w:p>
            <w:pPr>
              <w:jc w:val="center"/>
            </w:pPr>
            <w:r/>
            <w:r>
              <w:rPr>
                <w:rFonts w:ascii="Calibri" w:hAnsi="Calibri"/>
                <w:b/>
                <w:sz w:val="18"/>
              </w:rPr>
              <w:t>WR Lift</w:t>
            </w:r>
          </w:p>
        </w:tc>
        <w:tc>
          <w:tcPr>
            <w:tcW w:type="dxa" w:w="1425"/>
          </w:tcPr>
          <w:p>
            <w:pPr>
              <w:jc w:val="center"/>
            </w:pPr>
            <w:r/>
            <w:r>
              <w:rPr>
                <w:rFonts w:ascii="Calibri" w:hAnsi="Calibri"/>
                <w:b/>
                <w:sz w:val="18"/>
              </w:rPr>
              <w:t>Base Sharpe</w:t>
            </w:r>
          </w:p>
        </w:tc>
        <w:tc>
          <w:tcPr>
            <w:tcW w:type="dxa" w:w="1425"/>
          </w:tcPr>
          <w:p>
            <w:pPr>
              <w:jc w:val="center"/>
            </w:pPr>
            <w:r/>
            <w:r>
              <w:rPr>
                <w:rFonts w:ascii="Calibri" w:hAnsi="Calibri"/>
                <w:b/>
                <w:sz w:val="18"/>
              </w:rPr>
              <w:t>ML_70 Sharpe</w:t>
            </w:r>
          </w:p>
        </w:tc>
        <w:tc>
          <w:tcPr>
            <w:tcW w:type="dxa" w:w="1425"/>
          </w:tcPr>
          <w:p>
            <w:pPr>
              <w:jc w:val="center"/>
            </w:pPr>
            <w:r/>
            <w:r>
              <w:rPr>
                <w:rFonts w:ascii="Calibri" w:hAnsi="Calibri"/>
                <w:b/>
                <w:sz w:val="18"/>
              </w:rPr>
              <w:t>Sharpe Lift</w:t>
            </w:r>
          </w:p>
        </w:tc>
      </w:tr>
      <w:tr>
        <w:tc>
          <w:tcPr>
            <w:tcW w:type="dxa" w:w="1425"/>
          </w:tcPr>
          <w:p>
            <w:pPr>
              <w:jc w:val="center"/>
            </w:pPr>
            <w:r/>
            <w:r>
              <w:rPr>
                <w:rFonts w:ascii="Calibri" w:hAnsi="Calibri"/>
                <w:b/>
                <w:sz w:val="18"/>
              </w:rPr>
              <w:t>2018</w:t>
            </w:r>
          </w:p>
        </w:tc>
        <w:tc>
          <w:tcPr>
            <w:tcW w:type="dxa" w:w="1425"/>
          </w:tcPr>
          <w:p>
            <w:pPr>
              <w:jc w:val="center"/>
            </w:pPr>
            <w:r/>
            <w:r>
              <w:rPr>
                <w:rFonts w:ascii="Calibri" w:hAnsi="Calibri"/>
                <w:sz w:val="18"/>
              </w:rPr>
              <w:t>71.7%</w:t>
            </w:r>
          </w:p>
        </w:tc>
        <w:tc>
          <w:tcPr>
            <w:tcW w:type="dxa" w:w="1425"/>
          </w:tcPr>
          <w:p>
            <w:pPr>
              <w:jc w:val="center"/>
            </w:pPr>
            <w:r/>
            <w:r>
              <w:rPr>
                <w:rFonts w:ascii="Calibri" w:hAnsi="Calibri"/>
                <w:sz w:val="18"/>
              </w:rPr>
              <w:t>77.8%</w:t>
            </w:r>
          </w:p>
        </w:tc>
        <w:tc>
          <w:tcPr>
            <w:tcW w:type="dxa" w:w="1425"/>
          </w:tcPr>
          <w:p>
            <w:pPr>
              <w:jc w:val="center"/>
            </w:pPr>
            <w:r/>
            <w:r>
              <w:rPr>
                <w:rFonts w:ascii="Calibri" w:hAnsi="Calibri"/>
                <w:sz w:val="18"/>
              </w:rPr>
              <w:t>+6.1</w:t>
            </w:r>
          </w:p>
        </w:tc>
        <w:tc>
          <w:tcPr>
            <w:tcW w:type="dxa" w:w="1425"/>
          </w:tcPr>
          <w:p>
            <w:pPr>
              <w:jc w:val="center"/>
            </w:pPr>
            <w:r/>
            <w:r>
              <w:rPr>
                <w:rFonts w:ascii="Calibri" w:hAnsi="Calibri"/>
                <w:sz w:val="18"/>
              </w:rPr>
              <w:t>4.91</w:t>
            </w:r>
          </w:p>
        </w:tc>
        <w:tc>
          <w:tcPr>
            <w:tcW w:type="dxa" w:w="1425"/>
          </w:tcPr>
          <w:p>
            <w:pPr>
              <w:jc w:val="center"/>
            </w:pPr>
            <w:r/>
            <w:r>
              <w:rPr>
                <w:rFonts w:ascii="Calibri" w:hAnsi="Calibri"/>
                <w:sz w:val="18"/>
              </w:rPr>
              <w:t>7.04</w:t>
            </w:r>
          </w:p>
        </w:tc>
        <w:tc>
          <w:tcPr>
            <w:tcW w:type="dxa" w:w="1425"/>
          </w:tcPr>
          <w:p>
            <w:pPr>
              <w:jc w:val="center"/>
            </w:pPr>
            <w:r/>
            <w:r>
              <w:rPr>
                <w:rFonts w:ascii="Calibri" w:hAnsi="Calibri"/>
                <w:sz w:val="18"/>
              </w:rPr>
              <w:t>+43%</w:t>
            </w:r>
          </w:p>
        </w:tc>
      </w:tr>
      <w:tr>
        <w:tc>
          <w:tcPr>
            <w:tcW w:type="dxa" w:w="1425"/>
          </w:tcPr>
          <w:p>
            <w:pPr>
              <w:jc w:val="center"/>
            </w:pPr>
            <w:r/>
            <w:r>
              <w:rPr>
                <w:rFonts w:ascii="Calibri" w:hAnsi="Calibri"/>
                <w:b/>
                <w:sz w:val="18"/>
              </w:rPr>
              <w:t>2019</w:t>
            </w:r>
          </w:p>
        </w:tc>
        <w:tc>
          <w:tcPr>
            <w:tcW w:type="dxa" w:w="1425"/>
          </w:tcPr>
          <w:p>
            <w:pPr>
              <w:jc w:val="center"/>
            </w:pPr>
            <w:r/>
            <w:r>
              <w:rPr>
                <w:rFonts w:ascii="Calibri" w:hAnsi="Calibri"/>
                <w:sz w:val="18"/>
              </w:rPr>
              <w:t>64.2%</w:t>
            </w:r>
          </w:p>
        </w:tc>
        <w:tc>
          <w:tcPr>
            <w:tcW w:type="dxa" w:w="1425"/>
          </w:tcPr>
          <w:p>
            <w:pPr>
              <w:jc w:val="center"/>
            </w:pPr>
            <w:r/>
            <w:r>
              <w:rPr>
                <w:rFonts w:ascii="Calibri" w:hAnsi="Calibri"/>
                <w:sz w:val="18"/>
              </w:rPr>
              <w:t>77.8%</w:t>
            </w:r>
          </w:p>
        </w:tc>
        <w:tc>
          <w:tcPr>
            <w:tcW w:type="dxa" w:w="1425"/>
          </w:tcPr>
          <w:p>
            <w:pPr>
              <w:jc w:val="center"/>
            </w:pPr>
            <w:r/>
            <w:r>
              <w:rPr>
                <w:rFonts w:ascii="Calibri" w:hAnsi="Calibri"/>
                <w:sz w:val="18"/>
              </w:rPr>
              <w:t>+13.6</w:t>
            </w:r>
          </w:p>
        </w:tc>
        <w:tc>
          <w:tcPr>
            <w:tcW w:type="dxa" w:w="1425"/>
          </w:tcPr>
          <w:p>
            <w:pPr>
              <w:jc w:val="center"/>
            </w:pPr>
            <w:r/>
            <w:r>
              <w:rPr>
                <w:rFonts w:ascii="Calibri" w:hAnsi="Calibri"/>
                <w:sz w:val="18"/>
              </w:rPr>
              <w:t>3.26</w:t>
            </w:r>
          </w:p>
        </w:tc>
        <w:tc>
          <w:tcPr>
            <w:tcW w:type="dxa" w:w="1425"/>
          </w:tcPr>
          <w:p>
            <w:pPr>
              <w:jc w:val="center"/>
            </w:pPr>
            <w:r/>
            <w:r>
              <w:rPr>
                <w:rFonts w:ascii="Calibri" w:hAnsi="Calibri"/>
                <w:sz w:val="18"/>
              </w:rPr>
              <w:t>6.93</w:t>
            </w:r>
          </w:p>
        </w:tc>
        <w:tc>
          <w:tcPr>
            <w:tcW w:type="dxa" w:w="1425"/>
          </w:tcPr>
          <w:p>
            <w:pPr>
              <w:jc w:val="center"/>
            </w:pPr>
            <w:r/>
            <w:r>
              <w:rPr>
                <w:rFonts w:ascii="Calibri" w:hAnsi="Calibri"/>
                <w:sz w:val="18"/>
              </w:rPr>
              <w:t>+113%</w:t>
            </w:r>
          </w:p>
        </w:tc>
      </w:tr>
      <w:tr>
        <w:tc>
          <w:tcPr>
            <w:tcW w:type="dxa" w:w="1425"/>
          </w:tcPr>
          <w:p>
            <w:pPr>
              <w:jc w:val="center"/>
            </w:pPr>
            <w:r/>
            <w:r>
              <w:rPr>
                <w:rFonts w:ascii="Calibri" w:hAnsi="Calibri"/>
                <w:b/>
                <w:sz w:val="18"/>
              </w:rPr>
              <w:t>2020</w:t>
            </w:r>
          </w:p>
        </w:tc>
        <w:tc>
          <w:tcPr>
            <w:tcW w:type="dxa" w:w="1425"/>
          </w:tcPr>
          <w:p>
            <w:pPr>
              <w:jc w:val="center"/>
            </w:pPr>
            <w:r/>
            <w:r>
              <w:rPr>
                <w:rFonts w:ascii="Calibri" w:hAnsi="Calibri"/>
                <w:sz w:val="18"/>
              </w:rPr>
              <w:t>62.4%</w:t>
            </w:r>
          </w:p>
        </w:tc>
        <w:tc>
          <w:tcPr>
            <w:tcW w:type="dxa" w:w="1425"/>
          </w:tcPr>
          <w:p>
            <w:pPr>
              <w:jc w:val="center"/>
            </w:pPr>
            <w:r/>
            <w:r>
              <w:rPr>
                <w:rFonts w:ascii="Calibri" w:hAnsi="Calibri"/>
                <w:sz w:val="18"/>
              </w:rPr>
              <w:t>78.2%</w:t>
            </w:r>
          </w:p>
        </w:tc>
        <w:tc>
          <w:tcPr>
            <w:tcW w:type="dxa" w:w="1425"/>
          </w:tcPr>
          <w:p>
            <w:pPr>
              <w:jc w:val="center"/>
            </w:pPr>
            <w:r/>
            <w:r>
              <w:rPr>
                <w:rFonts w:ascii="Calibri" w:hAnsi="Calibri"/>
                <w:sz w:val="18"/>
              </w:rPr>
              <w:t>+15.8</w:t>
            </w:r>
          </w:p>
        </w:tc>
        <w:tc>
          <w:tcPr>
            <w:tcW w:type="dxa" w:w="1425"/>
          </w:tcPr>
          <w:p>
            <w:pPr>
              <w:jc w:val="center"/>
            </w:pPr>
            <w:r/>
            <w:r>
              <w:rPr>
                <w:rFonts w:ascii="Calibri" w:hAnsi="Calibri"/>
                <w:sz w:val="18"/>
              </w:rPr>
              <w:t>2.13</w:t>
            </w:r>
          </w:p>
        </w:tc>
        <w:tc>
          <w:tcPr>
            <w:tcW w:type="dxa" w:w="1425"/>
          </w:tcPr>
          <w:p>
            <w:pPr>
              <w:jc w:val="center"/>
            </w:pPr>
            <w:r/>
            <w:r>
              <w:rPr>
                <w:rFonts w:ascii="Calibri" w:hAnsi="Calibri"/>
                <w:sz w:val="18"/>
              </w:rPr>
              <w:t>8.32</w:t>
            </w:r>
          </w:p>
        </w:tc>
        <w:tc>
          <w:tcPr>
            <w:tcW w:type="dxa" w:w="1425"/>
          </w:tcPr>
          <w:p>
            <w:pPr>
              <w:jc w:val="center"/>
            </w:pPr>
            <w:r/>
            <w:r>
              <w:rPr>
                <w:rFonts w:ascii="Calibri" w:hAnsi="Calibri"/>
                <w:sz w:val="18"/>
              </w:rPr>
              <w:t>+291%</w:t>
            </w:r>
          </w:p>
        </w:tc>
      </w:tr>
      <w:tr>
        <w:tc>
          <w:tcPr>
            <w:tcW w:type="dxa" w:w="1425"/>
          </w:tcPr>
          <w:p>
            <w:pPr>
              <w:jc w:val="center"/>
            </w:pPr>
            <w:r/>
            <w:r>
              <w:rPr>
                <w:rFonts w:ascii="Calibri" w:hAnsi="Calibri"/>
                <w:b/>
                <w:sz w:val="18"/>
              </w:rPr>
              <w:t>2021</w:t>
            </w:r>
          </w:p>
        </w:tc>
        <w:tc>
          <w:tcPr>
            <w:tcW w:type="dxa" w:w="1425"/>
          </w:tcPr>
          <w:p>
            <w:pPr>
              <w:jc w:val="center"/>
            </w:pPr>
            <w:r/>
            <w:r>
              <w:rPr>
                <w:rFonts w:ascii="Calibri" w:hAnsi="Calibri"/>
                <w:sz w:val="18"/>
              </w:rPr>
              <w:t>68.9%</w:t>
            </w:r>
          </w:p>
        </w:tc>
        <w:tc>
          <w:tcPr>
            <w:tcW w:type="dxa" w:w="1425"/>
          </w:tcPr>
          <w:p>
            <w:pPr>
              <w:jc w:val="center"/>
            </w:pPr>
            <w:r/>
            <w:r>
              <w:rPr>
                <w:rFonts w:ascii="Calibri" w:hAnsi="Calibri"/>
                <w:sz w:val="18"/>
              </w:rPr>
              <w:t>78.8%</w:t>
            </w:r>
          </w:p>
        </w:tc>
        <w:tc>
          <w:tcPr>
            <w:tcW w:type="dxa" w:w="1425"/>
          </w:tcPr>
          <w:p>
            <w:pPr>
              <w:jc w:val="center"/>
            </w:pPr>
            <w:r/>
            <w:r>
              <w:rPr>
                <w:rFonts w:ascii="Calibri" w:hAnsi="Calibri"/>
                <w:sz w:val="18"/>
              </w:rPr>
              <w:t>+9.9</w:t>
            </w:r>
          </w:p>
        </w:tc>
        <w:tc>
          <w:tcPr>
            <w:tcW w:type="dxa" w:w="1425"/>
          </w:tcPr>
          <w:p>
            <w:pPr>
              <w:jc w:val="center"/>
            </w:pPr>
            <w:r/>
            <w:r>
              <w:rPr>
                <w:rFonts w:ascii="Calibri" w:hAnsi="Calibri"/>
                <w:sz w:val="18"/>
              </w:rPr>
              <w:t>5.34</w:t>
            </w:r>
          </w:p>
        </w:tc>
        <w:tc>
          <w:tcPr>
            <w:tcW w:type="dxa" w:w="1425"/>
          </w:tcPr>
          <w:p>
            <w:pPr>
              <w:jc w:val="center"/>
            </w:pPr>
            <w:r/>
            <w:r>
              <w:rPr>
                <w:rFonts w:ascii="Calibri" w:hAnsi="Calibri"/>
                <w:sz w:val="18"/>
              </w:rPr>
              <w:t>8.68</w:t>
            </w:r>
          </w:p>
        </w:tc>
        <w:tc>
          <w:tcPr>
            <w:tcW w:type="dxa" w:w="1425"/>
          </w:tcPr>
          <w:p>
            <w:pPr>
              <w:jc w:val="center"/>
            </w:pPr>
            <w:r/>
            <w:r>
              <w:rPr>
                <w:rFonts w:ascii="Calibri" w:hAnsi="Calibri"/>
                <w:sz w:val="18"/>
              </w:rPr>
              <w:t>+63%</w:t>
            </w:r>
          </w:p>
        </w:tc>
      </w:tr>
      <w:tr>
        <w:tc>
          <w:tcPr>
            <w:tcW w:type="dxa" w:w="1425"/>
          </w:tcPr>
          <w:p>
            <w:pPr>
              <w:jc w:val="center"/>
            </w:pPr>
            <w:r/>
            <w:r>
              <w:rPr>
                <w:rFonts w:ascii="Calibri" w:hAnsi="Calibri"/>
                <w:b/>
                <w:sz w:val="18"/>
              </w:rPr>
              <w:t>2022</w:t>
            </w:r>
          </w:p>
        </w:tc>
        <w:tc>
          <w:tcPr>
            <w:tcW w:type="dxa" w:w="1425"/>
          </w:tcPr>
          <w:p>
            <w:pPr>
              <w:jc w:val="center"/>
            </w:pPr>
            <w:r/>
            <w:r>
              <w:rPr>
                <w:rFonts w:ascii="Calibri" w:hAnsi="Calibri"/>
                <w:sz w:val="18"/>
              </w:rPr>
              <w:t>81.6%</w:t>
            </w:r>
          </w:p>
        </w:tc>
        <w:tc>
          <w:tcPr>
            <w:tcW w:type="dxa" w:w="1425"/>
          </w:tcPr>
          <w:p>
            <w:pPr>
              <w:jc w:val="center"/>
            </w:pPr>
            <w:r/>
            <w:r>
              <w:rPr>
                <w:rFonts w:ascii="Calibri" w:hAnsi="Calibri"/>
                <w:sz w:val="18"/>
              </w:rPr>
              <w:t>86.0%</w:t>
            </w:r>
          </w:p>
        </w:tc>
        <w:tc>
          <w:tcPr>
            <w:tcW w:type="dxa" w:w="1425"/>
          </w:tcPr>
          <w:p>
            <w:pPr>
              <w:jc w:val="center"/>
            </w:pPr>
            <w:r/>
            <w:r>
              <w:rPr>
                <w:rFonts w:ascii="Calibri" w:hAnsi="Calibri"/>
                <w:sz w:val="18"/>
              </w:rPr>
              <w:t>+4.4</w:t>
            </w:r>
          </w:p>
        </w:tc>
        <w:tc>
          <w:tcPr>
            <w:tcW w:type="dxa" w:w="1425"/>
          </w:tcPr>
          <w:p>
            <w:pPr>
              <w:jc w:val="center"/>
            </w:pPr>
            <w:r/>
            <w:r>
              <w:rPr>
                <w:rFonts w:ascii="Calibri" w:hAnsi="Calibri"/>
                <w:sz w:val="18"/>
              </w:rPr>
              <w:t>9.36</w:t>
            </w:r>
          </w:p>
        </w:tc>
        <w:tc>
          <w:tcPr>
            <w:tcW w:type="dxa" w:w="1425"/>
          </w:tcPr>
          <w:p>
            <w:pPr>
              <w:jc w:val="center"/>
            </w:pPr>
            <w:r/>
            <w:r>
              <w:rPr>
                <w:rFonts w:ascii="Calibri" w:hAnsi="Calibri"/>
                <w:sz w:val="18"/>
              </w:rPr>
              <w:t>12.31</w:t>
            </w:r>
          </w:p>
        </w:tc>
        <w:tc>
          <w:tcPr>
            <w:tcW w:type="dxa" w:w="1425"/>
          </w:tcPr>
          <w:p>
            <w:pPr>
              <w:jc w:val="center"/>
            </w:pPr>
            <w:r/>
            <w:r>
              <w:rPr>
                <w:rFonts w:ascii="Calibri" w:hAnsi="Calibri"/>
                <w:sz w:val="18"/>
              </w:rPr>
              <w:t>+32%</w:t>
            </w:r>
          </w:p>
        </w:tc>
      </w:tr>
      <w:tr>
        <w:tc>
          <w:tcPr>
            <w:tcW w:type="dxa" w:w="1425"/>
          </w:tcPr>
          <w:p>
            <w:pPr>
              <w:jc w:val="center"/>
            </w:pPr>
            <w:r/>
            <w:r>
              <w:rPr>
                <w:rFonts w:ascii="Calibri" w:hAnsi="Calibri"/>
                <w:b/>
                <w:sz w:val="18"/>
              </w:rPr>
              <w:t>2023</w:t>
            </w:r>
          </w:p>
        </w:tc>
        <w:tc>
          <w:tcPr>
            <w:tcW w:type="dxa" w:w="1425"/>
          </w:tcPr>
          <w:p>
            <w:pPr>
              <w:jc w:val="center"/>
            </w:pPr>
            <w:r/>
            <w:r>
              <w:rPr>
                <w:rFonts w:ascii="Calibri" w:hAnsi="Calibri"/>
                <w:sz w:val="18"/>
              </w:rPr>
              <w:t>65.0%</w:t>
            </w:r>
          </w:p>
        </w:tc>
        <w:tc>
          <w:tcPr>
            <w:tcW w:type="dxa" w:w="1425"/>
          </w:tcPr>
          <w:p>
            <w:pPr>
              <w:jc w:val="center"/>
            </w:pPr>
            <w:r/>
            <w:r>
              <w:rPr>
                <w:rFonts w:ascii="Calibri" w:hAnsi="Calibri"/>
                <w:sz w:val="18"/>
              </w:rPr>
              <w:t>79.7%</w:t>
            </w:r>
          </w:p>
        </w:tc>
        <w:tc>
          <w:tcPr>
            <w:tcW w:type="dxa" w:w="1425"/>
          </w:tcPr>
          <w:p>
            <w:pPr>
              <w:jc w:val="center"/>
            </w:pPr>
            <w:r/>
            <w:r>
              <w:rPr>
                <w:rFonts w:ascii="Calibri" w:hAnsi="Calibri"/>
                <w:sz w:val="18"/>
              </w:rPr>
              <w:t>+14.7</w:t>
            </w:r>
          </w:p>
        </w:tc>
        <w:tc>
          <w:tcPr>
            <w:tcW w:type="dxa" w:w="1425"/>
          </w:tcPr>
          <w:p>
            <w:pPr>
              <w:jc w:val="center"/>
            </w:pPr>
            <w:r/>
            <w:r>
              <w:rPr>
                <w:rFonts w:ascii="Calibri" w:hAnsi="Calibri"/>
                <w:sz w:val="18"/>
              </w:rPr>
              <w:t>4.08</w:t>
            </w:r>
          </w:p>
        </w:tc>
        <w:tc>
          <w:tcPr>
            <w:tcW w:type="dxa" w:w="1425"/>
          </w:tcPr>
          <w:p>
            <w:pPr>
              <w:jc w:val="center"/>
            </w:pPr>
            <w:r/>
            <w:r>
              <w:rPr>
                <w:rFonts w:ascii="Calibri" w:hAnsi="Calibri"/>
                <w:sz w:val="18"/>
              </w:rPr>
              <w:t>9.00</w:t>
            </w:r>
          </w:p>
        </w:tc>
        <w:tc>
          <w:tcPr>
            <w:tcW w:type="dxa" w:w="1425"/>
          </w:tcPr>
          <w:p>
            <w:pPr>
              <w:jc w:val="center"/>
            </w:pPr>
            <w:r/>
            <w:r>
              <w:rPr>
                <w:rFonts w:ascii="Calibri" w:hAnsi="Calibri"/>
                <w:sz w:val="18"/>
              </w:rPr>
              <w:t>+121%</w:t>
            </w:r>
          </w:p>
        </w:tc>
      </w:tr>
      <w:tr>
        <w:tc>
          <w:tcPr>
            <w:tcW w:type="dxa" w:w="1425"/>
          </w:tcPr>
          <w:p>
            <w:pPr>
              <w:jc w:val="center"/>
            </w:pPr>
            <w:r/>
            <w:r>
              <w:rPr>
                <w:rFonts w:ascii="Calibri" w:hAnsi="Calibri"/>
                <w:b/>
                <w:sz w:val="18"/>
              </w:rPr>
              <w:t>2024</w:t>
            </w:r>
          </w:p>
        </w:tc>
        <w:tc>
          <w:tcPr>
            <w:tcW w:type="dxa" w:w="1425"/>
          </w:tcPr>
          <w:p>
            <w:pPr>
              <w:jc w:val="center"/>
            </w:pPr>
            <w:r/>
            <w:r>
              <w:rPr>
                <w:rFonts w:ascii="Calibri" w:hAnsi="Calibri"/>
                <w:sz w:val="18"/>
              </w:rPr>
              <w:t>65.9%</w:t>
            </w:r>
          </w:p>
        </w:tc>
        <w:tc>
          <w:tcPr>
            <w:tcW w:type="dxa" w:w="1425"/>
          </w:tcPr>
          <w:p>
            <w:pPr>
              <w:jc w:val="center"/>
            </w:pPr>
            <w:r/>
            <w:r>
              <w:rPr>
                <w:rFonts w:ascii="Calibri" w:hAnsi="Calibri"/>
                <w:sz w:val="18"/>
              </w:rPr>
              <w:t>77.8%</w:t>
            </w:r>
          </w:p>
        </w:tc>
        <w:tc>
          <w:tcPr>
            <w:tcW w:type="dxa" w:w="1425"/>
          </w:tcPr>
          <w:p>
            <w:pPr>
              <w:jc w:val="center"/>
            </w:pPr>
            <w:r/>
            <w:r>
              <w:rPr>
                <w:rFonts w:ascii="Calibri" w:hAnsi="Calibri"/>
                <w:sz w:val="18"/>
              </w:rPr>
              <w:t>+11.9</w:t>
            </w:r>
          </w:p>
        </w:tc>
        <w:tc>
          <w:tcPr>
            <w:tcW w:type="dxa" w:w="1425"/>
          </w:tcPr>
          <w:p>
            <w:pPr>
              <w:jc w:val="center"/>
            </w:pPr>
            <w:r/>
            <w:r>
              <w:rPr>
                <w:rFonts w:ascii="Calibri" w:hAnsi="Calibri"/>
                <w:sz w:val="18"/>
              </w:rPr>
              <w:t>4.44</w:t>
            </w:r>
          </w:p>
        </w:tc>
        <w:tc>
          <w:tcPr>
            <w:tcW w:type="dxa" w:w="1425"/>
          </w:tcPr>
          <w:p>
            <w:pPr>
              <w:jc w:val="center"/>
            </w:pPr>
            <w:r/>
            <w:r>
              <w:rPr>
                <w:rFonts w:ascii="Calibri" w:hAnsi="Calibri"/>
                <w:sz w:val="18"/>
              </w:rPr>
              <w:t>8.21</w:t>
            </w:r>
          </w:p>
        </w:tc>
        <w:tc>
          <w:tcPr>
            <w:tcW w:type="dxa" w:w="1425"/>
          </w:tcPr>
          <w:p>
            <w:pPr>
              <w:jc w:val="center"/>
            </w:pPr>
            <w:r/>
            <w:r>
              <w:rPr>
                <w:rFonts w:ascii="Calibri" w:hAnsi="Calibri"/>
                <w:sz w:val="18"/>
              </w:rPr>
              <w:t>+85%</w:t>
            </w:r>
          </w:p>
        </w:tc>
      </w:tr>
      <w:tr>
        <w:tc>
          <w:tcPr>
            <w:tcW w:type="dxa" w:w="1425"/>
          </w:tcPr>
          <w:p>
            <w:pPr>
              <w:jc w:val="center"/>
            </w:pPr>
            <w:r/>
            <w:r>
              <w:rPr>
                <w:rFonts w:ascii="Calibri" w:hAnsi="Calibri"/>
                <w:b/>
                <w:sz w:val="18"/>
              </w:rPr>
              <w:t>2025</w:t>
            </w:r>
          </w:p>
        </w:tc>
        <w:tc>
          <w:tcPr>
            <w:tcW w:type="dxa" w:w="1425"/>
          </w:tcPr>
          <w:p>
            <w:pPr>
              <w:jc w:val="center"/>
            </w:pPr>
            <w:r/>
            <w:r>
              <w:rPr>
                <w:rFonts w:ascii="Calibri" w:hAnsi="Calibri"/>
                <w:sz w:val="18"/>
              </w:rPr>
              <w:t>61.5%</w:t>
            </w:r>
          </w:p>
        </w:tc>
        <w:tc>
          <w:tcPr>
            <w:tcW w:type="dxa" w:w="1425"/>
          </w:tcPr>
          <w:p>
            <w:pPr>
              <w:jc w:val="center"/>
            </w:pPr>
            <w:r/>
            <w:r>
              <w:rPr>
                <w:rFonts w:ascii="Calibri" w:hAnsi="Calibri"/>
                <w:sz w:val="18"/>
              </w:rPr>
              <w:t>78.1%</w:t>
            </w:r>
          </w:p>
        </w:tc>
        <w:tc>
          <w:tcPr>
            <w:tcW w:type="dxa" w:w="1425"/>
          </w:tcPr>
          <w:p>
            <w:pPr>
              <w:jc w:val="center"/>
            </w:pPr>
            <w:r/>
            <w:r>
              <w:rPr>
                <w:rFonts w:ascii="Calibri" w:hAnsi="Calibri"/>
                <w:sz w:val="18"/>
              </w:rPr>
              <w:t>+16.6</w:t>
            </w:r>
          </w:p>
        </w:tc>
        <w:tc>
          <w:tcPr>
            <w:tcW w:type="dxa" w:w="1425"/>
          </w:tcPr>
          <w:p>
            <w:pPr>
              <w:jc w:val="center"/>
            </w:pPr>
            <w:r/>
            <w:r>
              <w:rPr>
                <w:rFonts w:ascii="Calibri" w:hAnsi="Calibri"/>
                <w:sz w:val="18"/>
              </w:rPr>
              <w:t>2.33</w:t>
            </w:r>
          </w:p>
        </w:tc>
        <w:tc>
          <w:tcPr>
            <w:tcW w:type="dxa" w:w="1425"/>
          </w:tcPr>
          <w:p>
            <w:pPr>
              <w:jc w:val="center"/>
            </w:pPr>
            <w:r/>
            <w:r>
              <w:rPr>
                <w:rFonts w:ascii="Calibri" w:hAnsi="Calibri"/>
                <w:sz w:val="18"/>
              </w:rPr>
              <w:t>7.45</w:t>
            </w:r>
          </w:p>
        </w:tc>
        <w:tc>
          <w:tcPr>
            <w:tcW w:type="dxa" w:w="1425"/>
          </w:tcPr>
          <w:p>
            <w:pPr>
              <w:jc w:val="center"/>
            </w:pPr>
            <w:r/>
            <w:r>
              <w:rPr>
                <w:rFonts w:ascii="Calibri" w:hAnsi="Calibri"/>
                <w:sz w:val="18"/>
              </w:rPr>
              <w:t>+220%</w:t>
            </w:r>
          </w:p>
        </w:tc>
      </w:tr>
    </w:tbl>
    <w:p/>
    <w:p>
      <w:r>
        <w:rPr>
          <w:b/>
        </w:rPr>
        <w:t xml:space="preserve">Key finding: </w:t>
      </w:r>
      <w:r>
        <w:t>The model adds the most value in hard markets. When baseline WR is low (2020: 62.4%, 2025: 61.5%), the model lifts WR by 15-17 points and Sharpe by 220-291%. When the market is already easy (2022: 81.6% base WR), the model adds only 4 points. This is the right behavior -- the gatekeeper matters most when conditions are worst.</w:t>
      </w:r>
    </w:p>
    <w:p>
      <w:r>
        <w:rPr>
          <w:b/>
        </w:rPr>
        <w:t xml:space="preserve">ML_70 WR never drops below 77.8%. </w:t>
      </w:r>
      <w:r>
        <w:t>That is the floor across 8 diverse years including COVID (2020), a bear market (2022), and rate hiking cycles.</w:t>
      </w:r>
    </w:p>
    <w:p>
      <w:pPr>
        <w:pStyle w:val="Heading2"/>
      </w:pPr>
      <w:r>
        <w:t>31-60 Day Tier Results</w:t>
      </w:r>
    </w:p>
    <w:p>
      <w:pPr/>
      <w:r>
        <w:t>The 31-60 day tier was trained on 54.4 million samples with Optuna-tuned hyperparameters (learning rate 0.071, constrained from the 10-30 range due to the larger dataset). Results show a different character than the 10-30 tier: higher variance but stronger peak performance.</w:t>
      </w:r>
    </w:p>
    <w:p>
      <w:pPr/>
      <w:r>
        <w:t>31-60 walk-forward summary: Average AUC 0.606, ML_70 WR 78.2%, ML_70 Sharpe 8.83. The 2025 holdout is the strongest window (AUC 0.721, ML_70 WR 82.1%, Sharpe 9.77). 2018-2019 are structural dead zones (AUC ~0.5) where pre-2018 training data lacks learnable signal for 31-60 day patterns. The remaining 6 years (2020-2025) all show strong ML lift of 5-20 percentage points.</w:t>
      </w:r>
    </w:p>
    <w:p>
      <w:pPr/>
      <w:r>
        <w:t>Key difference: 10-30 is consistent across all 8 years (ML_70 WR range 77.8-86.0%), while 31-60 has a wider range (64.6-86.5%) but higher Sharpe on average (8.83 vs 8.49). Longer holding periods give patterns more time to play out, creating stronger signal when it exists but more macro sensitivity.</w:t>
      </w:r>
    </w:p>
    <w:p>
      <w:pPr>
        <w:pStyle w:val="Heading2"/>
      </w:pPr>
      <w:r>
        <w:t xml:space="preserve">61-90 Day Tier Results</w:t>
      </w:r>
    </w:p>
    <w:p>
      <w:pPr>
        <w:pStyle w:val="Normal"/>
      </w:pPr>
      <w:r>
        <w:t xml:space="preserve">The 61-90 day tier was trained on 59.0 million samples. Average AUC 0.595, ML_70 WR 78.5%, ML_70 Sharpe 8.79. The 2025 holdout is the strongest window (AUC 0.698, ML_70 WR 82.1%, Sharpe 10.07). 2020 is exceptional (AUC 0.732, ML_90 WR 93.5%), while 2022 dips below 0.5 (AUC 0.435, model slightly hurts).</w:t>
      </w:r>
    </w:p>
    <w:p>
      <w:pPr>
        <w:pStyle w:val="Normal"/>
      </w:pPr>
      <w:r>
        <w:t xml:space="preserve">Key difference from shorter tiers: as holding period increases, peak performance gets higher but consistency gets lower. 61-90 shows the biggest moves of all tiers -- at ML_85, 44.2% chance of &gt;10% stock move and 19.2% of &gt;20%. This makes the 61-90 tier ideal for stock portfolio rotation where there is no theta decay.</w:t>
      </w:r>
    </w:p>
    <w:p>
      <w:r>
        <w:t>61-90 MFE model: average AUC_mfe 0.672, Spearman rank correlation 0.359. The largest MFE values of all tiers: ML_90 average MFE ranges 16-33% vs 8-15% (10-30) and 13-22% (31-60). 2020 standout: AUC_mfe 0.752, ML_90 MFE 32.9%. 2025 holdout: AUC_mfe 0.696, ML_90 MFE 24.32%, WR 78.7%. These large favorable excursions make 61-90 ideal for stock portfolio rotation where position sizing can be larger and there is no options theta decay.</w:t>
      </w:r>
    </w:p>
    <w:p>
      <w:pPr>
        <w:pStyle w:val="Heading2"/>
      </w:pPr>
      <w:r>
        <w:t>Return Distribution by ML Threshold</w:t>
      </w:r>
    </w:p>
    <w:p>
      <w:pPr/>
      <w:r>
        <w:t>Beyond win rate, the distribution of return magnitudes determines real profitability. This analysis uses all walk-forward predictions (11M samples for 10-30, 17.3M for 31-60) to answer: "If I filter to ML_XX, what percentage of those trades actually move X%?"</w:t>
      </w:r>
    </w:p>
    <w:p>
      <w:pPr/>
      <w:r>
        <w:t>10-30 tier: At ML_90, the chance of &gt;5% return is 49.7% (vs 27.4% baseline, 1.8x). The chance of &gt;10% return goes from 9.0% to 24.2% (2.7x). At ML_70, nearly 1 in 4 trades returns &gt;8%.</w:t>
      </w:r>
    </w:p>
    <w:p>
      <w:pPr/>
      <w:r>
        <w:t>31-60 tier: Naturally produces bigger moves due to longer holding periods. At ML_85, 56.6% of trades move &gt;5% and 36.0% move &gt;10%. At ML_90, 14.1% of trades return &gt;20%. For options, a 31-60 ML_85 trade gives &gt;10% stock move more than a third of the time.</w:t>
      </w:r>
    </w:p>
    <w:p>
      <w:pPr/>
      <w:r>
        <w:t>10-30 return distribution (Baseline / ML_70 / ML_85 / ML_90): &gt;0% win: 67.8 / 79.3 / 82.5 / 83.5%. &gt;5%: 27.4 / 39.8 / 45.8 / 49.7%. &gt;10%: 9.0 / 16.2 / 21.0 / 24.2%. &gt;15%: 3.1 / 6.5 / 9.2 / 11.1%. &gt;20%: 1.2 / 2.7 / 4.2 / 5.2%.</w:t>
      </w:r>
    </w:p>
    <w:p>
      <w:pPr/>
      <w:r>
        <w:t>31-60 return distribution (Baseline / ML_70 / ML_85 / ML_90): &gt;0% win: 68.6 / 78.1 / 79.8 / 80.0%. &gt;5%: 41.5 / 52.5 / 56.6 / 58.4%. &gt;10%: 20.8 / 30.8 / 36.0 / 38.6%. &gt;15%: 9.7 / 16.5 / 21.1 / 23.6%. &gt;20%: 4.5 / 8.7 / 12.0 / 14.1%.</w:t>
      </w:r>
    </w:p>
    <w:p>
      <w:pPr>
        <w:pStyle w:val="Normal"/>
      </w:pPr>
      <w:r>
        <w:t xml:space="preserve">61-90 return distribution (Baseline / ML_70 / ML_85 / ML_90): &gt;0% win: 65.3 / 78.5 / 81.3 / 82.4%. &gt;5%: 43.8 / 58.5 / 61.5 / 63.8%. &gt;10%: 25.8 / 38.7 / 44.2 / 47.0%. &gt;15%: 14.3 / 23.4 / 28.1 / 30.9%. &gt;20%: 7.9 / 14.1 / 19.2 / 21.5%.</w:t>
      </w:r>
    </w:p>
    <w:p>
      <w:pPr>
        <w:pStyle w:val="Heading2"/>
      </w:pPr>
      <w:r>
        <w:t>Filtering 200,000 Opportunities to 80-100 Trades</w:t>
      </w:r>
    </w:p>
    <w:p>
      <w:pPr/>
      <w:r>
        <w:t>On any given day, TradeWave produces roughly 200,000 qualifying opportunities across all tiers. The ML score alone is not sufficient: ML_85 keeps the top 15%, still ~30,000 opportunities. A stacked filtering pipeline is required:</w:t>
      </w:r>
    </w:p>
    <w:p>
      <w:pPr>
        <w:pStyle w:val="ListBullet"/>
      </w:pPr>
      <w:r>
        <w:t>1. ML_score &gt;= 85 (keeps top 15%, ~30,000 opportunities)</w:t>
      </w:r>
    </w:p>
    <w:p>
      <w:pPr>
        <w:pStyle w:val="ListBullet"/>
      </w:pPr>
      <w:r>
        <w:t>2. pred_return &gt;= 3% (minimum expected return)</w:t>
      </w:r>
    </w:p>
    <w:p>
      <w:pPr>
        <w:pStyle w:val="ListBullet"/>
      </w:pPr>
      <w:r>
        <w:t>3. win_prob &gt;= 75% (calibrated win probability)</w:t>
      </w:r>
    </w:p>
    <w:p>
      <w:pPr>
        <w:pStyle w:val="ListBullet"/>
      </w:pPr>
      <w:r>
        <w:t>4. pred_mfe &gt;= 5% (minimum expected favorable excursion)</w:t>
      </w:r>
    </w:p>
    <w:p>
      <w:pPr>
        <w:pStyle w:val="ListBullet"/>
      </w:pPr>
      <w:r>
        <w:t>5. Sector diversification: max 2-3 positions per sector</w:t>
      </w:r>
    </w:p>
    <w:p>
      <w:pPr>
        <w:pStyle w:val="ListBullet"/>
      </w:pPr>
      <w:r>
        <w:t>6. Dedup per stock: take the single best pattern per ticker</w:t>
      </w:r>
    </w:p>
    <w:p>
      <w:pPr>
        <w:pStyle w:val="ListBullet"/>
      </w:pPr>
      <w:r>
        <w:t>7. Rank remaining by composite score (e.g., win_prob * pred_mfe)</w:t>
      </w:r>
    </w:p>
    <w:p>
      <w:pPr>
        <w:pStyle w:val="ListBullet"/>
      </w:pPr>
      <w:r>
        <w:t>8. Take top 80-100 trades</w:t>
      </w:r>
    </w:p>
    <w:p>
      <w:pPr/>
      <w:r>
        <w:t>These filters are multiplicative. Each cuts the pool, and the combination of high ML score + high predicted return + high win probability + high MFE selects only the highest-conviction trades.</w:t>
      </w:r>
    </w:p>
    <w:p>
      <w:pPr>
        <w:pStyle w:val="Heading1"/>
      </w:pPr>
      <w:r>
        <w:t>2. Calibration Quality</w:t>
      </w:r>
    </w:p>
    <w:p>
      <w:pPr>
        <w:pStyle w:val="Heading2"/>
      </w:pPr>
      <w:r>
        <w:t>SR Win Probability Calibration</w:t>
      </w:r>
    </w:p>
    <w:p>
      <w:r>
        <w:t>The SR model's predicted return maps smoothly and monotonically to observed win probability. Calibration built from 11 million walk-forward samples across 8 years.</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Prediction Bin</w:t>
            </w:r>
          </w:p>
        </w:tc>
        <w:tc>
          <w:tcPr>
            <w:tcW w:type="dxa" w:w="1994"/>
          </w:tcPr>
          <w:p>
            <w:pPr>
              <w:jc w:val="center"/>
            </w:pPr>
            <w:r/>
            <w:r>
              <w:rPr>
                <w:rFonts w:ascii="Calibri" w:hAnsi="Calibri"/>
                <w:b/>
                <w:sz w:val="18"/>
              </w:rPr>
              <w:t>Pred Range</w:t>
            </w:r>
          </w:p>
        </w:tc>
        <w:tc>
          <w:tcPr>
            <w:tcW w:type="dxa" w:w="1994"/>
          </w:tcPr>
          <w:p>
            <w:pPr>
              <w:jc w:val="center"/>
            </w:pPr>
            <w:r/>
            <w:r>
              <w:rPr>
                <w:rFonts w:ascii="Calibri" w:hAnsi="Calibri"/>
                <w:b/>
                <w:sz w:val="18"/>
              </w:rPr>
              <w:t>Win Prob</w:t>
            </w:r>
          </w:p>
        </w:tc>
        <w:tc>
          <w:tcPr>
            <w:tcW w:type="dxa" w:w="1994"/>
          </w:tcPr>
          <w:p>
            <w:pPr>
              <w:jc w:val="center"/>
            </w:pPr>
            <w:r/>
            <w:r>
              <w:rPr>
                <w:rFonts w:ascii="Calibri" w:hAnsi="Calibri"/>
                <w:b/>
                <w:sz w:val="18"/>
              </w:rPr>
              <w:t>Avg Return</w:t>
            </w:r>
          </w:p>
        </w:tc>
        <w:tc>
          <w:tcPr>
            <w:tcW w:type="dxa" w:w="1994"/>
          </w:tcPr>
          <w:p>
            <w:pPr>
              <w:jc w:val="center"/>
            </w:pPr>
            <w:r/>
            <w:r>
              <w:rPr>
                <w:rFonts w:ascii="Calibri" w:hAnsi="Calibri"/>
                <w:b/>
                <w:sz w:val="18"/>
              </w:rPr>
              <w:t>P(Hit Pred)</w:t>
            </w:r>
          </w:p>
        </w:tc>
      </w:tr>
      <w:tr>
        <w:tc>
          <w:tcPr>
            <w:tcW w:type="dxa" w:w="1994"/>
          </w:tcPr>
          <w:p>
            <w:pPr>
              <w:jc w:val="center"/>
            </w:pPr>
            <w:r/>
            <w:r>
              <w:rPr>
                <w:rFonts w:ascii="Calibri" w:hAnsi="Calibri"/>
                <w:b/>
                <w:sz w:val="18"/>
              </w:rPr>
              <w:t>Bin 0 (lowest)</w:t>
            </w:r>
          </w:p>
        </w:tc>
        <w:tc>
          <w:tcPr>
            <w:tcW w:type="dxa" w:w="1994"/>
          </w:tcPr>
          <w:p>
            <w:pPr>
              <w:jc w:val="center"/>
            </w:pPr>
            <w:r/>
            <w:r>
              <w:rPr>
                <w:rFonts w:ascii="Calibri" w:hAnsi="Calibri"/>
                <w:sz w:val="18"/>
              </w:rPr>
              <w:t>&lt; -0.56%</w:t>
            </w:r>
          </w:p>
        </w:tc>
        <w:tc>
          <w:tcPr>
            <w:tcW w:type="dxa" w:w="1994"/>
          </w:tcPr>
          <w:p>
            <w:pPr>
              <w:jc w:val="center"/>
            </w:pPr>
            <w:r/>
            <w:r>
              <w:rPr>
                <w:rFonts w:ascii="Calibri" w:hAnsi="Calibri"/>
                <w:sz w:val="18"/>
              </w:rPr>
              <w:t>51.1%</w:t>
            </w:r>
          </w:p>
        </w:tc>
        <w:tc>
          <w:tcPr>
            <w:tcW w:type="dxa" w:w="1994"/>
          </w:tcPr>
          <w:p>
            <w:pPr>
              <w:jc w:val="center"/>
            </w:pPr>
            <w:r/>
            <w:r>
              <w:rPr>
                <w:rFonts w:ascii="Calibri" w:hAnsi="Calibri"/>
                <w:sz w:val="18"/>
              </w:rPr>
              <w:t>-0.27%</w:t>
            </w:r>
          </w:p>
        </w:tc>
        <w:tc>
          <w:tcPr>
            <w:tcW w:type="dxa" w:w="1994"/>
          </w:tcPr>
          <w:p>
            <w:pPr>
              <w:jc w:val="center"/>
            </w:pPr>
            <w:r/>
            <w:r>
              <w:rPr>
                <w:rFonts w:ascii="Calibri" w:hAnsi="Calibri"/>
                <w:sz w:val="18"/>
              </w:rPr>
              <w:t>57.6%</w:t>
            </w:r>
          </w:p>
        </w:tc>
      </w:tr>
      <w:tr>
        <w:tc>
          <w:tcPr>
            <w:tcW w:type="dxa" w:w="1994"/>
          </w:tcPr>
          <w:p>
            <w:pPr>
              <w:jc w:val="center"/>
            </w:pPr>
            <w:r/>
            <w:r>
              <w:rPr>
                <w:rFonts w:ascii="Calibri" w:hAnsi="Calibri"/>
                <w:b/>
                <w:sz w:val="18"/>
              </w:rPr>
              <w:t>Bin 5</w:t>
            </w:r>
          </w:p>
        </w:tc>
        <w:tc>
          <w:tcPr>
            <w:tcW w:type="dxa" w:w="1994"/>
          </w:tcPr>
          <w:p>
            <w:pPr>
              <w:jc w:val="center"/>
            </w:pPr>
            <w:r/>
            <w:r>
              <w:rPr>
                <w:rFonts w:ascii="Calibri" w:hAnsi="Calibri"/>
                <w:sz w:val="18"/>
              </w:rPr>
              <w:t>~0.61-0.72%</w:t>
            </w:r>
          </w:p>
        </w:tc>
        <w:tc>
          <w:tcPr>
            <w:tcW w:type="dxa" w:w="1994"/>
          </w:tcPr>
          <w:p>
            <w:pPr>
              <w:jc w:val="center"/>
            </w:pPr>
            <w:r/>
            <w:r>
              <w:rPr>
                <w:rFonts w:ascii="Calibri" w:hAnsi="Calibri"/>
                <w:sz w:val="18"/>
              </w:rPr>
              <w:t>56.0%</w:t>
            </w:r>
          </w:p>
        </w:tc>
        <w:tc>
          <w:tcPr>
            <w:tcW w:type="dxa" w:w="1994"/>
          </w:tcPr>
          <w:p>
            <w:pPr>
              <w:jc w:val="center"/>
            </w:pPr>
            <w:r/>
            <w:r>
              <w:rPr>
                <w:rFonts w:ascii="Calibri" w:hAnsi="Calibri"/>
                <w:sz w:val="18"/>
              </w:rPr>
              <w:t>0.16%</w:t>
            </w:r>
          </w:p>
        </w:tc>
        <w:tc>
          <w:tcPr>
            <w:tcW w:type="dxa" w:w="1994"/>
          </w:tcPr>
          <w:p>
            <w:pPr>
              <w:jc w:val="center"/>
            </w:pPr>
            <w:r/>
            <w:r>
              <w:rPr>
                <w:rFonts w:ascii="Calibri" w:hAnsi="Calibri"/>
                <w:sz w:val="18"/>
              </w:rPr>
              <w:t>49.4%</w:t>
            </w:r>
          </w:p>
        </w:tc>
      </w:tr>
      <w:tr>
        <w:tc>
          <w:tcPr>
            <w:tcW w:type="dxa" w:w="1994"/>
          </w:tcPr>
          <w:p>
            <w:pPr>
              <w:jc w:val="center"/>
            </w:pPr>
            <w:r/>
            <w:r>
              <w:rPr>
                <w:rFonts w:ascii="Calibri" w:hAnsi="Calibri"/>
                <w:b/>
                <w:sz w:val="18"/>
              </w:rPr>
              <w:t>Bin 10</w:t>
            </w:r>
          </w:p>
        </w:tc>
        <w:tc>
          <w:tcPr>
            <w:tcW w:type="dxa" w:w="1994"/>
          </w:tcPr>
          <w:p>
            <w:pPr>
              <w:jc w:val="center"/>
            </w:pPr>
            <w:r/>
            <w:r>
              <w:rPr>
                <w:rFonts w:ascii="Calibri" w:hAnsi="Calibri"/>
                <w:sz w:val="18"/>
              </w:rPr>
              <w:t>~1.12-1.25%</w:t>
            </w:r>
          </w:p>
        </w:tc>
        <w:tc>
          <w:tcPr>
            <w:tcW w:type="dxa" w:w="1994"/>
          </w:tcPr>
          <w:p>
            <w:pPr>
              <w:jc w:val="center"/>
            </w:pPr>
            <w:r/>
            <w:r>
              <w:rPr>
                <w:rFonts w:ascii="Calibri" w:hAnsi="Calibri"/>
                <w:sz w:val="18"/>
              </w:rPr>
              <w:t>69.2%</w:t>
            </w:r>
          </w:p>
        </w:tc>
        <w:tc>
          <w:tcPr>
            <w:tcW w:type="dxa" w:w="1994"/>
          </w:tcPr>
          <w:p>
            <w:pPr>
              <w:jc w:val="center"/>
            </w:pPr>
            <w:r/>
            <w:r>
              <w:rPr>
                <w:rFonts w:ascii="Calibri" w:hAnsi="Calibri"/>
                <w:sz w:val="18"/>
              </w:rPr>
              <w:t>1.59%</w:t>
            </w:r>
          </w:p>
        </w:tc>
        <w:tc>
          <w:tcPr>
            <w:tcW w:type="dxa" w:w="1994"/>
          </w:tcPr>
          <w:p>
            <w:pPr>
              <w:jc w:val="center"/>
            </w:pPr>
            <w:r/>
            <w:r>
              <w:rPr>
                <w:rFonts w:ascii="Calibri" w:hAnsi="Calibri"/>
                <w:sz w:val="18"/>
              </w:rPr>
              <w:t>57.5%</w:t>
            </w:r>
          </w:p>
        </w:tc>
      </w:tr>
      <w:tr>
        <w:tc>
          <w:tcPr>
            <w:tcW w:type="dxa" w:w="1994"/>
          </w:tcPr>
          <w:p>
            <w:pPr>
              <w:jc w:val="center"/>
            </w:pPr>
            <w:r/>
            <w:r>
              <w:rPr>
                <w:rFonts w:ascii="Calibri" w:hAnsi="Calibri"/>
                <w:b/>
                <w:sz w:val="18"/>
              </w:rPr>
              <w:t>Bin 15</w:t>
            </w:r>
          </w:p>
        </w:tc>
        <w:tc>
          <w:tcPr>
            <w:tcW w:type="dxa" w:w="1994"/>
          </w:tcPr>
          <w:p>
            <w:pPr>
              <w:jc w:val="center"/>
            </w:pPr>
            <w:r/>
            <w:r>
              <w:rPr>
                <w:rFonts w:ascii="Calibri" w:hAnsi="Calibri"/>
                <w:sz w:val="18"/>
              </w:rPr>
              <w:t>~1.92-2.15%</w:t>
            </w:r>
          </w:p>
        </w:tc>
        <w:tc>
          <w:tcPr>
            <w:tcW w:type="dxa" w:w="1994"/>
          </w:tcPr>
          <w:p>
            <w:pPr>
              <w:jc w:val="center"/>
            </w:pPr>
            <w:r/>
            <w:r>
              <w:rPr>
                <w:rFonts w:ascii="Calibri" w:hAnsi="Calibri"/>
                <w:sz w:val="18"/>
              </w:rPr>
              <w:t>76.6%</w:t>
            </w:r>
          </w:p>
        </w:tc>
        <w:tc>
          <w:tcPr>
            <w:tcW w:type="dxa" w:w="1994"/>
          </w:tcPr>
          <w:p>
            <w:pPr>
              <w:jc w:val="center"/>
            </w:pPr>
            <w:r/>
            <w:r>
              <w:rPr>
                <w:rFonts w:ascii="Calibri" w:hAnsi="Calibri"/>
                <w:sz w:val="18"/>
              </w:rPr>
              <w:t>2.94%</w:t>
            </w:r>
          </w:p>
        </w:tc>
        <w:tc>
          <w:tcPr>
            <w:tcW w:type="dxa" w:w="1994"/>
          </w:tcPr>
          <w:p>
            <w:pPr>
              <w:jc w:val="center"/>
            </w:pPr>
            <w:r/>
            <w:r>
              <w:rPr>
                <w:rFonts w:ascii="Calibri" w:hAnsi="Calibri"/>
                <w:sz w:val="18"/>
              </w:rPr>
              <w:t>57.8%</w:t>
            </w:r>
          </w:p>
        </w:tc>
      </w:tr>
      <w:tr>
        <w:tc>
          <w:tcPr>
            <w:tcW w:type="dxa" w:w="1994"/>
          </w:tcPr>
          <w:p>
            <w:pPr>
              <w:jc w:val="center"/>
            </w:pPr>
            <w:r/>
            <w:r>
              <w:rPr>
                <w:rFonts w:ascii="Calibri" w:hAnsi="Calibri"/>
                <w:b/>
                <w:sz w:val="18"/>
              </w:rPr>
              <w:t>Bin 19 (highest)</w:t>
            </w:r>
          </w:p>
        </w:tc>
        <w:tc>
          <w:tcPr>
            <w:tcW w:type="dxa" w:w="1994"/>
          </w:tcPr>
          <w:p>
            <w:pPr>
              <w:jc w:val="center"/>
            </w:pPr>
            <w:r/>
            <w:r>
              <w:rPr>
                <w:rFonts w:ascii="Calibri" w:hAnsi="Calibri"/>
                <w:sz w:val="18"/>
              </w:rPr>
              <w:t>&gt; 3.44%</w:t>
            </w:r>
          </w:p>
        </w:tc>
        <w:tc>
          <w:tcPr>
            <w:tcW w:type="dxa" w:w="1994"/>
          </w:tcPr>
          <w:p>
            <w:pPr>
              <w:jc w:val="center"/>
            </w:pPr>
            <w:r/>
            <w:r>
              <w:rPr>
                <w:rFonts w:ascii="Calibri" w:hAnsi="Calibri"/>
                <w:sz w:val="18"/>
              </w:rPr>
              <w:t>84.5%</w:t>
            </w:r>
          </w:p>
        </w:tc>
        <w:tc>
          <w:tcPr>
            <w:tcW w:type="dxa" w:w="1994"/>
          </w:tcPr>
          <w:p>
            <w:pPr>
              <w:jc w:val="center"/>
            </w:pPr>
            <w:r/>
            <w:r>
              <w:rPr>
                <w:rFonts w:ascii="Calibri" w:hAnsi="Calibri"/>
                <w:sz w:val="18"/>
              </w:rPr>
              <w:t>6.97%</w:t>
            </w:r>
          </w:p>
        </w:tc>
        <w:tc>
          <w:tcPr>
            <w:tcW w:type="dxa" w:w="1994"/>
          </w:tcPr>
          <w:p>
            <w:pPr>
              <w:jc w:val="center"/>
            </w:pPr>
            <w:r/>
            <w:r>
              <w:rPr>
                <w:rFonts w:ascii="Calibri" w:hAnsi="Calibri"/>
                <w:sz w:val="18"/>
              </w:rPr>
              <w:t>60.6%</w:t>
            </w:r>
          </w:p>
        </w:tc>
      </w:tr>
    </w:tbl>
    <w:p/>
    <w:p>
      <w:r>
        <w:t>Win probability calibration is excellent: smooth, monotonic, and usable for production display. P(hit predicted return) is weaker (54-61%), meaning the model's magnitude estimates are noisy. Use predicted return as a ranking signal, not as a precise target.</w:t>
      </w:r>
    </w:p>
    <w:p>
      <w:pPr>
        <w:pStyle w:val="Heading2"/>
      </w:pPr>
      <w:r>
        <w:t>MFE Calibration</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Prediction Bin</w:t>
            </w:r>
          </w:p>
        </w:tc>
        <w:tc>
          <w:tcPr>
            <w:tcW w:type="dxa" w:w="1994"/>
          </w:tcPr>
          <w:p>
            <w:pPr>
              <w:jc w:val="center"/>
            </w:pPr>
            <w:r/>
            <w:r>
              <w:rPr>
                <w:rFonts w:ascii="Calibri" w:hAnsi="Calibri"/>
                <w:b/>
                <w:sz w:val="18"/>
              </w:rPr>
              <w:t>Pred MFE Range</w:t>
            </w:r>
          </w:p>
        </w:tc>
        <w:tc>
          <w:tcPr>
            <w:tcW w:type="dxa" w:w="1994"/>
          </w:tcPr>
          <w:p>
            <w:pPr>
              <w:jc w:val="center"/>
            </w:pPr>
            <w:r/>
            <w:r>
              <w:rPr>
                <w:rFonts w:ascii="Calibri" w:hAnsi="Calibri"/>
                <w:b/>
                <w:sz w:val="18"/>
              </w:rPr>
              <w:t>Win Prob</w:t>
            </w:r>
          </w:p>
        </w:tc>
        <w:tc>
          <w:tcPr>
            <w:tcW w:type="dxa" w:w="1994"/>
          </w:tcPr>
          <w:p>
            <w:pPr>
              <w:jc w:val="center"/>
            </w:pPr>
            <w:r/>
            <w:r>
              <w:rPr>
                <w:rFonts w:ascii="Calibri" w:hAnsi="Calibri"/>
                <w:b/>
                <w:sz w:val="18"/>
              </w:rPr>
              <w:t>Avg MFE</w:t>
            </w:r>
          </w:p>
        </w:tc>
        <w:tc>
          <w:tcPr>
            <w:tcW w:type="dxa" w:w="1994"/>
          </w:tcPr>
          <w:p>
            <w:pPr>
              <w:jc w:val="center"/>
            </w:pPr>
            <w:r/>
            <w:r>
              <w:rPr>
                <w:rFonts w:ascii="Calibri" w:hAnsi="Calibri"/>
                <w:b/>
                <w:sz w:val="18"/>
              </w:rPr>
              <w:t>P(Hit Pred MFE)</w:t>
            </w:r>
          </w:p>
        </w:tc>
      </w:tr>
      <w:tr>
        <w:tc>
          <w:tcPr>
            <w:tcW w:type="dxa" w:w="1994"/>
          </w:tcPr>
          <w:p>
            <w:pPr>
              <w:jc w:val="center"/>
            </w:pPr>
            <w:r/>
            <w:r>
              <w:rPr>
                <w:rFonts w:ascii="Calibri" w:hAnsi="Calibri"/>
                <w:b/>
                <w:sz w:val="18"/>
              </w:rPr>
              <w:t>Bin 0 (lowest)</w:t>
            </w:r>
          </w:p>
        </w:tc>
        <w:tc>
          <w:tcPr>
            <w:tcW w:type="dxa" w:w="1994"/>
          </w:tcPr>
          <w:p>
            <w:pPr>
              <w:jc w:val="center"/>
            </w:pPr>
            <w:r/>
            <w:r>
              <w:rPr>
                <w:rFonts w:ascii="Calibri" w:hAnsi="Calibri"/>
                <w:sz w:val="18"/>
              </w:rPr>
              <w:t>0.57-2.64%</w:t>
            </w:r>
          </w:p>
        </w:tc>
        <w:tc>
          <w:tcPr>
            <w:tcW w:type="dxa" w:w="1994"/>
          </w:tcPr>
          <w:p>
            <w:pPr>
              <w:jc w:val="center"/>
            </w:pPr>
            <w:r/>
            <w:r>
              <w:rPr>
                <w:rFonts w:ascii="Calibri" w:hAnsi="Calibri"/>
                <w:sz w:val="18"/>
              </w:rPr>
              <w:t>57.2%</w:t>
            </w:r>
          </w:p>
        </w:tc>
        <w:tc>
          <w:tcPr>
            <w:tcW w:type="dxa" w:w="1994"/>
          </w:tcPr>
          <w:p>
            <w:pPr>
              <w:jc w:val="center"/>
            </w:pPr>
            <w:r/>
            <w:r>
              <w:rPr>
                <w:rFonts w:ascii="Calibri" w:hAnsi="Calibri"/>
                <w:sz w:val="18"/>
              </w:rPr>
              <w:t>2.58%</w:t>
            </w:r>
          </w:p>
        </w:tc>
        <w:tc>
          <w:tcPr>
            <w:tcW w:type="dxa" w:w="1994"/>
          </w:tcPr>
          <w:p>
            <w:pPr>
              <w:jc w:val="center"/>
            </w:pPr>
            <w:r/>
            <w:r>
              <w:rPr>
                <w:rFonts w:ascii="Calibri" w:hAnsi="Calibri"/>
                <w:sz w:val="18"/>
              </w:rPr>
              <w:t>46.9%</w:t>
            </w:r>
          </w:p>
        </w:tc>
      </w:tr>
      <w:tr>
        <w:tc>
          <w:tcPr>
            <w:tcW w:type="dxa" w:w="1994"/>
          </w:tcPr>
          <w:p>
            <w:pPr>
              <w:jc w:val="center"/>
            </w:pPr>
            <w:r/>
            <w:r>
              <w:rPr>
                <w:rFonts w:ascii="Calibri" w:hAnsi="Calibri"/>
                <w:b/>
                <w:sz w:val="18"/>
              </w:rPr>
              <w:t>Bin 5</w:t>
            </w:r>
          </w:p>
        </w:tc>
        <w:tc>
          <w:tcPr>
            <w:tcW w:type="dxa" w:w="1994"/>
          </w:tcPr>
          <w:p>
            <w:pPr>
              <w:jc w:val="center"/>
            </w:pPr>
            <w:r/>
            <w:r>
              <w:rPr>
                <w:rFonts w:ascii="Calibri" w:hAnsi="Calibri"/>
                <w:sz w:val="18"/>
              </w:rPr>
              <w:t>3.71-3.93%</w:t>
            </w:r>
          </w:p>
        </w:tc>
        <w:tc>
          <w:tcPr>
            <w:tcW w:type="dxa" w:w="1994"/>
          </w:tcPr>
          <w:p>
            <w:pPr>
              <w:jc w:val="center"/>
            </w:pPr>
            <w:r/>
            <w:r>
              <w:rPr>
                <w:rFonts w:ascii="Calibri" w:hAnsi="Calibri"/>
                <w:sz w:val="18"/>
              </w:rPr>
              <w:t>64.4%</w:t>
            </w:r>
          </w:p>
        </w:tc>
        <w:tc>
          <w:tcPr>
            <w:tcW w:type="dxa" w:w="1994"/>
          </w:tcPr>
          <w:p>
            <w:pPr>
              <w:jc w:val="center"/>
            </w:pPr>
            <w:r/>
            <w:r>
              <w:rPr>
                <w:rFonts w:ascii="Calibri" w:hAnsi="Calibri"/>
                <w:sz w:val="18"/>
              </w:rPr>
              <w:t>4.03%</w:t>
            </w:r>
          </w:p>
        </w:tc>
        <w:tc>
          <w:tcPr>
            <w:tcW w:type="dxa" w:w="1994"/>
          </w:tcPr>
          <w:p>
            <w:pPr>
              <w:jc w:val="center"/>
            </w:pPr>
            <w:r/>
            <w:r>
              <w:rPr>
                <w:rFonts w:ascii="Calibri" w:hAnsi="Calibri"/>
                <w:sz w:val="18"/>
              </w:rPr>
              <w:t>46.1%</w:t>
            </w:r>
          </w:p>
        </w:tc>
      </w:tr>
      <w:tr>
        <w:tc>
          <w:tcPr>
            <w:tcW w:type="dxa" w:w="1994"/>
          </w:tcPr>
          <w:p>
            <w:pPr>
              <w:jc w:val="center"/>
            </w:pPr>
            <w:r/>
            <w:r>
              <w:rPr>
                <w:rFonts w:ascii="Calibri" w:hAnsi="Calibri"/>
                <w:b/>
                <w:sz w:val="18"/>
              </w:rPr>
              <w:t>Bin 10</w:t>
            </w:r>
          </w:p>
        </w:tc>
        <w:tc>
          <w:tcPr>
            <w:tcW w:type="dxa" w:w="1994"/>
          </w:tcPr>
          <w:p>
            <w:pPr>
              <w:jc w:val="center"/>
            </w:pPr>
            <w:r/>
            <w:r>
              <w:rPr>
                <w:rFonts w:ascii="Calibri" w:hAnsi="Calibri"/>
                <w:sz w:val="18"/>
              </w:rPr>
              <w:t>4.82-5.07%</w:t>
            </w:r>
          </w:p>
        </w:tc>
        <w:tc>
          <w:tcPr>
            <w:tcW w:type="dxa" w:w="1994"/>
          </w:tcPr>
          <w:p>
            <w:pPr>
              <w:jc w:val="center"/>
            </w:pPr>
            <w:r/>
            <w:r>
              <w:rPr>
                <w:rFonts w:ascii="Calibri" w:hAnsi="Calibri"/>
                <w:sz w:val="18"/>
              </w:rPr>
              <w:t>67.2%</w:t>
            </w:r>
          </w:p>
        </w:tc>
        <w:tc>
          <w:tcPr>
            <w:tcW w:type="dxa" w:w="1994"/>
          </w:tcPr>
          <w:p>
            <w:pPr>
              <w:jc w:val="center"/>
            </w:pPr>
            <w:r/>
            <w:r>
              <w:rPr>
                <w:rFonts w:ascii="Calibri" w:hAnsi="Calibri"/>
                <w:sz w:val="18"/>
              </w:rPr>
              <w:t>5.14%</w:t>
            </w:r>
          </w:p>
        </w:tc>
        <w:tc>
          <w:tcPr>
            <w:tcW w:type="dxa" w:w="1994"/>
          </w:tcPr>
          <w:p>
            <w:pPr>
              <w:jc w:val="center"/>
            </w:pPr>
            <w:r/>
            <w:r>
              <w:rPr>
                <w:rFonts w:ascii="Calibri" w:hAnsi="Calibri"/>
                <w:sz w:val="18"/>
              </w:rPr>
              <w:t>45.6%</w:t>
            </w:r>
          </w:p>
        </w:tc>
      </w:tr>
      <w:tr>
        <w:tc>
          <w:tcPr>
            <w:tcW w:type="dxa" w:w="1994"/>
          </w:tcPr>
          <w:p>
            <w:pPr>
              <w:jc w:val="center"/>
            </w:pPr>
            <w:r/>
            <w:r>
              <w:rPr>
                <w:rFonts w:ascii="Calibri" w:hAnsi="Calibri"/>
                <w:b/>
                <w:sz w:val="18"/>
              </w:rPr>
              <w:t>Bin 15</w:t>
            </w:r>
          </w:p>
        </w:tc>
        <w:tc>
          <w:tcPr>
            <w:tcW w:type="dxa" w:w="1994"/>
          </w:tcPr>
          <w:p>
            <w:pPr>
              <w:jc w:val="center"/>
            </w:pPr>
            <w:r/>
            <w:r>
              <w:rPr>
                <w:rFonts w:ascii="Calibri" w:hAnsi="Calibri"/>
                <w:sz w:val="18"/>
              </w:rPr>
              <w:t>6.33-6.78%</w:t>
            </w:r>
          </w:p>
        </w:tc>
        <w:tc>
          <w:tcPr>
            <w:tcW w:type="dxa" w:w="1994"/>
          </w:tcPr>
          <w:p>
            <w:pPr>
              <w:jc w:val="center"/>
            </w:pPr>
            <w:r/>
            <w:r>
              <w:rPr>
                <w:rFonts w:ascii="Calibri" w:hAnsi="Calibri"/>
                <w:sz w:val="18"/>
              </w:rPr>
              <w:t>71.7%</w:t>
            </w:r>
          </w:p>
        </w:tc>
        <w:tc>
          <w:tcPr>
            <w:tcW w:type="dxa" w:w="1994"/>
          </w:tcPr>
          <w:p>
            <w:pPr>
              <w:jc w:val="center"/>
            </w:pPr>
            <w:r/>
            <w:r>
              <w:rPr>
                <w:rFonts w:ascii="Calibri" w:hAnsi="Calibri"/>
                <w:sz w:val="18"/>
              </w:rPr>
              <w:t>6.94%</w:t>
            </w:r>
          </w:p>
        </w:tc>
        <w:tc>
          <w:tcPr>
            <w:tcW w:type="dxa" w:w="1994"/>
          </w:tcPr>
          <w:p>
            <w:pPr>
              <w:jc w:val="center"/>
            </w:pPr>
            <w:r/>
            <w:r>
              <w:rPr>
                <w:rFonts w:ascii="Calibri" w:hAnsi="Calibri"/>
                <w:sz w:val="18"/>
              </w:rPr>
              <w:t>47.3%</w:t>
            </w:r>
          </w:p>
        </w:tc>
      </w:tr>
      <w:tr>
        <w:tc>
          <w:tcPr>
            <w:tcW w:type="dxa" w:w="1994"/>
          </w:tcPr>
          <w:p>
            <w:pPr>
              <w:jc w:val="center"/>
            </w:pPr>
            <w:r/>
            <w:r>
              <w:rPr>
                <w:rFonts w:ascii="Calibri" w:hAnsi="Calibri"/>
                <w:b/>
                <w:sz w:val="18"/>
              </w:rPr>
              <w:t>Bin 19 (highest)</w:t>
            </w:r>
          </w:p>
        </w:tc>
        <w:tc>
          <w:tcPr>
            <w:tcW w:type="dxa" w:w="1994"/>
          </w:tcPr>
          <w:p>
            <w:pPr>
              <w:jc w:val="center"/>
            </w:pPr>
            <w:r/>
            <w:r>
              <w:rPr>
                <w:rFonts w:ascii="Calibri" w:hAnsi="Calibri"/>
                <w:sz w:val="18"/>
              </w:rPr>
              <w:t>&gt; 9.48%</w:t>
            </w:r>
          </w:p>
        </w:tc>
        <w:tc>
          <w:tcPr>
            <w:tcW w:type="dxa" w:w="1994"/>
          </w:tcPr>
          <w:p>
            <w:pPr>
              <w:jc w:val="center"/>
            </w:pPr>
            <w:r/>
            <w:r>
              <w:rPr>
                <w:rFonts w:ascii="Calibri" w:hAnsi="Calibri"/>
                <w:sz w:val="18"/>
              </w:rPr>
              <w:t>80.5%</w:t>
            </w:r>
          </w:p>
        </w:tc>
        <w:tc>
          <w:tcPr>
            <w:tcW w:type="dxa" w:w="1994"/>
          </w:tcPr>
          <w:p>
            <w:pPr>
              <w:jc w:val="center"/>
            </w:pPr>
            <w:r/>
            <w:r>
              <w:rPr>
                <w:rFonts w:ascii="Calibri" w:hAnsi="Calibri"/>
                <w:sz w:val="18"/>
              </w:rPr>
              <w:t>13.41%</w:t>
            </w:r>
          </w:p>
        </w:tc>
        <w:tc>
          <w:tcPr>
            <w:tcW w:type="dxa" w:w="1994"/>
          </w:tcPr>
          <w:p>
            <w:pPr>
              <w:jc w:val="center"/>
            </w:pPr>
            <w:r/>
            <w:r>
              <w:rPr>
                <w:rFonts w:ascii="Calibri" w:hAnsi="Calibri"/>
                <w:sz w:val="18"/>
              </w:rPr>
              <w:t>52.4%</w:t>
            </w:r>
          </w:p>
        </w:tc>
      </w:tr>
    </w:tbl>
    <w:p/>
    <w:p>
      <w:r>
        <w:t>The MFE model correctly ranks opportunities by excursion potential (Spearman 0.37 rank correlation) but P(hit predicted MFE) is nearly flat at 46-52%. The model identifies WHICH opportunities have high upside, but the exact predicted MFE level should not be used as a literal profit target.</w:t>
      </w:r>
    </w:p>
    <w:p>
      <w:pPr>
        <w:pStyle w:val="Heading1"/>
      </w:pPr>
      <w:r>
        <w:t>3. Ensemble Value</w:t>
      </w:r>
    </w:p>
    <w:p>
      <w:r>
        <w:t>The 3-model ensemble provides critical insurance against individual model failure. No single model dominates across all years, and any one can fail in a given regime.</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Year</w:t>
            </w:r>
          </w:p>
        </w:tc>
        <w:tc>
          <w:tcPr>
            <w:tcW w:type="dxa" w:w="1994"/>
          </w:tcPr>
          <w:p>
            <w:pPr>
              <w:jc w:val="center"/>
            </w:pPr>
            <w:r/>
            <w:r>
              <w:rPr>
                <w:rFonts w:ascii="Calibri" w:hAnsi="Calibri"/>
                <w:b/>
                <w:sz w:val="18"/>
              </w:rPr>
              <w:t>LightGBM</w:t>
            </w:r>
          </w:p>
        </w:tc>
        <w:tc>
          <w:tcPr>
            <w:tcW w:type="dxa" w:w="1994"/>
          </w:tcPr>
          <w:p>
            <w:pPr>
              <w:jc w:val="center"/>
            </w:pPr>
            <w:r/>
            <w:r>
              <w:rPr>
                <w:rFonts w:ascii="Calibri" w:hAnsi="Calibri"/>
                <w:b/>
                <w:sz w:val="18"/>
              </w:rPr>
              <w:t>XGBoost</w:t>
            </w:r>
          </w:p>
        </w:tc>
        <w:tc>
          <w:tcPr>
            <w:tcW w:type="dxa" w:w="1994"/>
          </w:tcPr>
          <w:p>
            <w:pPr>
              <w:jc w:val="center"/>
            </w:pPr>
            <w:r/>
            <w:r>
              <w:rPr>
                <w:rFonts w:ascii="Calibri" w:hAnsi="Calibri"/>
                <w:b/>
                <w:sz w:val="18"/>
              </w:rPr>
              <w:t>CatBoost</w:t>
            </w:r>
          </w:p>
        </w:tc>
        <w:tc>
          <w:tcPr>
            <w:tcW w:type="dxa" w:w="1994"/>
          </w:tcPr>
          <w:p>
            <w:pPr>
              <w:jc w:val="center"/>
            </w:pPr>
            <w:r/>
            <w:r>
              <w:rPr>
                <w:rFonts w:ascii="Calibri" w:hAnsi="Calibri"/>
                <w:b/>
                <w:sz w:val="18"/>
              </w:rPr>
              <w:t>Ensemble</w:t>
            </w:r>
          </w:p>
        </w:tc>
      </w:tr>
      <w:tr>
        <w:tc>
          <w:tcPr>
            <w:tcW w:type="dxa" w:w="1994"/>
          </w:tcPr>
          <w:p>
            <w:pPr>
              <w:jc w:val="center"/>
            </w:pPr>
            <w:r/>
            <w:r>
              <w:rPr>
                <w:rFonts w:ascii="Calibri" w:hAnsi="Calibri"/>
                <w:b/>
                <w:sz w:val="18"/>
              </w:rPr>
              <w:t>2018</w:t>
            </w:r>
          </w:p>
        </w:tc>
        <w:tc>
          <w:tcPr>
            <w:tcW w:type="dxa" w:w="1994"/>
          </w:tcPr>
          <w:p>
            <w:pPr>
              <w:jc w:val="center"/>
            </w:pPr>
            <w:r/>
            <w:r>
              <w:rPr>
                <w:rFonts w:ascii="Calibri" w:hAnsi="Calibri"/>
                <w:sz w:val="18"/>
              </w:rPr>
              <w:t>0.618</w:t>
            </w:r>
          </w:p>
        </w:tc>
        <w:tc>
          <w:tcPr>
            <w:tcW w:type="dxa" w:w="1994"/>
          </w:tcPr>
          <w:p>
            <w:pPr>
              <w:jc w:val="center"/>
            </w:pPr>
            <w:r/>
            <w:r>
              <w:rPr>
                <w:rFonts w:ascii="Calibri" w:hAnsi="Calibri"/>
                <w:sz w:val="18"/>
              </w:rPr>
              <w:t>0.601</w:t>
            </w:r>
          </w:p>
        </w:tc>
        <w:tc>
          <w:tcPr>
            <w:tcW w:type="dxa" w:w="1994"/>
          </w:tcPr>
          <w:p>
            <w:pPr>
              <w:jc w:val="center"/>
            </w:pPr>
            <w:r/>
            <w:r>
              <w:rPr>
                <w:rFonts w:ascii="Calibri" w:hAnsi="Calibri"/>
                <w:sz w:val="18"/>
              </w:rPr>
              <w:t>0.615</w:t>
            </w:r>
          </w:p>
        </w:tc>
        <w:tc>
          <w:tcPr>
            <w:tcW w:type="dxa" w:w="1994"/>
          </w:tcPr>
          <w:p>
            <w:pPr>
              <w:jc w:val="center"/>
            </w:pPr>
            <w:r/>
            <w:r>
              <w:rPr>
                <w:rFonts w:ascii="Calibri" w:hAnsi="Calibri"/>
                <w:sz w:val="18"/>
              </w:rPr>
              <w:t>0.614</w:t>
            </w:r>
          </w:p>
        </w:tc>
      </w:tr>
      <w:tr>
        <w:tc>
          <w:tcPr>
            <w:tcW w:type="dxa" w:w="1994"/>
          </w:tcPr>
          <w:p>
            <w:pPr>
              <w:jc w:val="center"/>
            </w:pPr>
            <w:r/>
            <w:r>
              <w:rPr>
                <w:rFonts w:ascii="Calibri" w:hAnsi="Calibri"/>
                <w:b/>
                <w:sz w:val="18"/>
              </w:rPr>
              <w:t>2019</w:t>
            </w:r>
          </w:p>
        </w:tc>
        <w:tc>
          <w:tcPr>
            <w:tcW w:type="dxa" w:w="1994"/>
          </w:tcPr>
          <w:p>
            <w:pPr>
              <w:jc w:val="center"/>
            </w:pPr>
            <w:r/>
            <w:r>
              <w:rPr>
                <w:rFonts w:ascii="Calibri" w:hAnsi="Calibri"/>
                <w:sz w:val="18"/>
              </w:rPr>
              <w:t>0.490 *</w:t>
            </w:r>
          </w:p>
        </w:tc>
        <w:tc>
          <w:tcPr>
            <w:tcW w:type="dxa" w:w="1994"/>
          </w:tcPr>
          <w:p>
            <w:pPr>
              <w:jc w:val="center"/>
            </w:pPr>
            <w:r/>
            <w:r>
              <w:rPr>
                <w:rFonts w:ascii="Calibri" w:hAnsi="Calibri"/>
                <w:sz w:val="18"/>
              </w:rPr>
              <w:t>0.592</w:t>
            </w:r>
          </w:p>
        </w:tc>
        <w:tc>
          <w:tcPr>
            <w:tcW w:type="dxa" w:w="1994"/>
          </w:tcPr>
          <w:p>
            <w:pPr>
              <w:jc w:val="center"/>
            </w:pPr>
            <w:r/>
            <w:r>
              <w:rPr>
                <w:rFonts w:ascii="Calibri" w:hAnsi="Calibri"/>
                <w:sz w:val="18"/>
              </w:rPr>
              <w:t>0.666</w:t>
            </w:r>
          </w:p>
        </w:tc>
        <w:tc>
          <w:tcPr>
            <w:tcW w:type="dxa" w:w="1994"/>
          </w:tcPr>
          <w:p>
            <w:pPr>
              <w:jc w:val="center"/>
            </w:pPr>
            <w:r/>
            <w:r>
              <w:rPr>
                <w:rFonts w:ascii="Calibri" w:hAnsi="Calibri"/>
                <w:sz w:val="18"/>
              </w:rPr>
              <w:t>0.637</w:t>
            </w:r>
          </w:p>
        </w:tc>
      </w:tr>
      <w:tr>
        <w:tc>
          <w:tcPr>
            <w:tcW w:type="dxa" w:w="1994"/>
          </w:tcPr>
          <w:p>
            <w:pPr>
              <w:jc w:val="center"/>
            </w:pPr>
            <w:r/>
            <w:r>
              <w:rPr>
                <w:rFonts w:ascii="Calibri" w:hAnsi="Calibri"/>
                <w:b/>
                <w:sz w:val="18"/>
              </w:rPr>
              <w:t>2020</w:t>
            </w:r>
          </w:p>
        </w:tc>
        <w:tc>
          <w:tcPr>
            <w:tcW w:type="dxa" w:w="1994"/>
          </w:tcPr>
          <w:p>
            <w:pPr>
              <w:jc w:val="center"/>
            </w:pPr>
            <w:r/>
            <w:r>
              <w:rPr>
                <w:rFonts w:ascii="Calibri" w:hAnsi="Calibri"/>
                <w:sz w:val="18"/>
              </w:rPr>
              <w:t>0.663</w:t>
            </w:r>
          </w:p>
        </w:tc>
        <w:tc>
          <w:tcPr>
            <w:tcW w:type="dxa" w:w="1994"/>
          </w:tcPr>
          <w:p>
            <w:pPr>
              <w:jc w:val="center"/>
            </w:pPr>
            <w:r/>
            <w:r>
              <w:rPr>
                <w:rFonts w:ascii="Calibri" w:hAnsi="Calibri"/>
                <w:sz w:val="18"/>
              </w:rPr>
              <w:t>0.641</w:t>
            </w:r>
          </w:p>
        </w:tc>
        <w:tc>
          <w:tcPr>
            <w:tcW w:type="dxa" w:w="1994"/>
          </w:tcPr>
          <w:p>
            <w:pPr>
              <w:jc w:val="center"/>
            </w:pPr>
            <w:r/>
            <w:r>
              <w:rPr>
                <w:rFonts w:ascii="Calibri" w:hAnsi="Calibri"/>
                <w:sz w:val="18"/>
              </w:rPr>
              <w:t>0.618</w:t>
            </w:r>
          </w:p>
        </w:tc>
        <w:tc>
          <w:tcPr>
            <w:tcW w:type="dxa" w:w="1994"/>
          </w:tcPr>
          <w:p>
            <w:pPr>
              <w:jc w:val="center"/>
            </w:pPr>
            <w:r/>
            <w:r>
              <w:rPr>
                <w:rFonts w:ascii="Calibri" w:hAnsi="Calibri"/>
                <w:sz w:val="18"/>
              </w:rPr>
              <w:t>0.651</w:t>
            </w:r>
          </w:p>
        </w:tc>
      </w:tr>
      <w:tr>
        <w:tc>
          <w:tcPr>
            <w:tcW w:type="dxa" w:w="1994"/>
          </w:tcPr>
          <w:p>
            <w:pPr>
              <w:jc w:val="center"/>
            </w:pPr>
            <w:r/>
            <w:r>
              <w:rPr>
                <w:rFonts w:ascii="Calibri" w:hAnsi="Calibri"/>
                <w:b/>
                <w:sz w:val="18"/>
              </w:rPr>
              <w:t>2021</w:t>
            </w:r>
          </w:p>
        </w:tc>
        <w:tc>
          <w:tcPr>
            <w:tcW w:type="dxa" w:w="1994"/>
          </w:tcPr>
          <w:p>
            <w:pPr>
              <w:jc w:val="center"/>
            </w:pPr>
            <w:r/>
            <w:r>
              <w:rPr>
                <w:rFonts w:ascii="Calibri" w:hAnsi="Calibri"/>
                <w:sz w:val="18"/>
              </w:rPr>
              <w:t>0.601</w:t>
            </w:r>
          </w:p>
        </w:tc>
        <w:tc>
          <w:tcPr>
            <w:tcW w:type="dxa" w:w="1994"/>
          </w:tcPr>
          <w:p>
            <w:pPr>
              <w:jc w:val="center"/>
            </w:pPr>
            <w:r/>
            <w:r>
              <w:rPr>
                <w:rFonts w:ascii="Calibri" w:hAnsi="Calibri"/>
                <w:sz w:val="18"/>
              </w:rPr>
              <w:t>0.603</w:t>
            </w:r>
          </w:p>
        </w:tc>
        <w:tc>
          <w:tcPr>
            <w:tcW w:type="dxa" w:w="1994"/>
          </w:tcPr>
          <w:p>
            <w:pPr>
              <w:jc w:val="center"/>
            </w:pPr>
            <w:r/>
            <w:r>
              <w:rPr>
                <w:rFonts w:ascii="Calibri" w:hAnsi="Calibri"/>
                <w:sz w:val="18"/>
              </w:rPr>
              <w:t>0.620</w:t>
            </w:r>
          </w:p>
        </w:tc>
        <w:tc>
          <w:tcPr>
            <w:tcW w:type="dxa" w:w="1994"/>
          </w:tcPr>
          <w:p>
            <w:pPr>
              <w:jc w:val="center"/>
            </w:pPr>
            <w:r/>
            <w:r>
              <w:rPr>
                <w:rFonts w:ascii="Calibri" w:hAnsi="Calibri"/>
                <w:sz w:val="18"/>
              </w:rPr>
              <w:t>0.611</w:t>
            </w:r>
          </w:p>
        </w:tc>
      </w:tr>
      <w:tr>
        <w:tc>
          <w:tcPr>
            <w:tcW w:type="dxa" w:w="1994"/>
          </w:tcPr>
          <w:p>
            <w:pPr>
              <w:jc w:val="center"/>
            </w:pPr>
            <w:r/>
            <w:r>
              <w:rPr>
                <w:rFonts w:ascii="Calibri" w:hAnsi="Calibri"/>
                <w:b/>
                <w:sz w:val="18"/>
              </w:rPr>
              <w:t>2022</w:t>
            </w:r>
          </w:p>
        </w:tc>
        <w:tc>
          <w:tcPr>
            <w:tcW w:type="dxa" w:w="1994"/>
          </w:tcPr>
          <w:p>
            <w:pPr>
              <w:jc w:val="center"/>
            </w:pPr>
            <w:r/>
            <w:r>
              <w:rPr>
                <w:rFonts w:ascii="Calibri" w:hAnsi="Calibri"/>
                <w:sz w:val="18"/>
              </w:rPr>
              <w:t>0.550</w:t>
            </w:r>
          </w:p>
        </w:tc>
        <w:tc>
          <w:tcPr>
            <w:tcW w:type="dxa" w:w="1994"/>
          </w:tcPr>
          <w:p>
            <w:pPr>
              <w:jc w:val="center"/>
            </w:pPr>
            <w:r/>
            <w:r>
              <w:rPr>
                <w:rFonts w:ascii="Calibri" w:hAnsi="Calibri"/>
                <w:sz w:val="18"/>
              </w:rPr>
              <w:t>0.569</w:t>
            </w:r>
          </w:p>
        </w:tc>
        <w:tc>
          <w:tcPr>
            <w:tcW w:type="dxa" w:w="1994"/>
          </w:tcPr>
          <w:p>
            <w:pPr>
              <w:jc w:val="center"/>
            </w:pPr>
            <w:r/>
            <w:r>
              <w:rPr>
                <w:rFonts w:ascii="Calibri" w:hAnsi="Calibri"/>
                <w:sz w:val="18"/>
              </w:rPr>
              <w:t>0.546</w:t>
            </w:r>
          </w:p>
        </w:tc>
        <w:tc>
          <w:tcPr>
            <w:tcW w:type="dxa" w:w="1994"/>
          </w:tcPr>
          <w:p>
            <w:pPr>
              <w:jc w:val="center"/>
            </w:pPr>
            <w:r/>
            <w:r>
              <w:rPr>
                <w:rFonts w:ascii="Calibri" w:hAnsi="Calibri"/>
                <w:sz w:val="18"/>
              </w:rPr>
              <w:t>0.564</w:t>
            </w:r>
          </w:p>
        </w:tc>
      </w:tr>
      <w:tr>
        <w:tc>
          <w:tcPr>
            <w:tcW w:type="dxa" w:w="1994"/>
          </w:tcPr>
          <w:p>
            <w:pPr>
              <w:jc w:val="center"/>
            </w:pPr>
            <w:r/>
            <w:r>
              <w:rPr>
                <w:rFonts w:ascii="Calibri" w:hAnsi="Calibri"/>
                <w:b/>
                <w:sz w:val="18"/>
              </w:rPr>
              <w:t>2023</w:t>
            </w:r>
          </w:p>
        </w:tc>
        <w:tc>
          <w:tcPr>
            <w:tcW w:type="dxa" w:w="1994"/>
          </w:tcPr>
          <w:p>
            <w:pPr>
              <w:jc w:val="center"/>
            </w:pPr>
            <w:r/>
            <w:r>
              <w:rPr>
                <w:rFonts w:ascii="Calibri" w:hAnsi="Calibri"/>
                <w:sz w:val="18"/>
              </w:rPr>
              <w:t>0.616</w:t>
            </w:r>
          </w:p>
        </w:tc>
        <w:tc>
          <w:tcPr>
            <w:tcW w:type="dxa" w:w="1994"/>
          </w:tcPr>
          <w:p>
            <w:pPr>
              <w:jc w:val="center"/>
            </w:pPr>
            <w:r/>
            <w:r>
              <w:rPr>
                <w:rFonts w:ascii="Calibri" w:hAnsi="Calibri"/>
                <w:sz w:val="18"/>
              </w:rPr>
              <w:t>0.630</w:t>
            </w:r>
          </w:p>
        </w:tc>
        <w:tc>
          <w:tcPr>
            <w:tcW w:type="dxa" w:w="1994"/>
          </w:tcPr>
          <w:p>
            <w:pPr>
              <w:jc w:val="center"/>
            </w:pPr>
            <w:r/>
            <w:r>
              <w:rPr>
                <w:rFonts w:ascii="Calibri" w:hAnsi="Calibri"/>
                <w:sz w:val="18"/>
              </w:rPr>
              <w:t>0.645</w:t>
            </w:r>
          </w:p>
        </w:tc>
        <w:tc>
          <w:tcPr>
            <w:tcW w:type="dxa" w:w="1994"/>
          </w:tcPr>
          <w:p>
            <w:pPr>
              <w:jc w:val="center"/>
            </w:pPr>
            <w:r/>
            <w:r>
              <w:rPr>
                <w:rFonts w:ascii="Calibri" w:hAnsi="Calibri"/>
                <w:sz w:val="18"/>
              </w:rPr>
              <w:t>0.644</w:t>
            </w:r>
          </w:p>
        </w:tc>
      </w:tr>
      <w:tr>
        <w:tc>
          <w:tcPr>
            <w:tcW w:type="dxa" w:w="1994"/>
          </w:tcPr>
          <w:p>
            <w:pPr>
              <w:jc w:val="center"/>
            </w:pPr>
            <w:r/>
            <w:r>
              <w:rPr>
                <w:rFonts w:ascii="Calibri" w:hAnsi="Calibri"/>
                <w:b/>
                <w:sz w:val="18"/>
              </w:rPr>
              <w:t>2024</w:t>
            </w:r>
          </w:p>
        </w:tc>
        <w:tc>
          <w:tcPr>
            <w:tcW w:type="dxa" w:w="1994"/>
          </w:tcPr>
          <w:p>
            <w:pPr>
              <w:jc w:val="center"/>
            </w:pPr>
            <w:r/>
            <w:r>
              <w:rPr>
                <w:rFonts w:ascii="Calibri" w:hAnsi="Calibri"/>
                <w:sz w:val="18"/>
              </w:rPr>
              <w:t>0.581</w:t>
            </w:r>
          </w:p>
        </w:tc>
        <w:tc>
          <w:tcPr>
            <w:tcW w:type="dxa" w:w="1994"/>
          </w:tcPr>
          <w:p>
            <w:pPr>
              <w:jc w:val="center"/>
            </w:pPr>
            <w:r/>
            <w:r>
              <w:rPr>
                <w:rFonts w:ascii="Calibri" w:hAnsi="Calibri"/>
                <w:sz w:val="18"/>
              </w:rPr>
              <w:t>0.630</w:t>
            </w:r>
          </w:p>
        </w:tc>
        <w:tc>
          <w:tcPr>
            <w:tcW w:type="dxa" w:w="1994"/>
          </w:tcPr>
          <w:p>
            <w:pPr>
              <w:jc w:val="center"/>
            </w:pPr>
            <w:r/>
            <w:r>
              <w:rPr>
                <w:rFonts w:ascii="Calibri" w:hAnsi="Calibri"/>
                <w:sz w:val="18"/>
              </w:rPr>
              <w:t>0.608</w:t>
            </w:r>
          </w:p>
        </w:tc>
        <w:tc>
          <w:tcPr>
            <w:tcW w:type="dxa" w:w="1994"/>
          </w:tcPr>
          <w:p>
            <w:pPr>
              <w:jc w:val="center"/>
            </w:pPr>
            <w:r/>
            <w:r>
              <w:rPr>
                <w:rFonts w:ascii="Calibri" w:hAnsi="Calibri"/>
                <w:sz w:val="18"/>
              </w:rPr>
              <w:t>0.623</w:t>
            </w:r>
          </w:p>
        </w:tc>
      </w:tr>
      <w:tr>
        <w:tc>
          <w:tcPr>
            <w:tcW w:type="dxa" w:w="1994"/>
          </w:tcPr>
          <w:p>
            <w:pPr>
              <w:jc w:val="center"/>
            </w:pPr>
            <w:r/>
            <w:r>
              <w:rPr>
                <w:rFonts w:ascii="Calibri" w:hAnsi="Calibri"/>
                <w:b/>
                <w:sz w:val="18"/>
              </w:rPr>
              <w:t>2025</w:t>
            </w:r>
          </w:p>
        </w:tc>
        <w:tc>
          <w:tcPr>
            <w:tcW w:type="dxa" w:w="1994"/>
          </w:tcPr>
          <w:p>
            <w:pPr>
              <w:jc w:val="center"/>
            </w:pPr>
            <w:r/>
            <w:r>
              <w:rPr>
                <w:rFonts w:ascii="Calibri" w:hAnsi="Calibri"/>
                <w:sz w:val="18"/>
              </w:rPr>
              <w:t>0.669</w:t>
            </w:r>
          </w:p>
        </w:tc>
        <w:tc>
          <w:tcPr>
            <w:tcW w:type="dxa" w:w="1994"/>
          </w:tcPr>
          <w:p>
            <w:pPr>
              <w:jc w:val="center"/>
            </w:pPr>
            <w:r/>
            <w:r>
              <w:rPr>
                <w:rFonts w:ascii="Calibri" w:hAnsi="Calibri"/>
                <w:sz w:val="18"/>
              </w:rPr>
              <w:t>0.667</w:t>
            </w:r>
          </w:p>
        </w:tc>
        <w:tc>
          <w:tcPr>
            <w:tcW w:type="dxa" w:w="1994"/>
          </w:tcPr>
          <w:p>
            <w:pPr>
              <w:jc w:val="center"/>
            </w:pPr>
            <w:r/>
            <w:r>
              <w:rPr>
                <w:rFonts w:ascii="Calibri" w:hAnsi="Calibri"/>
                <w:sz w:val="18"/>
              </w:rPr>
              <w:t>0.640</w:t>
            </w:r>
          </w:p>
        </w:tc>
        <w:tc>
          <w:tcPr>
            <w:tcW w:type="dxa" w:w="1994"/>
          </w:tcPr>
          <w:p>
            <w:pPr>
              <w:jc w:val="center"/>
            </w:pPr>
            <w:r/>
            <w:r>
              <w:rPr>
                <w:rFonts w:ascii="Calibri" w:hAnsi="Calibri"/>
                <w:sz w:val="18"/>
              </w:rPr>
              <w:t>0.671</w:t>
            </w:r>
          </w:p>
        </w:tc>
      </w:tr>
    </w:tbl>
    <w:p/>
    <w:p>
      <w:r>
        <w:rPr>
          <w:b/>
        </w:rPr>
        <w:t xml:space="preserve">* </w:t>
      </w:r>
      <w:r>
        <w:t>In 2019, LightGBM produced essentially a null model (AUC 0.49, prediction std = 0.05). XGBoost and CatBoost rescued the ensemble. This single example justifies the 3-model architecture.</w:t>
      </w:r>
    </w:p>
    <w:p>
      <w:r>
        <w:t>The ensemble never falls below AUC 0.564, while individual models hit 0.490. No single model is consistently best: LGB leads in 2025, CB saves 2019, XGB leads 2024. The ensemble provides stability.</w:t>
      </w:r>
    </w:p>
    <w:p>
      <w:pPr>
        <w:pStyle w:val="Heading1"/>
      </w:pPr>
      <w:r>
        <w:t>4. Concerns and Risks</w:t>
      </w:r>
    </w:p>
    <w:p>
      <w:pPr>
        <w:pStyle w:val="Heading2"/>
      </w:pPr>
      <w:r>
        <w:t>A. The Model is a Weak Classifier</w:t>
      </w:r>
    </w:p>
    <w:p>
      <w:r>
        <w:t>Average AUC of ~0.62 is above random (0.50) but below the "strong" threshold (0.70+). The model works because: (1) the base rate is already favorable -- seasonal patterns have inherent edge; (2) filtering top 30% amplifies a small signal across huge sample sizes; (3) the model only needs to be directionally right, not precisely calibrated. Do not expect the model to turn a bad pattern into a good one. It separates "good enough" from "don't bother."</w:t>
      </w:r>
    </w:p>
    <w:p>
      <w:pPr>
        <w:pStyle w:val="Heading2"/>
      </w:pPr>
      <w:r>
        <w:t>B. Training Instability</w:t>
      </w:r>
    </w:p>
    <w:p>
      <w:r>
        <w:t>Optimal model complexity varies wildly: best iteration ranges from 2 (2019) to 834 (2025). This means the signal-to-noise ratio changes drastically across market regimes. The ensemble masks this instability, but it indicates that the underlying seasonal signal is regime-dependent.</w:t>
      </w:r>
    </w:p>
    <w:p>
      <w:pPr>
        <w:pStyle w:val="Heading2"/>
      </w:pPr>
      <w:r>
        <w:t>C. Max Drawdown Risk</w:t>
      </w:r>
    </w:p>
    <w:p>
      <w:r>
        <w:t>Multiple years show -100% max drawdown even at ML_70+ thresholds. Individual trades can lose everything. For stock trades this means significant losses; for options this means total premium loss on some positions. Risk management (position sizing, stop losses, sector limits) is non-negotiable for automated trading.</w:t>
      </w:r>
    </w:p>
    <w:p>
      <w:pPr>
        <w:pStyle w:val="Heading2"/>
      </w:pPr>
      <w:r>
        <w:t>D. MFE Model Does Not Help Trade Selection</w:t>
      </w:r>
    </w:p>
    <w:p>
      <w:r>
        <w:t>The MFE model identifies opportunities with high upside potential but should NOT be used for trade entry decisions. Comparison at ML_70:</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Year</w:t>
            </w:r>
          </w:p>
        </w:tc>
        <w:tc>
          <w:tcPr>
            <w:tcW w:type="dxa" w:w="1994"/>
          </w:tcPr>
          <w:p>
            <w:pPr>
              <w:jc w:val="center"/>
            </w:pPr>
            <w:r/>
            <w:r>
              <w:rPr>
                <w:rFonts w:ascii="Calibri" w:hAnsi="Calibri"/>
                <w:b/>
                <w:sz w:val="18"/>
              </w:rPr>
              <w:t>SR ML_70 WR</w:t>
            </w:r>
          </w:p>
        </w:tc>
        <w:tc>
          <w:tcPr>
            <w:tcW w:type="dxa" w:w="1994"/>
          </w:tcPr>
          <w:p>
            <w:pPr>
              <w:jc w:val="center"/>
            </w:pPr>
            <w:r/>
            <w:r>
              <w:rPr>
                <w:rFonts w:ascii="Calibri" w:hAnsi="Calibri"/>
                <w:b/>
                <w:sz w:val="18"/>
              </w:rPr>
              <w:t>MFE ML_70 WR</w:t>
            </w:r>
          </w:p>
        </w:tc>
        <w:tc>
          <w:tcPr>
            <w:tcW w:type="dxa" w:w="1994"/>
          </w:tcPr>
          <w:p>
            <w:pPr>
              <w:jc w:val="center"/>
            </w:pPr>
            <w:r/>
            <w:r>
              <w:rPr>
                <w:rFonts w:ascii="Calibri" w:hAnsi="Calibri"/>
                <w:b/>
                <w:sz w:val="18"/>
              </w:rPr>
              <w:t>SR ML_70 Sharpe</w:t>
            </w:r>
          </w:p>
        </w:tc>
        <w:tc>
          <w:tcPr>
            <w:tcW w:type="dxa" w:w="1994"/>
          </w:tcPr>
          <w:p>
            <w:pPr>
              <w:jc w:val="center"/>
            </w:pPr>
            <w:r/>
            <w:r>
              <w:rPr>
                <w:rFonts w:ascii="Calibri" w:hAnsi="Calibri"/>
                <w:b/>
                <w:sz w:val="18"/>
              </w:rPr>
              <w:t>MFE ML_70 Sharpe</w:t>
            </w:r>
          </w:p>
        </w:tc>
      </w:tr>
      <w:tr>
        <w:tc>
          <w:tcPr>
            <w:tcW w:type="dxa" w:w="1994"/>
          </w:tcPr>
          <w:p>
            <w:pPr>
              <w:jc w:val="center"/>
            </w:pPr>
            <w:r/>
            <w:r>
              <w:rPr>
                <w:rFonts w:ascii="Calibri" w:hAnsi="Calibri"/>
                <w:b/>
                <w:sz w:val="18"/>
              </w:rPr>
              <w:t>2019</w:t>
            </w:r>
          </w:p>
        </w:tc>
        <w:tc>
          <w:tcPr>
            <w:tcW w:type="dxa" w:w="1994"/>
          </w:tcPr>
          <w:p>
            <w:pPr>
              <w:jc w:val="center"/>
            </w:pPr>
            <w:r/>
            <w:r>
              <w:rPr>
                <w:rFonts w:ascii="Calibri" w:hAnsi="Calibri"/>
                <w:sz w:val="18"/>
              </w:rPr>
              <w:t>77.8%</w:t>
            </w:r>
          </w:p>
        </w:tc>
        <w:tc>
          <w:tcPr>
            <w:tcW w:type="dxa" w:w="1994"/>
          </w:tcPr>
          <w:p>
            <w:pPr>
              <w:jc w:val="center"/>
            </w:pPr>
            <w:r/>
            <w:r>
              <w:rPr>
                <w:rFonts w:ascii="Calibri" w:hAnsi="Calibri"/>
                <w:sz w:val="18"/>
              </w:rPr>
              <w:t>64.4%</w:t>
            </w:r>
          </w:p>
        </w:tc>
        <w:tc>
          <w:tcPr>
            <w:tcW w:type="dxa" w:w="1994"/>
          </w:tcPr>
          <w:p>
            <w:pPr>
              <w:jc w:val="center"/>
            </w:pPr>
            <w:r/>
            <w:r>
              <w:rPr>
                <w:rFonts w:ascii="Calibri" w:hAnsi="Calibri"/>
                <w:sz w:val="18"/>
              </w:rPr>
              <w:t>6.93</w:t>
            </w:r>
          </w:p>
        </w:tc>
        <w:tc>
          <w:tcPr>
            <w:tcW w:type="dxa" w:w="1994"/>
          </w:tcPr>
          <w:p>
            <w:pPr>
              <w:jc w:val="center"/>
            </w:pPr>
            <w:r/>
            <w:r>
              <w:rPr>
                <w:rFonts w:ascii="Calibri" w:hAnsi="Calibri"/>
                <w:sz w:val="18"/>
              </w:rPr>
              <w:t>3.29</w:t>
            </w:r>
          </w:p>
        </w:tc>
      </w:tr>
      <w:tr>
        <w:tc>
          <w:tcPr>
            <w:tcW w:type="dxa" w:w="1994"/>
          </w:tcPr>
          <w:p>
            <w:pPr>
              <w:jc w:val="center"/>
            </w:pPr>
            <w:r/>
            <w:r>
              <w:rPr>
                <w:rFonts w:ascii="Calibri" w:hAnsi="Calibri"/>
                <w:b/>
                <w:sz w:val="18"/>
              </w:rPr>
              <w:t>2020</w:t>
            </w:r>
          </w:p>
        </w:tc>
        <w:tc>
          <w:tcPr>
            <w:tcW w:type="dxa" w:w="1994"/>
          </w:tcPr>
          <w:p>
            <w:pPr>
              <w:jc w:val="center"/>
            </w:pPr>
            <w:r/>
            <w:r>
              <w:rPr>
                <w:rFonts w:ascii="Calibri" w:hAnsi="Calibri"/>
                <w:sz w:val="18"/>
              </w:rPr>
              <w:t>78.2%</w:t>
            </w:r>
          </w:p>
        </w:tc>
        <w:tc>
          <w:tcPr>
            <w:tcW w:type="dxa" w:w="1994"/>
          </w:tcPr>
          <w:p>
            <w:pPr>
              <w:jc w:val="center"/>
            </w:pPr>
            <w:r/>
            <w:r>
              <w:rPr>
                <w:rFonts w:ascii="Calibri" w:hAnsi="Calibri"/>
                <w:sz w:val="18"/>
              </w:rPr>
              <w:t>72.7%</w:t>
            </w:r>
          </w:p>
        </w:tc>
        <w:tc>
          <w:tcPr>
            <w:tcW w:type="dxa" w:w="1994"/>
          </w:tcPr>
          <w:p>
            <w:pPr>
              <w:jc w:val="center"/>
            </w:pPr>
            <w:r/>
            <w:r>
              <w:rPr>
                <w:rFonts w:ascii="Calibri" w:hAnsi="Calibri"/>
                <w:sz w:val="18"/>
              </w:rPr>
              <w:t>8.32</w:t>
            </w:r>
          </w:p>
        </w:tc>
        <w:tc>
          <w:tcPr>
            <w:tcW w:type="dxa" w:w="1994"/>
          </w:tcPr>
          <w:p>
            <w:pPr>
              <w:jc w:val="center"/>
            </w:pPr>
            <w:r/>
            <w:r>
              <w:rPr>
                <w:rFonts w:ascii="Calibri" w:hAnsi="Calibri"/>
                <w:sz w:val="18"/>
              </w:rPr>
              <w:t>6.18</w:t>
            </w:r>
          </w:p>
        </w:tc>
      </w:tr>
      <w:tr>
        <w:tc>
          <w:tcPr>
            <w:tcW w:type="dxa" w:w="1994"/>
          </w:tcPr>
          <w:p>
            <w:pPr>
              <w:jc w:val="center"/>
            </w:pPr>
            <w:r/>
            <w:r>
              <w:rPr>
                <w:rFonts w:ascii="Calibri" w:hAnsi="Calibri"/>
                <w:b/>
                <w:sz w:val="18"/>
              </w:rPr>
              <w:t>2023</w:t>
            </w:r>
          </w:p>
        </w:tc>
        <w:tc>
          <w:tcPr>
            <w:tcW w:type="dxa" w:w="1994"/>
          </w:tcPr>
          <w:p>
            <w:pPr>
              <w:jc w:val="center"/>
            </w:pPr>
            <w:r/>
            <w:r>
              <w:rPr>
                <w:rFonts w:ascii="Calibri" w:hAnsi="Calibri"/>
                <w:sz w:val="18"/>
              </w:rPr>
              <w:t>79.7%</w:t>
            </w:r>
          </w:p>
        </w:tc>
        <w:tc>
          <w:tcPr>
            <w:tcW w:type="dxa" w:w="1994"/>
          </w:tcPr>
          <w:p>
            <w:pPr>
              <w:jc w:val="center"/>
            </w:pPr>
            <w:r/>
            <w:r>
              <w:rPr>
                <w:rFonts w:ascii="Calibri" w:hAnsi="Calibri"/>
                <w:sz w:val="18"/>
              </w:rPr>
              <w:t>73.3%</w:t>
            </w:r>
          </w:p>
        </w:tc>
        <w:tc>
          <w:tcPr>
            <w:tcW w:type="dxa" w:w="1994"/>
          </w:tcPr>
          <w:p>
            <w:pPr>
              <w:jc w:val="center"/>
            </w:pPr>
            <w:r/>
            <w:r>
              <w:rPr>
                <w:rFonts w:ascii="Calibri" w:hAnsi="Calibri"/>
                <w:sz w:val="18"/>
              </w:rPr>
              <w:t>9.00</w:t>
            </w:r>
          </w:p>
        </w:tc>
        <w:tc>
          <w:tcPr>
            <w:tcW w:type="dxa" w:w="1994"/>
          </w:tcPr>
          <w:p>
            <w:pPr>
              <w:jc w:val="center"/>
            </w:pPr>
            <w:r/>
            <w:r>
              <w:rPr>
                <w:rFonts w:ascii="Calibri" w:hAnsi="Calibri"/>
                <w:sz w:val="18"/>
              </w:rPr>
              <w:t>6.92</w:t>
            </w:r>
          </w:p>
        </w:tc>
      </w:tr>
      <w:tr>
        <w:tc>
          <w:tcPr>
            <w:tcW w:type="dxa" w:w="1994"/>
          </w:tcPr>
          <w:p>
            <w:pPr>
              <w:jc w:val="center"/>
            </w:pPr>
            <w:r/>
            <w:r>
              <w:rPr>
                <w:rFonts w:ascii="Calibri" w:hAnsi="Calibri"/>
                <w:b/>
                <w:sz w:val="18"/>
              </w:rPr>
              <w:t>2025</w:t>
            </w:r>
          </w:p>
        </w:tc>
        <w:tc>
          <w:tcPr>
            <w:tcW w:type="dxa" w:w="1994"/>
          </w:tcPr>
          <w:p>
            <w:pPr>
              <w:jc w:val="center"/>
            </w:pPr>
            <w:r/>
            <w:r>
              <w:rPr>
                <w:rFonts w:ascii="Calibri" w:hAnsi="Calibri"/>
                <w:sz w:val="18"/>
              </w:rPr>
              <w:t>78.1%</w:t>
            </w:r>
          </w:p>
        </w:tc>
        <w:tc>
          <w:tcPr>
            <w:tcW w:type="dxa" w:w="1994"/>
          </w:tcPr>
          <w:p>
            <w:pPr>
              <w:jc w:val="center"/>
            </w:pPr>
            <w:r/>
            <w:r>
              <w:rPr>
                <w:rFonts w:ascii="Calibri" w:hAnsi="Calibri"/>
                <w:sz w:val="18"/>
              </w:rPr>
              <w:t>68.2%</w:t>
            </w:r>
          </w:p>
        </w:tc>
        <w:tc>
          <w:tcPr>
            <w:tcW w:type="dxa" w:w="1994"/>
          </w:tcPr>
          <w:p>
            <w:pPr>
              <w:jc w:val="center"/>
            </w:pPr>
            <w:r/>
            <w:r>
              <w:rPr>
                <w:rFonts w:ascii="Calibri" w:hAnsi="Calibri"/>
                <w:sz w:val="18"/>
              </w:rPr>
              <w:t>7.45</w:t>
            </w:r>
          </w:p>
        </w:tc>
        <w:tc>
          <w:tcPr>
            <w:tcW w:type="dxa" w:w="1994"/>
          </w:tcPr>
          <w:p>
            <w:pPr>
              <w:jc w:val="center"/>
            </w:pPr>
            <w:r/>
            <w:r>
              <w:rPr>
                <w:rFonts w:ascii="Calibri" w:hAnsi="Calibri"/>
                <w:sz w:val="18"/>
              </w:rPr>
              <w:t>3.97</w:t>
            </w:r>
          </w:p>
        </w:tc>
      </w:tr>
    </w:tbl>
    <w:p/>
    <w:p>
      <w:r>
        <w:t>SR filtering is dramatically better for trade selection. Use the SR model for go/no-go decisions. Use the MFE model only as supplementary information for profit target guidance.</w:t>
      </w:r>
    </w:p>
    <w:p>
      <w:pPr>
        <w:pStyle w:val="Heading1"/>
      </w:pPr>
      <w:r>
        <w:t>5. Recommendations for TradeWave UI</w:t>
      </w:r>
    </w:p>
    <w:p>
      <w:r>
        <w:t>The model is well-suited for UI integration. Recommended columns:</w:t>
      </w:r>
    </w:p>
    <w:p>
      <w:pPr>
        <w:pStyle w:val="ListBullet"/>
      </w:pPr>
      <w:r>
        <w:rPr>
          <w:b/>
        </w:rPr>
        <w:t xml:space="preserve">ML Score (0-100): </w:t>
      </w:r>
      <w:r>
        <w:t>Predicted return percentile. Color code: green (70+), yellow (50-70), red (&lt;50).</w:t>
      </w:r>
    </w:p>
    <w:p>
      <w:pPr>
        <w:pStyle w:val="ListBullet"/>
      </w:pPr>
      <w:r>
        <w:rPr>
          <w:b/>
        </w:rPr>
        <w:t xml:space="preserve">Win Probability: </w:t>
      </w:r>
      <w:r>
        <w:t>From SR calibration table. Well-calibrated, monotonic. Display as percentage.</w:t>
      </w:r>
    </w:p>
    <w:p>
      <w:pPr>
        <w:pStyle w:val="ListBullet"/>
      </w:pPr>
      <w:r>
        <w:rPr>
          <w:b/>
        </w:rPr>
        <w:t xml:space="preserve">Predicted Return: </w:t>
      </w:r>
      <w:r>
        <w:t>Raw SR model output. Useful for sorting. Display as percentage with one decimal.</w:t>
      </w:r>
    </w:p>
    <w:p>
      <w:pPr>
        <w:pStyle w:val="ListBullet"/>
      </w:pPr>
      <w:r>
        <w:rPr>
          <w:b/>
        </w:rPr>
        <w:t xml:space="preserve">Upside Potential (MFE): </w:t>
      </w:r>
      <w:r>
        <w:t>Raw MFE model output. Shows excursion potential. Display as percentage.</w:t>
      </w:r>
    </w:p>
    <w:p/>
    <w:p>
      <w:r>
        <w:rPr>
          <w:b/>
        </w:rPr>
        <w:t xml:space="preserve">Do NOT display in UI: </w:t>
      </w:r>
      <w:r>
        <w:t>P(hit predicted return) and P(hit predicted MFE). These are useful for internal decision-making but confusing for users -- a "good" opportunity showing only 58% chance of hitting its predicted return is misleading without context.</w:t>
      </w:r>
    </w:p>
    <w:p>
      <w:pPr>
        <w:pStyle w:val="Heading1"/>
      </w:pPr>
      <w:r>
        <w:t>6. Recommendations for Automated Trading</w:t>
      </w:r>
    </w:p>
    <w:p>
      <w:pPr>
        <w:pStyle w:val="Heading2"/>
      </w:pPr>
      <w:r>
        <w:t>Required Safeguards</w:t>
      </w:r>
    </w:p>
    <w:p>
      <w:pPr>
        <w:pStyle w:val="ListBullet"/>
      </w:pPr>
      <w:r>
        <w:rPr>
          <w:b/>
        </w:rPr>
        <w:t xml:space="preserve">Position sizing: </w:t>
      </w:r>
      <w:r>
        <w:t>No single position &gt; 5-10% of capital ($500-1000 on $10K). With ~78% WR and options that can go to zero, small positions are essential.</w:t>
      </w:r>
    </w:p>
    <w:p>
      <w:pPr>
        <w:pStyle w:val="ListBullet"/>
      </w:pPr>
      <w:r>
        <w:rPr>
          <w:b/>
        </w:rPr>
        <w:t xml:space="preserve">Max concurrent positions: </w:t>
      </w:r>
      <w:r>
        <w:t>3-4 as planned. ML_85+ gives ~200K opportunities/year (~800/day). Need secondary sorting (by predicted return, sector diversification) to select best 3-4.</w:t>
      </w:r>
    </w:p>
    <w:p>
      <w:pPr>
        <w:pStyle w:val="ListBullet"/>
      </w:pPr>
      <w:r>
        <w:rPr>
          <w:b/>
        </w:rPr>
        <w:t xml:space="preserve">Stop loss on options: </w:t>
      </w:r>
      <w:r>
        <w:t>40-50% premium loss. The -100% max drawdowns in historical data get amplified in options.</w:t>
      </w:r>
    </w:p>
    <w:p>
      <w:pPr>
        <w:pStyle w:val="ListBullet"/>
      </w:pPr>
      <w:r>
        <w:rPr>
          <w:b/>
        </w:rPr>
        <w:t xml:space="preserve">Sector limits: </w:t>
      </w:r>
      <w:r>
        <w:t>Max 2 per sector. The model does not account for correlated sector risk.</w:t>
      </w:r>
    </w:p>
    <w:p>
      <w:pPr>
        <w:pStyle w:val="ListBullet"/>
      </w:pPr>
      <w:r>
        <w:rPr>
          <w:b/>
        </w:rPr>
        <w:t xml:space="preserve">VIX circuit breaker: </w:t>
      </w:r>
      <w:r>
        <w:t>Do not score when VIX &gt; 35. The model was trained with these samples removed and has no data for panic regimes.</w:t>
      </w:r>
    </w:p>
    <w:p>
      <w:pPr>
        <w:pStyle w:val="Heading2"/>
      </w:pPr>
      <w:r>
        <w:t>Conservative Strategy at ML_85</w:t>
      </w:r>
    </w:p>
    <w:p>
      <w:r>
        <w:t>For $10K starting capital with options, the ML_85 threshold provides the best balance of selectivity and opportunity volume:</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Year</w:t>
            </w:r>
          </w:p>
        </w:tc>
        <w:tc>
          <w:tcPr>
            <w:tcW w:type="dxa" w:w="1994"/>
          </w:tcPr>
          <w:p>
            <w:pPr>
              <w:jc w:val="center"/>
            </w:pPr>
            <w:r/>
            <w:r>
              <w:rPr>
                <w:rFonts w:ascii="Calibri" w:hAnsi="Calibri"/>
                <w:b/>
                <w:sz w:val="18"/>
              </w:rPr>
              <w:t>ML_85 WR</w:t>
            </w:r>
          </w:p>
        </w:tc>
        <w:tc>
          <w:tcPr>
            <w:tcW w:type="dxa" w:w="1994"/>
          </w:tcPr>
          <w:p>
            <w:pPr>
              <w:jc w:val="center"/>
            </w:pPr>
            <w:r/>
            <w:r>
              <w:rPr>
                <w:rFonts w:ascii="Calibri" w:hAnsi="Calibri"/>
                <w:b/>
                <w:sz w:val="18"/>
              </w:rPr>
              <w:t>ML_85 Avg Return</w:t>
            </w:r>
          </w:p>
        </w:tc>
        <w:tc>
          <w:tcPr>
            <w:tcW w:type="dxa" w:w="1994"/>
          </w:tcPr>
          <w:p>
            <w:pPr>
              <w:jc w:val="center"/>
            </w:pPr>
            <w:r/>
            <w:r>
              <w:rPr>
                <w:rFonts w:ascii="Calibri" w:hAnsi="Calibri"/>
                <w:b/>
                <w:sz w:val="18"/>
              </w:rPr>
              <w:t>ML_85 Sharpe</w:t>
            </w:r>
          </w:p>
        </w:tc>
        <w:tc>
          <w:tcPr>
            <w:tcW w:type="dxa" w:w="1994"/>
          </w:tcPr>
          <w:p>
            <w:pPr>
              <w:jc w:val="center"/>
            </w:pPr>
            <w:r/>
            <w:r>
              <w:rPr>
                <w:rFonts w:ascii="Calibri" w:hAnsi="Calibri"/>
                <w:b/>
                <w:sz w:val="18"/>
              </w:rPr>
              <w:t>Trades Available</w:t>
            </w:r>
          </w:p>
        </w:tc>
      </w:tr>
      <w:tr>
        <w:tc>
          <w:tcPr>
            <w:tcW w:type="dxa" w:w="1994"/>
          </w:tcPr>
          <w:p>
            <w:pPr>
              <w:jc w:val="center"/>
            </w:pPr>
            <w:r/>
            <w:r>
              <w:rPr>
                <w:rFonts w:ascii="Calibri" w:hAnsi="Calibri"/>
                <w:b/>
                <w:sz w:val="18"/>
              </w:rPr>
              <w:t>2018</w:t>
            </w:r>
          </w:p>
        </w:tc>
        <w:tc>
          <w:tcPr>
            <w:tcW w:type="dxa" w:w="1994"/>
          </w:tcPr>
          <w:p>
            <w:pPr>
              <w:jc w:val="center"/>
            </w:pPr>
            <w:r/>
            <w:r>
              <w:rPr>
                <w:rFonts w:ascii="Calibri" w:hAnsi="Calibri"/>
                <w:sz w:val="18"/>
              </w:rPr>
              <w:t>80.2%</w:t>
            </w:r>
          </w:p>
        </w:tc>
        <w:tc>
          <w:tcPr>
            <w:tcW w:type="dxa" w:w="1994"/>
          </w:tcPr>
          <w:p>
            <w:pPr>
              <w:jc w:val="center"/>
            </w:pPr>
            <w:r/>
            <w:r>
              <w:rPr>
                <w:rFonts w:ascii="Calibri" w:hAnsi="Calibri"/>
                <w:sz w:val="18"/>
              </w:rPr>
              <w:t>3.34%</w:t>
            </w:r>
          </w:p>
        </w:tc>
        <w:tc>
          <w:tcPr>
            <w:tcW w:type="dxa" w:w="1994"/>
          </w:tcPr>
          <w:p>
            <w:pPr>
              <w:jc w:val="center"/>
            </w:pPr>
            <w:r/>
            <w:r>
              <w:rPr>
                <w:rFonts w:ascii="Calibri" w:hAnsi="Calibri"/>
                <w:sz w:val="18"/>
              </w:rPr>
              <w:t>8.11</w:t>
            </w:r>
          </w:p>
        </w:tc>
        <w:tc>
          <w:tcPr>
            <w:tcW w:type="dxa" w:w="1994"/>
          </w:tcPr>
          <w:p>
            <w:pPr>
              <w:jc w:val="center"/>
            </w:pPr>
            <w:r/>
            <w:r>
              <w:rPr>
                <w:rFonts w:ascii="Calibri" w:hAnsi="Calibri"/>
                <w:sz w:val="18"/>
              </w:rPr>
              <w:t>210K</w:t>
            </w:r>
          </w:p>
        </w:tc>
      </w:tr>
      <w:tr>
        <w:tc>
          <w:tcPr>
            <w:tcW w:type="dxa" w:w="1994"/>
          </w:tcPr>
          <w:p>
            <w:pPr>
              <w:jc w:val="center"/>
            </w:pPr>
            <w:r/>
            <w:r>
              <w:rPr>
                <w:rFonts w:ascii="Calibri" w:hAnsi="Calibri"/>
                <w:b/>
                <w:sz w:val="18"/>
              </w:rPr>
              <w:t>2019</w:t>
            </w:r>
          </w:p>
        </w:tc>
        <w:tc>
          <w:tcPr>
            <w:tcW w:type="dxa" w:w="1994"/>
          </w:tcPr>
          <w:p>
            <w:pPr>
              <w:jc w:val="center"/>
            </w:pPr>
            <w:r/>
            <w:r>
              <w:rPr>
                <w:rFonts w:ascii="Calibri" w:hAnsi="Calibri"/>
                <w:sz w:val="18"/>
              </w:rPr>
              <w:t>81.6%</w:t>
            </w:r>
          </w:p>
        </w:tc>
        <w:tc>
          <w:tcPr>
            <w:tcW w:type="dxa" w:w="1994"/>
          </w:tcPr>
          <w:p>
            <w:pPr>
              <w:jc w:val="center"/>
            </w:pPr>
            <w:r/>
            <w:r>
              <w:rPr>
                <w:rFonts w:ascii="Calibri" w:hAnsi="Calibri"/>
                <w:sz w:val="18"/>
              </w:rPr>
              <w:t>3.45%</w:t>
            </w:r>
          </w:p>
        </w:tc>
        <w:tc>
          <w:tcPr>
            <w:tcW w:type="dxa" w:w="1994"/>
          </w:tcPr>
          <w:p>
            <w:pPr>
              <w:jc w:val="center"/>
            </w:pPr>
            <w:r/>
            <w:r>
              <w:rPr>
                <w:rFonts w:ascii="Calibri" w:hAnsi="Calibri"/>
                <w:sz w:val="18"/>
              </w:rPr>
              <w:t>7.73</w:t>
            </w:r>
          </w:p>
        </w:tc>
        <w:tc>
          <w:tcPr>
            <w:tcW w:type="dxa" w:w="1994"/>
          </w:tcPr>
          <w:p>
            <w:pPr>
              <w:jc w:val="center"/>
            </w:pPr>
            <w:r/>
            <w:r>
              <w:rPr>
                <w:rFonts w:ascii="Calibri" w:hAnsi="Calibri"/>
                <w:sz w:val="18"/>
              </w:rPr>
              <w:t>213K</w:t>
            </w:r>
          </w:p>
        </w:tc>
      </w:tr>
      <w:tr>
        <w:tc>
          <w:tcPr>
            <w:tcW w:type="dxa" w:w="1994"/>
          </w:tcPr>
          <w:p>
            <w:pPr>
              <w:jc w:val="center"/>
            </w:pPr>
            <w:r/>
            <w:r>
              <w:rPr>
                <w:rFonts w:ascii="Calibri" w:hAnsi="Calibri"/>
                <w:b/>
                <w:sz w:val="18"/>
              </w:rPr>
              <w:t>2020</w:t>
            </w:r>
          </w:p>
        </w:tc>
        <w:tc>
          <w:tcPr>
            <w:tcW w:type="dxa" w:w="1994"/>
          </w:tcPr>
          <w:p>
            <w:pPr>
              <w:jc w:val="center"/>
            </w:pPr>
            <w:r/>
            <w:r>
              <w:rPr>
                <w:rFonts w:ascii="Calibri" w:hAnsi="Calibri"/>
                <w:sz w:val="18"/>
              </w:rPr>
              <w:t>81.8%</w:t>
            </w:r>
          </w:p>
        </w:tc>
        <w:tc>
          <w:tcPr>
            <w:tcW w:type="dxa" w:w="1994"/>
          </w:tcPr>
          <w:p>
            <w:pPr>
              <w:jc w:val="center"/>
            </w:pPr>
            <w:r/>
            <w:r>
              <w:rPr>
                <w:rFonts w:ascii="Calibri" w:hAnsi="Calibri"/>
                <w:sz w:val="18"/>
              </w:rPr>
              <w:t>7.06%</w:t>
            </w:r>
          </w:p>
        </w:tc>
        <w:tc>
          <w:tcPr>
            <w:tcW w:type="dxa" w:w="1994"/>
          </w:tcPr>
          <w:p>
            <w:pPr>
              <w:jc w:val="center"/>
            </w:pPr>
            <w:r/>
            <w:r>
              <w:rPr>
                <w:rFonts w:ascii="Calibri" w:hAnsi="Calibri"/>
                <w:sz w:val="18"/>
              </w:rPr>
              <w:t>10.67</w:t>
            </w:r>
          </w:p>
        </w:tc>
        <w:tc>
          <w:tcPr>
            <w:tcW w:type="dxa" w:w="1994"/>
          </w:tcPr>
          <w:p>
            <w:pPr>
              <w:jc w:val="center"/>
            </w:pPr>
            <w:r/>
            <w:r>
              <w:rPr>
                <w:rFonts w:ascii="Calibri" w:hAnsi="Calibri"/>
                <w:sz w:val="18"/>
              </w:rPr>
              <w:t>173K</w:t>
            </w:r>
          </w:p>
        </w:tc>
      </w:tr>
      <w:tr>
        <w:tc>
          <w:tcPr>
            <w:tcW w:type="dxa" w:w="1994"/>
          </w:tcPr>
          <w:p>
            <w:pPr>
              <w:jc w:val="center"/>
            </w:pPr>
            <w:r/>
            <w:r>
              <w:rPr>
                <w:rFonts w:ascii="Calibri" w:hAnsi="Calibri"/>
                <w:b/>
                <w:sz w:val="18"/>
              </w:rPr>
              <w:t>2021</w:t>
            </w:r>
          </w:p>
        </w:tc>
        <w:tc>
          <w:tcPr>
            <w:tcW w:type="dxa" w:w="1994"/>
          </w:tcPr>
          <w:p>
            <w:pPr>
              <w:jc w:val="center"/>
            </w:pPr>
            <w:r/>
            <w:r>
              <w:rPr>
                <w:rFonts w:ascii="Calibri" w:hAnsi="Calibri"/>
                <w:sz w:val="18"/>
              </w:rPr>
              <w:t>82.1%</w:t>
            </w:r>
          </w:p>
        </w:tc>
        <w:tc>
          <w:tcPr>
            <w:tcW w:type="dxa" w:w="1994"/>
          </w:tcPr>
          <w:p>
            <w:pPr>
              <w:jc w:val="center"/>
            </w:pPr>
            <w:r/>
            <w:r>
              <w:rPr>
                <w:rFonts w:ascii="Calibri" w:hAnsi="Calibri"/>
                <w:sz w:val="18"/>
              </w:rPr>
              <w:t>4.39%</w:t>
            </w:r>
          </w:p>
        </w:tc>
        <w:tc>
          <w:tcPr>
            <w:tcW w:type="dxa" w:w="1994"/>
          </w:tcPr>
          <w:p>
            <w:pPr>
              <w:jc w:val="center"/>
            </w:pPr>
            <w:r/>
            <w:r>
              <w:rPr>
                <w:rFonts w:ascii="Calibri" w:hAnsi="Calibri"/>
                <w:sz w:val="18"/>
              </w:rPr>
              <w:t>9.95</w:t>
            </w:r>
          </w:p>
        </w:tc>
        <w:tc>
          <w:tcPr>
            <w:tcW w:type="dxa" w:w="1994"/>
          </w:tcPr>
          <w:p>
            <w:pPr>
              <w:jc w:val="center"/>
            </w:pPr>
            <w:r/>
            <w:r>
              <w:rPr>
                <w:rFonts w:ascii="Calibri" w:hAnsi="Calibri"/>
                <w:sz w:val="18"/>
              </w:rPr>
              <w:t>212K</w:t>
            </w:r>
          </w:p>
        </w:tc>
      </w:tr>
      <w:tr>
        <w:tc>
          <w:tcPr>
            <w:tcW w:type="dxa" w:w="1994"/>
          </w:tcPr>
          <w:p>
            <w:pPr>
              <w:jc w:val="center"/>
            </w:pPr>
            <w:r/>
            <w:r>
              <w:rPr>
                <w:rFonts w:ascii="Calibri" w:hAnsi="Calibri"/>
                <w:b/>
                <w:sz w:val="18"/>
              </w:rPr>
              <w:t>2022</w:t>
            </w:r>
          </w:p>
        </w:tc>
        <w:tc>
          <w:tcPr>
            <w:tcW w:type="dxa" w:w="1994"/>
          </w:tcPr>
          <w:p>
            <w:pPr>
              <w:jc w:val="center"/>
            </w:pPr>
            <w:r/>
            <w:r>
              <w:rPr>
                <w:rFonts w:ascii="Calibri" w:hAnsi="Calibri"/>
                <w:sz w:val="18"/>
              </w:rPr>
              <w:t>89.2%</w:t>
            </w:r>
          </w:p>
        </w:tc>
        <w:tc>
          <w:tcPr>
            <w:tcW w:type="dxa" w:w="1994"/>
          </w:tcPr>
          <w:p>
            <w:pPr>
              <w:jc w:val="center"/>
            </w:pPr>
            <w:r/>
            <w:r>
              <w:rPr>
                <w:rFonts w:ascii="Calibri" w:hAnsi="Calibri"/>
                <w:sz w:val="18"/>
              </w:rPr>
              <w:t>7.78%</w:t>
            </w:r>
          </w:p>
        </w:tc>
        <w:tc>
          <w:tcPr>
            <w:tcW w:type="dxa" w:w="1994"/>
          </w:tcPr>
          <w:p>
            <w:pPr>
              <w:jc w:val="center"/>
            </w:pPr>
            <w:r/>
            <w:r>
              <w:rPr>
                <w:rFonts w:ascii="Calibri" w:hAnsi="Calibri"/>
                <w:sz w:val="18"/>
              </w:rPr>
              <w:t>14.46</w:t>
            </w:r>
          </w:p>
        </w:tc>
        <w:tc>
          <w:tcPr>
            <w:tcW w:type="dxa" w:w="1994"/>
          </w:tcPr>
          <w:p>
            <w:pPr>
              <w:jc w:val="center"/>
            </w:pPr>
            <w:r/>
            <w:r>
              <w:rPr>
                <w:rFonts w:ascii="Calibri" w:hAnsi="Calibri"/>
                <w:sz w:val="18"/>
              </w:rPr>
              <w:t>210K</w:t>
            </w:r>
          </w:p>
        </w:tc>
      </w:tr>
      <w:tr>
        <w:tc>
          <w:tcPr>
            <w:tcW w:type="dxa" w:w="1994"/>
          </w:tcPr>
          <w:p>
            <w:pPr>
              <w:jc w:val="center"/>
            </w:pPr>
            <w:r/>
            <w:r>
              <w:rPr>
                <w:rFonts w:ascii="Calibri" w:hAnsi="Calibri"/>
                <w:b/>
                <w:sz w:val="18"/>
              </w:rPr>
              <w:t>2023</w:t>
            </w:r>
          </w:p>
        </w:tc>
        <w:tc>
          <w:tcPr>
            <w:tcW w:type="dxa" w:w="1994"/>
          </w:tcPr>
          <w:p>
            <w:pPr>
              <w:jc w:val="center"/>
            </w:pPr>
            <w:r/>
            <w:r>
              <w:rPr>
                <w:rFonts w:ascii="Calibri" w:hAnsi="Calibri"/>
                <w:sz w:val="18"/>
              </w:rPr>
              <w:t>84.4%</w:t>
            </w:r>
          </w:p>
        </w:tc>
        <w:tc>
          <w:tcPr>
            <w:tcW w:type="dxa" w:w="1994"/>
          </w:tcPr>
          <w:p>
            <w:pPr>
              <w:jc w:val="center"/>
            </w:pPr>
            <w:r/>
            <w:r>
              <w:rPr>
                <w:rFonts w:ascii="Calibri" w:hAnsi="Calibri"/>
                <w:sz w:val="18"/>
              </w:rPr>
              <w:t>5.93%</w:t>
            </w:r>
          </w:p>
        </w:tc>
        <w:tc>
          <w:tcPr>
            <w:tcW w:type="dxa" w:w="1994"/>
          </w:tcPr>
          <w:p>
            <w:pPr>
              <w:jc w:val="center"/>
            </w:pPr>
            <w:r/>
            <w:r>
              <w:rPr>
                <w:rFonts w:ascii="Calibri" w:hAnsi="Calibri"/>
                <w:sz w:val="18"/>
              </w:rPr>
              <w:t>11.30</w:t>
            </w:r>
          </w:p>
        </w:tc>
        <w:tc>
          <w:tcPr>
            <w:tcW w:type="dxa" w:w="1994"/>
          </w:tcPr>
          <w:p>
            <w:pPr>
              <w:jc w:val="center"/>
            </w:pPr>
            <w:r/>
            <w:r>
              <w:rPr>
                <w:rFonts w:ascii="Calibri" w:hAnsi="Calibri"/>
                <w:sz w:val="18"/>
              </w:rPr>
              <w:t>212K</w:t>
            </w:r>
          </w:p>
        </w:tc>
      </w:tr>
      <w:tr>
        <w:tc>
          <w:tcPr>
            <w:tcW w:type="dxa" w:w="1994"/>
          </w:tcPr>
          <w:p>
            <w:pPr>
              <w:jc w:val="center"/>
            </w:pPr>
            <w:r/>
            <w:r>
              <w:rPr>
                <w:rFonts w:ascii="Calibri" w:hAnsi="Calibri"/>
                <w:b/>
                <w:sz w:val="18"/>
              </w:rPr>
              <w:t>2024</w:t>
            </w:r>
          </w:p>
        </w:tc>
        <w:tc>
          <w:tcPr>
            <w:tcW w:type="dxa" w:w="1994"/>
          </w:tcPr>
          <w:p>
            <w:pPr>
              <w:jc w:val="center"/>
            </w:pPr>
            <w:r/>
            <w:r>
              <w:rPr>
                <w:rFonts w:ascii="Calibri" w:hAnsi="Calibri"/>
                <w:sz w:val="18"/>
              </w:rPr>
              <w:t>78.3%</w:t>
            </w:r>
          </w:p>
        </w:tc>
        <w:tc>
          <w:tcPr>
            <w:tcW w:type="dxa" w:w="1994"/>
          </w:tcPr>
          <w:p>
            <w:pPr>
              <w:jc w:val="center"/>
            </w:pPr>
            <w:r/>
            <w:r>
              <w:rPr>
                <w:rFonts w:ascii="Calibri" w:hAnsi="Calibri"/>
                <w:sz w:val="18"/>
              </w:rPr>
              <w:t>4.62%</w:t>
            </w:r>
          </w:p>
        </w:tc>
        <w:tc>
          <w:tcPr>
            <w:tcW w:type="dxa" w:w="1994"/>
          </w:tcPr>
          <w:p>
            <w:pPr>
              <w:jc w:val="center"/>
            </w:pPr>
            <w:r/>
            <w:r>
              <w:rPr>
                <w:rFonts w:ascii="Calibri" w:hAnsi="Calibri"/>
                <w:sz w:val="18"/>
              </w:rPr>
              <w:t>8.72</w:t>
            </w:r>
          </w:p>
        </w:tc>
        <w:tc>
          <w:tcPr>
            <w:tcW w:type="dxa" w:w="1994"/>
          </w:tcPr>
          <w:p>
            <w:pPr>
              <w:jc w:val="center"/>
            </w:pPr>
            <w:r/>
            <w:r>
              <w:rPr>
                <w:rFonts w:ascii="Calibri" w:hAnsi="Calibri"/>
                <w:sz w:val="18"/>
              </w:rPr>
              <w:t>212K</w:t>
            </w:r>
          </w:p>
        </w:tc>
      </w:tr>
      <w:tr>
        <w:tc>
          <w:tcPr>
            <w:tcW w:type="dxa" w:w="1994"/>
          </w:tcPr>
          <w:p>
            <w:pPr>
              <w:jc w:val="center"/>
            </w:pPr>
            <w:r/>
            <w:r>
              <w:rPr>
                <w:rFonts w:ascii="Calibri" w:hAnsi="Calibri"/>
                <w:b/>
                <w:sz w:val="18"/>
              </w:rPr>
              <w:t>2025</w:t>
            </w:r>
          </w:p>
        </w:tc>
        <w:tc>
          <w:tcPr>
            <w:tcW w:type="dxa" w:w="1994"/>
          </w:tcPr>
          <w:p>
            <w:pPr>
              <w:jc w:val="center"/>
            </w:pPr>
            <w:r/>
            <w:r>
              <w:rPr>
                <w:rFonts w:ascii="Calibri" w:hAnsi="Calibri"/>
                <w:sz w:val="18"/>
              </w:rPr>
              <w:t>81.7%</w:t>
            </w:r>
          </w:p>
        </w:tc>
        <w:tc>
          <w:tcPr>
            <w:tcW w:type="dxa" w:w="1994"/>
          </w:tcPr>
          <w:p>
            <w:pPr>
              <w:jc w:val="center"/>
            </w:pPr>
            <w:r/>
            <w:r>
              <w:rPr>
                <w:rFonts w:ascii="Calibri" w:hAnsi="Calibri"/>
                <w:sz w:val="18"/>
              </w:rPr>
              <w:t>4.93%</w:t>
            </w:r>
          </w:p>
        </w:tc>
        <w:tc>
          <w:tcPr>
            <w:tcW w:type="dxa" w:w="1994"/>
          </w:tcPr>
          <w:p>
            <w:pPr>
              <w:jc w:val="center"/>
            </w:pPr>
            <w:r/>
            <w:r>
              <w:rPr>
                <w:rFonts w:ascii="Calibri" w:hAnsi="Calibri"/>
                <w:sz w:val="18"/>
              </w:rPr>
              <w:t>9.13</w:t>
            </w:r>
          </w:p>
        </w:tc>
        <w:tc>
          <w:tcPr>
            <w:tcW w:type="dxa" w:w="1994"/>
          </w:tcPr>
          <w:p>
            <w:pPr>
              <w:jc w:val="center"/>
            </w:pPr>
            <w:r/>
            <w:r>
              <w:rPr>
                <w:rFonts w:ascii="Calibri" w:hAnsi="Calibri"/>
                <w:sz w:val="18"/>
              </w:rPr>
              <w:t>209K</w:t>
            </w:r>
          </w:p>
        </w:tc>
      </w:tr>
    </w:tbl>
    <w:p/>
    <w:p>
      <w:r>
        <w:t>ML_85 delivers ~82% average win rate, ~5.2% average return per trade, Sharpe ~10. With 3-4 concurrent positions on 10-30 day patterns, expect roughly 40-80 trades per year. At $500 per position using options, estimated $4K-8K annual return if historical patterns hold. Expect months with drawdowns -- the win rate is not evenly distributed across calendar periods.</w:t>
      </w:r>
    </w:p>
    <w:p>
      <w:pPr>
        <w:pStyle w:val="Heading2"/>
      </w:pPr>
      <w:r>
        <w:t>Stock Portfolio Strategy (Larger Capital)</w:t>
      </w:r>
    </w:p>
    <w:p>
      <w:pPr/>
      <w:r>
        <w:t>For deploying millions in a stock rotation strategy, the calculus changes fundamentally. No theta decay means holding cost is near zero. With sufficient capital for 20-50 concurrent positions, all tiers (10-30, 31-60, 61-90) feed a single diversified portfolio.</w:t>
      </w:r>
    </w:p>
    <w:p>
      <w:pPr/>
      <w:r>
        <w:t>Portfolio construction: 10-30 day positions serve as tactical trades turning over every 2-4 weeks. 31-60 day positions are swing trades rotating monthly. 61-90 day positions form a quarterly rotation layer. Position sizing at 2-5% of portfolio per trade, with sector limits and correlation management.</w:t>
      </w:r>
    </w:p>
    <w:p>
      <w:pPr/>
      <w:r>
        <w:t>At scale with $2M deployed across 40 positions (avg $50K each): if average ML_85 return is ~7% over 60 days per position, each cycle generates ~$3,500 per position. With 80%+ win rate, losses are infrequent. The longer tiers (61-90) likely show even higher magnitude returns, making them valuable for stock portfolios even though they are less capital-efficient for options due to theta decay.</w:t>
      </w:r>
    </w:p>
    <w:p>
      <w:pPr>
        <w:pStyle w:val="Heading1"/>
      </w:pPr>
      <w:r>
        <w:t>7. Model Architecture Summary</w:t>
      </w:r>
    </w:p>
    <w:p>
      <w:pPr>
        <w:pStyle w:val="ListBullet"/>
      </w:pPr>
      <w:r>
        <w:rPr>
          <w:b/>
        </w:rPr>
        <w:t xml:space="preserve">Ensemble: </w:t>
      </w:r>
      <w:r>
        <w:t>3 gradient boosting models (LightGBM + XGBoost + CatBoost), predictions averaged</w:t>
      </w:r>
    </w:p>
    <w:p>
      <w:pPr>
        <w:pStyle w:val="ListBullet"/>
      </w:pPr>
      <w:r>
        <w:rPr>
          <w:b/>
        </w:rPr>
        <w:t xml:space="preserve">Two models per tier: </w:t>
      </w:r>
      <w:r>
        <w:t>SR (predicts actual return) and MFE (predicts max favorable excursion)</w:t>
      </w:r>
    </w:p>
    <w:p>
      <w:pPr>
        <w:pStyle w:val="ListBullet"/>
      </w:pPr>
      <w:r>
        <w:rPr>
          <w:b/>
        </w:rPr>
        <w:t xml:space="preserve">Features: </w:t>
      </w:r>
      <w:r>
        <w:t>59 features across 6 groups: pattern intrinsic, technical, market regime, context, calendar, interactions</w:t>
      </w:r>
    </w:p>
    <w:p>
      <w:pPr>
        <w:pStyle w:val="ListBullet"/>
      </w:pPr>
      <w:r>
        <w:t>Training data: 34.7M samples (10-30 tier), 54.4M samples (31-60 tier), 59.0M samples (61-90 tier), 475 S&amp;P 500 stocks, 26 years (2000-2025)</w:t>
      </w:r>
    </w:p>
    <w:p>
      <w:pPr>
        <w:pStyle w:val="ListBullet"/>
      </w:pPr>
      <w:r>
        <w:rPr>
          <w:b/>
        </w:rPr>
        <w:t xml:space="preserve">Hyperparameters: </w:t>
      </w:r>
      <w:r>
        <w:t>Optuna-tuned (75 trials per target on 2M sample subset)</w:t>
      </w:r>
    </w:p>
    <w:p>
      <w:pPr>
        <w:pStyle w:val="ListBullet"/>
      </w:pPr>
      <w:r>
        <w:rPr>
          <w:b/>
        </w:rPr>
        <w:t xml:space="preserve">Validation: </w:t>
      </w:r>
      <w:r>
        <w:t>8-year expanding-window walk-forward (train 2000-Y, validate Y+1)</w:t>
      </w:r>
    </w:p>
    <w:p>
      <w:pPr>
        <w:pStyle w:val="ListBullet"/>
      </w:pPr>
      <w:r>
        <w:rPr>
          <w:b/>
        </w:rPr>
        <w:t xml:space="preserve">VIX filter: </w:t>
      </w:r>
      <w:r>
        <w:t>Samples with VIX &gt; 35 removed from training (~4.8% of data)</w:t>
      </w:r>
    </w:p>
    <w:p>
      <w:pPr>
        <w:pStyle w:val="ListBullet"/>
      </w:pPr>
      <w:r>
        <w:t>Multi-tier: 10-30, 31-60, and 61-90 fully trained (SR + MFE each). 91-120 deferred.</w:t>
      </w:r>
    </w:p>
    <w:p>
      <w:pPr>
        <w:pStyle w:val="Heading1"/>
      </w:pPr>
      <w:r>
        <w:t xml:space="preserve">ETF Integration Experiment</w:t>
      </w:r>
    </w:p>
    <w:p>
      <w:pPr>
        <w:pStyle w:val="Normal"/>
      </w:pPr>
      <w:r>
        <w:t xml:space="preserve">Tested adding 157 ETFs (sector, commodity, broad market, international, fixed income) to the 10-30 day training data. Combined dataset grew from 34.7M to 45.1M samples. Used the same 59 features with no ETF-specific additions.</w:t>
      </w:r>
    </w:p>
    <w:p>
      <w:pPr>
        <w:pStyle w:val="Normal"/>
      </w:pPr>
    </w:p>
    <w:p>
      <w:pPr>
        <w:pStyle w:val="Normal"/>
      </w:pPr>
      <w:r>
        <w:rPr>
          <w:b/>
        </w:rPr>
        <w:t xml:space="preserve">Result: ETFs diluted the model.</w:t>
      </w:r>
    </w:p>
    <w:p>
      <w:pPr>
        <w:pStyle w:val="Normal"/>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Metric</w:t>
            </w:r>
          </w:p>
        </w:tc>
        <w:tc>
          <w:p>
            <w:r>
              <w:rPr>
                <w:b/>
              </w:rPr>
              <w:t xml:space="preserve">Stocks Only</w:t>
            </w:r>
          </w:p>
        </w:tc>
        <w:tc>
          <w:p>
            <w:r>
              <w:rPr>
                <w:b/>
              </w:rPr>
              <w:t xml:space="preserve">Stocks + ETFs</w:t>
            </w:r>
          </w:p>
        </w:tc>
        <w:tc>
          <w:p>
            <w:r>
              <w:rPr>
                <w:b/>
              </w:rPr>
              <w:t xml:space="preserve">Delta</w:t>
            </w:r>
          </w:p>
        </w:tc>
      </w:tr>
      <w:tr>
        <w:tc>
          <w:p>
            <w:r>
              <w:t xml:space="preserve">Avg AUC</w:t>
            </w:r>
          </w:p>
        </w:tc>
        <w:tc>
          <w:p>
            <w:r>
              <w:t xml:space="preserve">0.627</w:t>
            </w:r>
          </w:p>
        </w:tc>
        <w:tc>
          <w:p>
            <w:r>
              <w:t xml:space="preserve">0.600</w:t>
            </w:r>
          </w:p>
        </w:tc>
        <w:tc>
          <w:p>
            <w:r>
              <w:t xml:space="preserve">-0.027</w:t>
            </w:r>
          </w:p>
        </w:tc>
      </w:tr>
      <w:tr>
        <w:tc>
          <w:p>
            <w:r>
              <w:t xml:space="preserve">Avg ML_70 WR</w:t>
            </w:r>
          </w:p>
        </w:tc>
        <w:tc>
          <w:p>
            <w:r>
              <w:t xml:space="preserve">79.3%</w:t>
            </w:r>
          </w:p>
        </w:tc>
        <w:tc>
          <w:p>
            <w:r>
              <w:t xml:space="preserve">77.9%</w:t>
            </w:r>
          </w:p>
        </w:tc>
        <w:tc>
          <w:p>
            <w:r>
              <w:t xml:space="preserve">-1.4pp</w:t>
            </w:r>
          </w:p>
        </w:tc>
      </w:tr>
      <w:tr>
        <w:tc>
          <w:p>
            <w:r>
              <w:t xml:space="preserve">Avg ML_70 Sharpe</w:t>
            </w:r>
          </w:p>
        </w:tc>
        <w:tc>
          <w:p>
            <w:r>
              <w:t xml:space="preserve">8.49</w:t>
            </w:r>
          </w:p>
        </w:tc>
        <w:tc>
          <w:p>
            <w:r>
              <w:t xml:space="preserve">7.93</w:t>
            </w:r>
          </w:p>
        </w:tc>
        <w:tc>
          <w:p>
            <w:r>
              <w:t xml:space="preserve">-0.56</w:t>
            </w:r>
          </w:p>
        </w:tc>
      </w:tr>
    </w:tbl>
    <w:p>
      <w:pPr>
        <w:pStyle w:val="Normal"/>
      </w:pPr>
    </w:p>
    <w:p>
      <w:pPr>
        <w:pStyle w:val="Normal"/>
      </w:pPr>
      <w:r>
        <w:t xml:space="preserve">ETFs have different seasonal dynamics than individual stocks -- they track baskets/indices rather than single companies with earnings cycles and company-specific catalysts.</w:t>
      </w:r>
    </w:p>
    <w:p>
      <w:pPr>
        <w:pStyle w:val="Normal"/>
      </w:pPr>
    </w:p>
    <w:p>
      <w:pPr>
        <w:pStyle w:val="Normal"/>
      </w:pPr>
      <w:r>
        <w:rPr>
          <w:b/>
        </w:rPr>
        <w:t xml:space="preserve">Key Discovery: </w:t>
      </w:r>
      <w:r>
        <w:t xml:space="preserve">The stocks-only model scores ETF patterns well at inference time without retraining. The production feature engine was patched to resolve ETF price CSVs and opportunity files automatically. Testing sector ETFs (XLK, XLF, XLE), commodity ETFs (GLD), and broad market ETFs (QQQ, IWM) produced scores in the same range as stocks (63-95), with appropriate differentiation (TLT/fixed income scored lowest at 63).</w:t>
      </w:r>
    </w:p>
    <w:p>
      <w:pPr>
        <w:pStyle w:val="Normal"/>
      </w:pPr>
    </w:p>
    <w:p>
      <w:pPr>
        <w:pStyle w:val="Normal"/>
      </w:pPr>
      <w:r>
        <w:rPr>
          <w:b/>
        </w:rPr>
        <w:t xml:space="preserve">Decision: </w:t>
      </w:r>
      <w:r>
        <w:t xml:space="preserve">Keep stocks-only training data. Score ETFs at inference time using the existing model. No retraining or ETF-specific features needed.</w:t>
      </w:r>
    </w:p>
    <w:p>
      <w:pPr>
        <w:pStyle w:val="Heading1"/>
      </w:pPr>
      <w:r>
        <w:t>9. Bottom Line</w:t>
      </w:r>
    </w:p>
    <w:p>
      <w:r>
        <w:t>The model is a legitimate edge, not a crystal ball. It takes seasonal patterns that already have a ~65-70% base win rate and reliably pushes them to ~78-83% by identifying which patterns are most likely to work in current market conditions. The edge is small per trade but consistent across 8 out-of-sample years spanning very different market regimes. The multi-tier architecture (10-30, 31-60, 61-90) provides coverage across holding periods for both options and stock strategies.</w:t>
      </w:r>
    </w:p>
    <w:p/>
    <w:p>
      <w:r>
        <w:rPr>
          <w:b/>
        </w:rPr>
        <w:t xml:space="preserve">Strongest endorsement: </w:t>
      </w:r>
      <w:r>
        <w:t>The model has never had a losing year at ML_70 or above. Not once in 8 years of true out-of-sample testing.</w:t>
      </w:r>
    </w:p>
    <w:p/>
    <w:p>
      <w:r>
        <w:rPr>
          <w:b/>
        </w:rPr>
        <w:t xml:space="preserve">Biggest risk: </w:t>
      </w:r>
      <w:r>
        <w:t>Individual trade losses can be large (especially with options), and the model cannot prevent them. Risk management is not optional -- it IS the strategy. The model selects; risk management protects.</w:t>
      </w:r>
    </w:p>
    <w:p/>
    <w:p>
      <w:r>
        <w:t>Production readiness: READY for TradeWave UI scoring (all tiers). READY for options trading with safeguards (10-30, 31-60). READY for stock portfolio rotation (all tiers including 61-90).</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