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TradeWave Automated Trading System</w:t>
      </w:r>
    </w:p>
    <w:p>
      <w:r>
        <w:t>Strategy Assessment</w:t>
      </w:r>
    </w:p>
    <w:p>
      <w:r>
        <w:t>Architecture, Edge, Backtest Performance, and Production Strategy</w:t>
      </w:r>
    </w:p>
    <w:p>
      <w:r>
        <w:t>April 2026  |  Confidential -- For Authorized Recipients Only</w:t>
      </w:r>
    </w:p>
    <w:p/>
    <w:p>
      <w:pPr>
        <w:pStyle w:val="Heading1"/>
      </w:pPr>
      <w:r>
        <w:t>1. Executive Summary</w:t>
      </w:r>
    </w:p>
    <w:p>
      <w:r>
        <w:t>TradeWave is a fully automated equity trading system that exploits seasonal patterns in S&amp;P 500 stocks using a machine learning ensemble. The system identifies historical seasonal patterns -- recurring price movements tied to specific calendar periods -- and uses a 3-model ML ensemble (LightGBM, XGBoost, CatBoost) to score each pattern's probability of success given current market conditions. Only top-ranked patterns are selected for trading, creating a highly selective filter that separates persistent, regime-appropriate seasonal effects from noise.</w:t>
      </w:r>
    </w:p>
    <w:p>
      <w:r>
        <w:t>The ML scoring engine was retrained in April 2026 (V3) with 62 features across 148 million training samples spanning all three holding-period tiers (10-30 day, 31-60 day, 61-90 day). New V3 features include crude oil, gold, and US Dollar Index rate-of-change as macro regime indicators. Walk-forward validation across 2018-2025 shows average AUC of 0.627 for the 10-30 day tier with 79.3% win rate at the ML_70 threshold.</w:t>
      </w:r>
    </w:p>
    <w:p>
      <w:r>
        <w:t>Two distinct strategy configurations are in use and should not be conflated: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Dimension</w:t>
            </w:r>
          </w:p>
        </w:tc>
        <w:tc>
          <w:tcPr>
            <w:tcW w:type="dxa" w:w="2880"/>
          </w:tcPr>
          <w:p>
            <w:r>
              <w:rPr>
                <w:b/>
              </w:rPr>
              <w:t>Auto Trading (Live Simulation)</w:t>
            </w:r>
          </w:p>
        </w:tc>
        <w:tc>
          <w:tcPr>
            <w:tcW w:type="dxa" w:w="2880"/>
          </w:tcPr>
          <w:p>
            <w:r>
              <w:rPr>
                <w:b/>
              </w:rPr>
              <w:t>Research Best (Codex V4)</w:t>
            </w:r>
          </w:p>
        </w:tc>
      </w:tr>
      <w:tr>
        <w:tc>
          <w:tcPr>
            <w:tcW w:type="dxa" w:w="2880"/>
          </w:tcPr>
          <w:p>
            <w:r>
              <w:t>Config</w:t>
            </w:r>
          </w:p>
        </w:tc>
        <w:tc>
          <w:tcPr>
            <w:tcW w:type="dxa" w:w="2880"/>
          </w:tcPr>
          <w:p>
            <w:r>
              <w:t>S21 + Best-4 enhanced</w:t>
            </w:r>
          </w:p>
        </w:tc>
        <w:tc>
          <w:tcPr>
            <w:tcW w:type="dxa" w:w="2880"/>
          </w:tcPr>
          <w:p>
            <w:r>
              <w:t>V4_STK_A_05_skip_monday (combined L+S)</w:t>
            </w:r>
          </w:p>
        </w:tc>
      </w:tr>
      <w:tr>
        <w:tc>
          <w:tcPr>
            <w:tcW w:type="dxa" w:w="2880"/>
          </w:tcPr>
          <w:p>
            <w:r>
              <w:t>Direction</w:t>
            </w:r>
          </w:p>
        </w:tc>
        <w:tc>
          <w:tcPr>
            <w:tcW w:type="dxa" w:w="2880"/>
          </w:tcPr>
          <w:p>
            <w:r>
              <w:t>Long only</w:t>
            </w:r>
          </w:p>
        </w:tc>
        <w:tc>
          <w:tcPr>
            <w:tcW w:type="dxa" w:w="2880"/>
          </w:tcPr>
          <w:p>
            <w:r>
              <w:t>Long + Short</w:t>
            </w:r>
          </w:p>
        </w:tc>
      </w:tr>
      <w:tr>
        <w:tc>
          <w:tcPr>
            <w:tcW w:type="dxa" w:w="2880"/>
          </w:tcPr>
          <w:p>
            <w:r>
              <w:t>Exit</w:t>
            </w:r>
          </w:p>
        </w:tc>
        <w:tc>
          <w:tcPr>
            <w:tcW w:type="dxa" w:w="2880"/>
          </w:tcPr>
          <w:p>
            <w:r>
              <w:t>EP: fixed 6% profit target</w:t>
            </w:r>
          </w:p>
        </w:tc>
        <w:tc>
          <w:tcPr>
            <w:tcW w:type="dxa" w:w="2880"/>
          </w:tcPr>
          <w:p>
            <w:r>
              <w:t>target6_atr2: 6% profit + 2x ATR floor</w:t>
            </w:r>
          </w:p>
        </w:tc>
      </w:tr>
      <w:tr>
        <w:tc>
          <w:tcPr>
            <w:tcW w:type="dxa" w:w="2880"/>
          </w:tcPr>
          <w:p>
            <w:r>
              <w:t>Sizing</w:t>
            </w:r>
          </w:p>
        </w:tc>
        <w:tc>
          <w:tcPr>
            <w:tcW w:type="dxa" w:w="2880"/>
          </w:tcPr>
          <w:p>
            <w:r>
              <w:t>SK (Kelly-based)</w:t>
            </w:r>
          </w:p>
        </w:tc>
        <w:tc>
          <w:tcPr>
            <w:tcW w:type="dxa" w:w="2880"/>
          </w:tcPr>
          <w:p>
            <w:r>
              <w:t>vol_inverse (volatility-scaled)</w:t>
            </w:r>
          </w:p>
        </w:tc>
      </w:tr>
      <w:tr>
        <w:tc>
          <w:tcPr>
            <w:tcW w:type="dxa" w:w="2880"/>
          </w:tcPr>
          <w:p>
            <w:r>
              <w:t>Sharpe Ratio</w:t>
            </w:r>
          </w:p>
        </w:tc>
        <w:tc>
          <w:tcPr>
            <w:tcW w:type="dxa" w:w="2880"/>
          </w:tcPr>
          <w:p>
            <w:r>
              <w:t>4.22</w:t>
            </w:r>
          </w:p>
        </w:tc>
        <w:tc>
          <w:tcPr>
            <w:tcW w:type="dxa" w:w="2880"/>
          </w:tcPr>
          <w:p>
            <w:r>
              <w:t>7.46</w:t>
            </w:r>
          </w:p>
        </w:tc>
      </w:tr>
      <w:tr>
        <w:tc>
          <w:tcPr>
            <w:tcW w:type="dxa" w:w="2880"/>
          </w:tcPr>
          <w:p>
            <w:r>
              <w:t>CAGR</w:t>
            </w:r>
          </w:p>
        </w:tc>
        <w:tc>
          <w:tcPr>
            <w:tcW w:type="dxa" w:w="2880"/>
          </w:tcPr>
          <w:p>
            <w:r>
              <w:t>~80%</w:t>
            </w:r>
          </w:p>
        </w:tc>
        <w:tc>
          <w:tcPr>
            <w:tcW w:type="dxa" w:w="2880"/>
          </w:tcPr>
          <w:p>
            <w:r>
              <w:t>36.32%</w:t>
            </w:r>
          </w:p>
        </w:tc>
      </w:tr>
      <w:tr>
        <w:tc>
          <w:tcPr>
            <w:tcW w:type="dxa" w:w="2880"/>
          </w:tcPr>
          <w:p>
            <w:r>
              <w:t>Max Drawdown</w:t>
            </w:r>
          </w:p>
        </w:tc>
        <w:tc>
          <w:tcPr>
            <w:tcW w:type="dxa" w:w="2880"/>
          </w:tcPr>
          <w:p>
            <w:r>
              <w:t>-7.4%</w:t>
            </w:r>
          </w:p>
        </w:tc>
        <w:tc>
          <w:tcPr>
            <w:tcW w:type="dxa" w:w="2880"/>
          </w:tcPr>
          <w:p>
            <w:r>
              <w:t>-1.84%</w:t>
            </w:r>
          </w:p>
        </w:tc>
      </w:tr>
      <w:tr>
        <w:tc>
          <w:tcPr>
            <w:tcW w:type="dxa" w:w="2880"/>
          </w:tcPr>
          <w:p>
            <w:r>
              <w:t>Win Rate</w:t>
            </w:r>
          </w:p>
        </w:tc>
        <w:tc>
          <w:tcPr>
            <w:tcW w:type="dxa" w:w="2880"/>
          </w:tcPr>
          <w:p>
            <w:r>
              <w:t>~62%</w:t>
            </w:r>
          </w:p>
        </w:tc>
        <w:tc>
          <w:tcPr>
            <w:tcW w:type="dxa" w:w="2880"/>
          </w:tcPr>
          <w:p>
            <w:r>
              <w:t>85.9%</w:t>
            </w:r>
          </w:p>
        </w:tc>
      </w:tr>
      <w:tr>
        <w:tc>
          <w:tcPr>
            <w:tcW w:type="dxa" w:w="2880"/>
          </w:tcPr>
          <w:p>
            <w:r>
              <w:t>All Years Profitable</w:t>
            </w:r>
          </w:p>
        </w:tc>
        <w:tc>
          <w:tcPr>
            <w:tcW w:type="dxa" w:w="2880"/>
          </w:tcPr>
          <w:p>
            <w:r>
              <w:t>Yes (8 of 8)</w:t>
            </w:r>
          </w:p>
        </w:tc>
        <w:tc>
          <w:tcPr>
            <w:tcW w:type="dxa" w:w="2880"/>
          </w:tcPr>
          <w:p>
            <w:r>
              <w:t>Yes (8 of 8)</w:t>
            </w:r>
          </w:p>
        </w:tc>
      </w:tr>
      <w:tr>
        <w:tc>
          <w:tcPr>
            <w:tcW w:type="dxa" w:w="2880"/>
          </w:tcPr>
          <w:p>
            <w:r>
              <w:t>Status</w:t>
            </w:r>
          </w:p>
        </w:tc>
        <w:tc>
          <w:tcPr>
            <w:tcW w:type="dxa" w:w="2880"/>
          </w:tcPr>
          <w:p>
            <w:r>
              <w:t>Live simulation</w:t>
            </w:r>
          </w:p>
        </w:tc>
        <w:tc>
          <w:tcPr>
            <w:tcW w:type="dxa" w:w="2880"/>
          </w:tcPr>
          <w:p>
            <w:r>
              <w:t>Research / future upgrade target</w:t>
            </w:r>
          </w:p>
        </w:tc>
      </w:tr>
    </w:tbl>
    <w:p/>
    <w:p>
      <w:r>
        <w:t>The auto trading system uses the original S21 configuration because it was implemented before the Codex research was completed and produces higher absolute CAGR (~80%) at higher drawdown. The research system (V4) produces lower absolute CAGR (36%) but at dramatically lower drawdown (1.84%) and higher Sharpe (7.46). Both are valid depending on account size and risk tolerance. Sections 7-8 of this document explain both systems in full detail.</w:t>
      </w:r>
    </w:p>
    <w:p>
      <w:pPr>
        <w:pStyle w:val="Heading1"/>
      </w:pPr>
      <w:r>
        <w:t>2. The Edge: Seasonal Anomalies in Equity Markets</w:t>
      </w:r>
    </w:p>
    <w:p>
      <w:pPr>
        <w:pStyle w:val="Heading2"/>
      </w:pPr>
      <w:r>
        <w:t>2.1 Academic Foundation</w:t>
      </w:r>
    </w:p>
    <w:p>
      <w:r>
        <w:t>Seasonal anomalies in equity markets are among the most extensively documented phenomena in empirical finance. Unlike many market anomalies that fade upon publication, seasonal patterns have demonstrated remarkable persistence across decades, geographies, and market microstructure regimes. This persistence reflects the structural incentives embedded in institutional portfolio management that regenerate these patterns year after year.</w:t>
      </w:r>
    </w:p>
    <w:p>
      <w:r>
        <w:t>Heston and Sadka (2008, 'Seasonality in the Cross-Section of Stock Returns') demonstrated that individual stocks exhibit recurring seasonal patterns that persist across decades and are not explained by known risk factors such as the Fama-French three-factor model. Their findings showed that a stock's return in a given calendar month is predictive of its return in the same month in subsequent years. The effect is economically significant and distinct from the January effect and earnings announcement seasonality, suggesting a broader structural mechanism.</w:t>
      </w:r>
    </w:p>
    <w:p>
      <w:r>
        <w:t>Keloharju, Linnainmaa, and Nyberg (2016, Journal of Finance, 'Return Seasonalities') examined same-calendar-month return predictability across 68 countries. The global scope provides powerful evidence against data-mining concerns -- if the effect were a statistical artifact of the US market it would not replicate across countries with different regulatory regimes and investor compositions. The seasonal effect is strongest among stocks with high institutional ownership, consistent with a mechanism driven by institutional behavior.</w:t>
      </w:r>
    </w:p>
    <w:p>
      <w:r>
        <w:t>Bouman and Jacobsen (2002) documented the 'Sell in May and Go Away' effect rigorously across 37 countries, with data spanning over 300 years in some markets. The effect survived all standard risk adjustments and persisted out-of-sample. While this operates at the index level, it demonstrates the underlying principle that TradeWave exploits at the individual stock level.</w:t>
      </w:r>
    </w:p>
    <w:p>
      <w:pPr>
        <w:pStyle w:val="Heading2"/>
      </w:pPr>
      <w:r>
        <w:t>2.2 Why Seasonal Patterns Persist</w:t>
      </w:r>
    </w:p>
    <w:p>
      <w:r>
        <w:t>The persistence of seasonal anomalies despite widespread awareness is explained by structural forces that regenerate them. These forces are embedded in the institutional framework of modern finance and cannot be easily arbitraged away.</w:t>
      </w:r>
    </w:p>
    <w:p>
      <w:pPr>
        <w:pStyle w:val="ListBullet"/>
      </w:pPr>
      <w:r>
        <w:t>Institutional window-dressing at quarter-end: Fund managers sell underperformers and buy winners before reporting dates, then reverse these trades in early January, April, July, and October. This behavior is individually rational within manager incentive structures.</w:t>
      </w:r>
    </w:p>
    <w:p>
      <w:pPr>
        <w:pStyle w:val="ListBullet"/>
      </w:pPr>
      <w:r>
        <w:t>Tax-loss selling in December: Investors sell losing positions to realize tax losses, depressing prices of declining stocks. This pressure reverses sharply in January when tax motivation expires and bargain hunters step in.</w:t>
      </w:r>
    </w:p>
    <w:p>
      <w:pPr>
        <w:pStyle w:val="ListBullet"/>
      </w:pPr>
      <w:r>
        <w:t>Earnings and dividend calendar effects: Companies report on predictable quarterly schedules. Pre-earnings drift, post-earnings announcement drift, and quiet periods between earnings seasons contribute to individual stock seasonality.</w:t>
      </w:r>
    </w:p>
    <w:p>
      <w:pPr>
        <w:pStyle w:val="ListBullet"/>
      </w:pPr>
      <w:r>
        <w:t>Fund flow seasonality: Predictable patterns of capital flowing into and out of mutual funds and ETFs around year-end, tax seasons, and bonus cycles add a recurring layer of price pressure.</w:t>
      </w:r>
    </w:p>
    <w:p>
      <w:r>
        <w:t>The key insight: unlike momentum or value factors, which attract capital that erodes the premium once documented, seasonal patterns are maintained by the institutional behavior that causes them. Fund managers will always window-dress at quarter-end because their incentive structure requires it. Investors will always harvest tax losses in December because the tax code incentivizes it. These are structural features of modern financial markets, not inefficiencies waiting to be corrected.</w:t>
      </w:r>
    </w:p>
    <w:p>
      <w:pPr>
        <w:pStyle w:val="Heading2"/>
      </w:pPr>
      <w:r>
        <w:t>2.3 How TradeWave Exploits Seasonal Patterns</w:t>
      </w:r>
    </w:p>
    <w:p>
      <w:r>
        <w:t>Simple seasonal strategies -- buy in November, sell in May, rotate into small caps in January -- operate at the index or asset-class level and capture only the broadest effects. TradeWave operates at the individual stock level, identifying that a specific stock tends to rise in a specific 20-day window with 85%+ historical frequency while another stock has a different pattern in a different window. This granularity creates a dramatically larger opportunity set: 475 or more S&amp;P 500 stocks multiplied by multiple time windows per stock, producing thousands of potential trades per year from which only the highest-quality candidates are selected.</w:t>
      </w:r>
    </w:p>
    <w:p>
      <w:r>
        <w:t>The critical innovation is ML scoring of pattern quality in current market conditions. A seasonal pattern that repeated 18 out of 20 years has strong historical evidence, but it might not work this year if the macro regime has changed. The ML ensemble evaluates each pattern against 62 features organized into seven groups: pattern intrinsic characteristics (historical quality and consistency), technical indicators (current price dynamics), market regime features (macro environment including VIX, yield curve, credit spreads, DXY, crude oil, gold), SPX seasonal factors (index-level context), context features (position relative to 52-week highs/lows), calendar features (PE cycle year, option expiration week), and interaction terms. When the model identifies a pattern that is both historically strong and appropriate for current conditions, it assigns a high score. When a historically strong pattern faces adverse conditions, the score drops and the pattern is filtered out.</w:t>
      </w:r>
    </w:p>
    <w:p>
      <w:pPr>
        <w:pStyle w:val="Heading1"/>
      </w:pPr>
      <w:r>
        <w:t>3. ML Scoring Architecture (V3, April 2026)</w:t>
      </w:r>
    </w:p>
    <w:p>
      <w:pPr>
        <w:pStyle w:val="Heading2"/>
      </w:pPr>
      <w:r>
        <w:t>3.1 Ensemble Design</w:t>
      </w:r>
    </w:p>
    <w:p>
      <w:r>
        <w:t>The ML scoring engine uses a three-model ensemble consisting of LightGBM, XGBoost, and CatBoost. Each model is independently trained on the same feature set but with different algorithmic approaches to gradient boosting, which creates diversity in ensemble predictions. LightGBM uses histogram-based splitting and handles categorical features natively. XGBoost uses exact greedy splitting and excels at regularization. CatBoost uses ordered boosting which reduces prediction shift on new data. The final score is the simple average of the three models' predictions.</w:t>
      </w:r>
    </w:p>
    <w:p>
      <w:r>
        <w:t>The training dataset spans 26 years (2000-2025) across 475 S&amp;P 500 stocks. Training data sizes by tier: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Tier</w:t>
            </w:r>
          </w:p>
        </w:tc>
        <w:tc>
          <w:tcPr>
            <w:tcW w:type="dxa" w:w="2160"/>
          </w:tcPr>
          <w:p>
            <w:r>
              <w:rPr>
                <w:b/>
              </w:rPr>
              <w:t>Holding Period</w:t>
            </w:r>
          </w:p>
        </w:tc>
        <w:tc>
          <w:tcPr>
            <w:tcW w:type="dxa" w:w="2160"/>
          </w:tcPr>
          <w:p>
            <w:r>
              <w:rPr>
                <w:b/>
              </w:rPr>
              <w:t>Training Samples</w:t>
            </w:r>
          </w:p>
        </w:tc>
        <w:tc>
          <w:tcPr>
            <w:tcW w:type="dxa" w:w="2160"/>
          </w:tcPr>
          <w:p>
            <w:r>
              <w:rPr>
                <w:b/>
              </w:rPr>
              <w:t>File Size</w:t>
            </w:r>
          </w:p>
        </w:tc>
      </w:tr>
      <w:tr>
        <w:tc>
          <w:tcPr>
            <w:tcW w:type="dxa" w:w="2160"/>
          </w:tcPr>
          <w:p>
            <w:r>
              <w:t>10-30 day</w:t>
            </w:r>
          </w:p>
        </w:tc>
        <w:tc>
          <w:tcPr>
            <w:tcW w:type="dxa" w:w="2160"/>
          </w:tcPr>
          <w:p>
            <w:r>
              <w:t>10 to 30 days</w:t>
            </w:r>
          </w:p>
        </w:tc>
        <w:tc>
          <w:tcPr>
            <w:tcW w:type="dxa" w:w="2160"/>
          </w:tcPr>
          <w:p>
            <w:r>
              <w:t>34.7 million samples</w:t>
            </w:r>
          </w:p>
        </w:tc>
        <w:tc>
          <w:tcPr>
            <w:tcW w:type="dxa" w:w="2160"/>
          </w:tcPr>
          <w:p>
            <w:r>
              <w:t>2.0 GB</w:t>
            </w:r>
          </w:p>
        </w:tc>
      </w:tr>
      <w:tr>
        <w:tc>
          <w:tcPr>
            <w:tcW w:type="dxa" w:w="2160"/>
          </w:tcPr>
          <w:p>
            <w:r>
              <w:t>31-60 day</w:t>
            </w:r>
          </w:p>
        </w:tc>
        <w:tc>
          <w:tcPr>
            <w:tcW w:type="dxa" w:w="2160"/>
          </w:tcPr>
          <w:p>
            <w:r>
              <w:t>31 to 60 days</w:t>
            </w:r>
          </w:p>
        </w:tc>
        <w:tc>
          <w:tcPr>
            <w:tcW w:type="dxa" w:w="2160"/>
          </w:tcPr>
          <w:p>
            <w:r>
              <w:t>54.4 million samples</w:t>
            </w:r>
          </w:p>
        </w:tc>
        <w:tc>
          <w:tcPr>
            <w:tcW w:type="dxa" w:w="2160"/>
          </w:tcPr>
          <w:p>
            <w:r>
              <w:t>2.9 GB</w:t>
            </w:r>
          </w:p>
        </w:tc>
      </w:tr>
      <w:tr>
        <w:tc>
          <w:tcPr>
            <w:tcW w:type="dxa" w:w="2160"/>
          </w:tcPr>
          <w:p>
            <w:r>
              <w:t>61-90 day</w:t>
            </w:r>
          </w:p>
        </w:tc>
        <w:tc>
          <w:tcPr>
            <w:tcW w:type="dxa" w:w="2160"/>
          </w:tcPr>
          <w:p>
            <w:r>
              <w:t>61 to 90 days</w:t>
            </w:r>
          </w:p>
        </w:tc>
        <w:tc>
          <w:tcPr>
            <w:tcW w:type="dxa" w:w="2160"/>
          </w:tcPr>
          <w:p>
            <w:r>
              <w:t>59.0 million samples</w:t>
            </w:r>
          </w:p>
        </w:tc>
        <w:tc>
          <w:tcPr>
            <w:tcW w:type="dxa" w:w="2160"/>
          </w:tcPr>
          <w:p>
            <w:r>
              <w:t>3.1 GB</w:t>
            </w:r>
          </w:p>
        </w:tc>
      </w:tr>
      <w:tr>
        <w:tc>
          <w:tcPr>
            <w:tcW w:type="dxa" w:w="2160"/>
          </w:tcPr>
          <w:p>
            <w:r>
              <w:t>Total</w:t>
            </w:r>
          </w:p>
        </w:tc>
        <w:tc>
          <w:tcPr>
            <w:tcW w:type="dxa" w:w="2160"/>
          </w:tcPr>
          <w:p>
            <w:r>
              <w:t>All tiers</w:t>
            </w:r>
          </w:p>
        </w:tc>
        <w:tc>
          <w:tcPr>
            <w:tcW w:type="dxa" w:w="2160"/>
          </w:tcPr>
          <w:p>
            <w:r>
              <w:t>~148 million samples</w:t>
            </w:r>
          </w:p>
        </w:tc>
        <w:tc>
          <w:tcPr>
            <w:tcW w:type="dxa" w:w="2160"/>
          </w:tcPr>
          <w:p>
            <w:r>
              <w:t>~8.0 GB</w:t>
            </w:r>
          </w:p>
        </w:tc>
      </w:tr>
    </w:tbl>
    <w:p/>
    <w:p>
      <w:r>
        <w:t>Models are intentionally shallow (3-750 iterations, most under 200). The seasonal signal exists but is weak -- deeper models overfit. The 3-model ensemble compensates by capturing different feature interactions. Model files are tiny (~100-800 KB each). VIX &gt; 35 samples are excluded from training (removes ~4.8% of samples): during market panics, seasonal patterns break down regardless of quality.</w:t>
      </w:r>
    </w:p>
    <w:p>
      <w:pPr>
        <w:pStyle w:val="Heading2"/>
      </w:pPr>
      <w:r>
        <w:t>3.2 Walk-Forward Validation</w:t>
      </w:r>
    </w:p>
    <w:p>
      <w:r>
        <w:t>8 expanding windows: train 2000-2017, validate 2018; ...; train 2000-2024, validate 2025. Each window trains all three model types independently. Predictions are averaged and evaluated on AUC, win rate at ML_70/85/90 percentile thresholds, and Sharpe ratio.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Tier</w:t>
            </w:r>
          </w:p>
        </w:tc>
        <w:tc>
          <w:tcPr>
            <w:tcW w:type="dxa" w:w="1728"/>
          </w:tcPr>
          <w:p>
            <w:r>
              <w:rPr>
                <w:b/>
              </w:rPr>
              <w:t>Avg AUC</w:t>
            </w:r>
          </w:p>
        </w:tc>
        <w:tc>
          <w:tcPr>
            <w:tcW w:type="dxa" w:w="1728"/>
          </w:tcPr>
          <w:p>
            <w:r>
              <w:rPr>
                <w:b/>
              </w:rPr>
              <w:t>ML_70 Win Rate</w:t>
            </w:r>
          </w:p>
        </w:tc>
        <w:tc>
          <w:tcPr>
            <w:tcW w:type="dxa" w:w="1728"/>
          </w:tcPr>
          <w:p>
            <w:r>
              <w:rPr>
                <w:b/>
              </w:rPr>
              <w:t>ML_70 Avg Sharpe</w:t>
            </w:r>
          </w:p>
        </w:tc>
        <w:tc>
          <w:tcPr>
            <w:tcW w:type="dxa" w:w="1728"/>
          </w:tcPr>
          <w:p>
            <w:r>
              <w:rPr>
                <w:b/>
              </w:rPr>
              <w:t>ML_85 Win Rate</w:t>
            </w:r>
          </w:p>
        </w:tc>
      </w:tr>
      <w:tr>
        <w:tc>
          <w:tcPr>
            <w:tcW w:type="dxa" w:w="1728"/>
          </w:tcPr>
          <w:p>
            <w:r>
              <w:t>10-30 day</w:t>
            </w:r>
          </w:p>
        </w:tc>
        <w:tc>
          <w:tcPr>
            <w:tcW w:type="dxa" w:w="1728"/>
          </w:tcPr>
          <w:p>
            <w:r>
              <w:t>0.627</w:t>
            </w:r>
          </w:p>
        </w:tc>
        <w:tc>
          <w:tcPr>
            <w:tcW w:type="dxa" w:w="1728"/>
          </w:tcPr>
          <w:p>
            <w:r>
              <w:t>79.3%</w:t>
            </w:r>
          </w:p>
        </w:tc>
        <w:tc>
          <w:tcPr>
            <w:tcW w:type="dxa" w:w="1728"/>
          </w:tcPr>
          <w:p>
            <w:r>
              <w:t>8.49</w:t>
            </w:r>
          </w:p>
        </w:tc>
        <w:tc>
          <w:tcPr>
            <w:tcW w:type="dxa" w:w="1728"/>
          </w:tcPr>
          <w:p>
            <w:r>
              <w:t>83.5%</w:t>
            </w:r>
          </w:p>
        </w:tc>
      </w:tr>
      <w:tr>
        <w:tc>
          <w:tcPr>
            <w:tcW w:type="dxa" w:w="1728"/>
          </w:tcPr>
          <w:p>
            <w:r>
              <w:t>31-60 day</w:t>
            </w:r>
          </w:p>
        </w:tc>
        <w:tc>
          <w:tcPr>
            <w:tcW w:type="dxa" w:w="1728"/>
          </w:tcPr>
          <w:p>
            <w:r>
              <w:t>0.606</w:t>
            </w:r>
          </w:p>
        </w:tc>
        <w:tc>
          <w:tcPr>
            <w:tcW w:type="dxa" w:w="1728"/>
          </w:tcPr>
          <w:p>
            <w:r>
              <w:t>78.2%</w:t>
            </w:r>
          </w:p>
        </w:tc>
        <w:tc>
          <w:tcPr>
            <w:tcW w:type="dxa" w:w="1728"/>
          </w:tcPr>
          <w:p>
            <w:r>
              <w:t>8.83</w:t>
            </w:r>
          </w:p>
        </w:tc>
        <w:tc>
          <w:tcPr>
            <w:tcW w:type="dxa" w:w="1728"/>
          </w:tcPr>
          <w:p>
            <w:r>
              <w:t>~82%</w:t>
            </w:r>
          </w:p>
        </w:tc>
      </w:tr>
      <w:tr>
        <w:tc>
          <w:tcPr>
            <w:tcW w:type="dxa" w:w="1728"/>
          </w:tcPr>
          <w:p>
            <w:r>
              <w:t>61-90 day</w:t>
            </w:r>
          </w:p>
        </w:tc>
        <w:tc>
          <w:tcPr>
            <w:tcW w:type="dxa" w:w="1728"/>
          </w:tcPr>
          <w:p>
            <w:r>
              <w:t>0.595</w:t>
            </w:r>
          </w:p>
        </w:tc>
        <w:tc>
          <w:tcPr>
            <w:tcW w:type="dxa" w:w="1728"/>
          </w:tcPr>
          <w:p>
            <w:r>
              <w:t>78.5%</w:t>
            </w:r>
          </w:p>
        </w:tc>
        <w:tc>
          <w:tcPr>
            <w:tcW w:type="dxa" w:w="1728"/>
          </w:tcPr>
          <w:p>
            <w:r>
              <w:t>8.79</w:t>
            </w:r>
          </w:p>
        </w:tc>
        <w:tc>
          <w:tcPr>
            <w:tcW w:type="dxa" w:w="1728"/>
          </w:tcPr>
          <w:p>
            <w:r>
              <w:t>~82%</w:t>
            </w:r>
          </w:p>
        </w:tc>
      </w:tr>
    </w:tbl>
    <w:p/>
    <w:p>
      <w:r>
        <w:t>ML_70 means the model's top 30% of predictions by predicted return. At ML_70, all tiers achieve approximately 78-80% win rate. 2022 is notably the strongest validation year for the 10-30 day tier: AUC 0.564 but ML_70 WR 86.0% and Sharpe 12.31, driven by the 100-Year Pattern midterm window.</w:t>
      </w:r>
    </w:p>
    <w:p>
      <w:pPr>
        <w:pStyle w:val="Heading2"/>
      </w:pPr>
      <w:r>
        <w:t>3.3 Feature Architecture (62 Features)</w:t>
      </w:r>
    </w:p>
    <w:p>
      <w:r>
        <w:t>All tiers and both SR/MFE models use the same 62 features. The feature set is defined in both the production service (ml_scorer/config.py) and training pipeline (train_model.py) and must always stay in sync.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Group</w:t>
            </w:r>
          </w:p>
        </w:tc>
        <w:tc>
          <w:tcPr>
            <w:tcW w:type="dxa" w:w="2880"/>
          </w:tcPr>
          <w:p>
            <w:r>
              <w:rPr>
                <w:b/>
              </w:rPr>
              <w:t>Count</w:t>
            </w:r>
          </w:p>
        </w:tc>
        <w:tc>
          <w:tcPr>
            <w:tcW w:type="dxa" w:w="2880"/>
          </w:tcPr>
          <w:p>
            <w:r>
              <w:rPr>
                <w:b/>
              </w:rPr>
              <w:t>Key Features</w:t>
            </w:r>
          </w:p>
        </w:tc>
      </w:tr>
      <w:tr>
        <w:tc>
          <w:tcPr>
            <w:tcW w:type="dxa" w:w="2880"/>
          </w:tcPr>
          <w:p>
            <w:r>
              <w:t>Pattern-Intrinsic</w:t>
            </w:r>
          </w:p>
        </w:tc>
        <w:tc>
          <w:tcPr>
            <w:tcW w:type="dxa" w:w="2880"/>
          </w:tcPr>
          <w:p>
            <w:r>
              <w:t>23</w:t>
            </w:r>
          </w:p>
        </w:tc>
        <w:tc>
          <w:tcPr>
            <w:tcW w:type="dxa" w:w="2880"/>
          </w:tcPr>
          <w:p>
            <w:r>
              <w:t>pat_deepest_pass, pat_sharpe_ratio, pat_direction, pat_daysOut, pat_neighbor_avg_wr, pat_sharpness, pat_consistency_std</w:t>
            </w:r>
          </w:p>
        </w:tc>
      </w:tr>
      <w:tr>
        <w:tc>
          <w:tcPr>
            <w:tcW w:type="dxa" w:w="2880"/>
          </w:tcPr>
          <w:p>
            <w:r>
              <w:t>Technical</w:t>
            </w:r>
          </w:p>
        </w:tc>
        <w:tc>
          <w:tcPr>
            <w:tcW w:type="dxa" w:w="2880"/>
          </w:tcPr>
          <w:p>
            <w:r>
              <w:t>5</w:t>
            </w:r>
          </w:p>
        </w:tc>
        <w:tc>
          <w:tcPr>
            <w:tcW w:type="dxa" w:w="2880"/>
          </w:tcPr>
          <w:p>
            <w:r>
              <w:t>ta_trend_long, ta_price_vs_sma200, ta_sma50_vs_sma200, ta_rvol_20</w:t>
            </w:r>
          </w:p>
        </w:tc>
      </w:tr>
      <w:tr>
        <w:tc>
          <w:tcPr>
            <w:tcW w:type="dxa" w:w="2880"/>
          </w:tcPr>
          <w:p>
            <w:r>
              <w:t>Market Regime</w:t>
            </w:r>
          </w:p>
        </w:tc>
        <w:tc>
          <w:tcPr>
            <w:tcW w:type="dxa" w:w="2880"/>
          </w:tcPr>
          <w:p>
            <w:r>
              <w:t>19</w:t>
            </w:r>
          </w:p>
        </w:tc>
        <w:tc>
          <w:tcPr>
            <w:tcW w:type="dxa" w:w="2880"/>
          </w:tcPr>
          <w:p>
            <w:r>
              <w:t>mkt_vix_level, mkt_yield_curve_10y2y, mkt_credit_spread, mkt_fed_rate_level, mkt_dxy_roc_20, mkt_cl_roc_20, mkt_gc_roc_20 (DXY/CL/GC added in V3)</w:t>
            </w:r>
          </w:p>
        </w:tc>
      </w:tr>
      <w:tr>
        <w:tc>
          <w:tcPr>
            <w:tcW w:type="dxa" w:w="2880"/>
          </w:tcPr>
          <w:p>
            <w:r>
              <w:t>SPX Seasonal</w:t>
            </w:r>
          </w:p>
        </w:tc>
        <w:tc>
          <w:tcPr>
            <w:tcW w:type="dxa" w:w="2880"/>
          </w:tcPr>
          <w:p>
            <w:r>
              <w:t>4</w:t>
            </w:r>
          </w:p>
        </w:tc>
        <w:tc>
          <w:tcPr>
            <w:tcW w:type="dxa" w:w="2880"/>
          </w:tcPr>
          <w:p>
            <w:r>
              <w:t>mkt_spx_seasonal_wr, mkt_spx_seasonal_ret, mkt_spx_seasonal_regime, mkt_spx_dir_alignment</w:t>
            </w:r>
          </w:p>
        </w:tc>
      </w:tr>
      <w:tr>
        <w:tc>
          <w:tcPr>
            <w:tcW w:type="dxa" w:w="2880"/>
          </w:tcPr>
          <w:p>
            <w:r>
              <w:t>Context</w:t>
            </w:r>
          </w:p>
        </w:tc>
        <w:tc>
          <w:tcPr>
            <w:tcW w:type="dxa" w:w="2880"/>
          </w:tcPr>
          <w:p>
            <w:r>
              <w:t>2</w:t>
            </w:r>
          </w:p>
        </w:tc>
        <w:tc>
          <w:tcPr>
            <w:tcW w:type="dxa" w:w="2880"/>
          </w:tcPr>
          <w:p>
            <w:r>
              <w:t>ctx_pct_from_52w_high, ctx_pct_from_52w_low</w:t>
            </w:r>
          </w:p>
        </w:tc>
      </w:tr>
      <w:tr>
        <w:tc>
          <w:tcPr>
            <w:tcW w:type="dxa" w:w="2880"/>
          </w:tcPr>
          <w:p>
            <w:r>
              <w:t>Calendar</w:t>
            </w:r>
          </w:p>
        </w:tc>
        <w:tc>
          <w:tcPr>
            <w:tcW w:type="dxa" w:w="2880"/>
          </w:tcPr>
          <w:p>
            <w:r>
              <w:t>5</w:t>
            </w:r>
          </w:p>
        </w:tc>
        <w:tc>
          <w:tcPr>
            <w:tcW w:type="dxa" w:w="2880"/>
          </w:tcPr>
          <w:p>
            <w:r>
              <w:t>cal_pe_year, cal_day_of_year, cal_month, cal_is_opex_week, cal_week_of_month</w:t>
            </w:r>
          </w:p>
        </w:tc>
      </w:tr>
      <w:tr>
        <w:tc>
          <w:tcPr>
            <w:tcW w:type="dxa" w:w="2880"/>
          </w:tcPr>
          <w:p>
            <w:r>
              <w:t>Interactions</w:t>
            </w:r>
          </w:p>
        </w:tc>
        <w:tc>
          <w:tcPr>
            <w:tcW w:type="dxa" w:w="2880"/>
          </w:tcPr>
          <w:p>
            <w:r>
              <w:t>4</w:t>
            </w:r>
          </w:p>
        </w:tc>
        <w:tc>
          <w:tcPr>
            <w:tcW w:type="dxa" w:w="2880"/>
          </w:tcPr>
          <w:p>
            <w:r>
              <w:t>pat_dir_x_mkt_trend, pat_dir_x_sector_trend, pat_depth_x_vix, pat_quality_x_regime</w:t>
            </w:r>
          </w:p>
        </w:tc>
      </w:tr>
      <w:tr>
        <w:tc>
          <w:tcPr>
            <w:tcW w:type="dxa" w:w="2880"/>
          </w:tcPr>
          <w:p>
            <w:r>
              <w:t>Total</w:t>
            </w:r>
          </w:p>
        </w:tc>
        <w:tc>
          <w:tcPr>
            <w:tcW w:type="dxa" w:w="2880"/>
          </w:tcPr>
          <w:p>
            <w:r>
              <w:t>62</w:t>
            </w:r>
          </w:p>
        </w:tc>
        <w:tc>
          <w:tcPr>
            <w:tcW w:type="dxa" w:w="2880"/>
          </w:tcPr>
          <w:p>
            <w:r/>
          </w:p>
        </w:tc>
      </w:tr>
    </w:tbl>
    <w:p/>
    <w:p>
      <w:r>
        <w:t>CRITICAL: pat_daysOut must always be included. A model accidentally trained without it (58 features) could not distinguish 10-day from 30-day holds. Feature count safeguards validate at both training and serving time.</w:t>
      </w:r>
    </w:p>
    <w:p>
      <w:r>
        <w:t>The 19 market regime features deserve particular attention -- they are what make the model adaptive rather than static. They capture: volatility state (VIX level, percentile, slope, term structure), fixed income conditions (10y2y yield curve slope, credit spread via HYG/LQD), equity market health (SPY momentum, breadth via advance-decline), sector rotation (Technology vs Utilities as risk-appetite proxy), monetary policy (fed funds rate level), and commodity/FX regime (DXY, crude oil, gold 20-day rate-of-change). Together these give the model a comprehensive view of whether the current environment is hospitable to the type of seasonal pattern being evaluated.</w:t>
      </w:r>
    </w:p>
    <w:p>
      <w:pPr>
        <w:pStyle w:val="Heading2"/>
      </w:pPr>
      <w:r>
        <w:t>3.4 Dual Prediction Targets</w:t>
      </w:r>
    </w:p>
    <w:p>
      <w:r>
        <w:t>Two separate model sets are trained per tier: SR (stock return) predicts close-to-close return over the holding period; MFE (maximum favorable excursion) predicts the best intra-period price the stock will reach. MFE is critical for trailing stop calibration: if the model predicts 6% MFE but only 3% SR (because the stock gives back half its gains), the trailing stop can be set to capture more of the excursion rather than waiting for the close-to-close exit. 18 model files total: 3 algorithms x 2 targets x 3 tiers.</w:t>
      </w:r>
    </w:p>
    <w:p>
      <w:pPr>
        <w:pStyle w:val="Heading2"/>
      </w:pPr>
      <w:r>
        <w:t>3.5 Score Calibration</w:t>
      </w:r>
    </w:p>
    <w:p>
      <w:r>
        <w:t>Raw ensemble scores are converted to calibrated win probabilities using a 20-bin empirical lookup table built from walk-forward validation results. Each bin contains the empirical win rate measured only on out-of-sample predictions. When the system reports ML score 95, this means 'historically, patterns scoring 95+ won approximately 62% of the time in periods the model had never seen during training.' This calibration is essential for position sizing: the Kelly criterion requires accurate probability estimates.</w:t>
      </w:r>
    </w:p>
    <w:p>
      <w:pPr>
        <w:pStyle w:val="Heading1"/>
      </w:pPr>
      <w:r>
        <w:t>4. Risk Management Architecture</w:t>
      </w:r>
    </w:p>
    <w:p>
      <w:r>
        <w:t>Risk management in TradeWave is a layered defense system with multiple distinct levels, each addressing a different category of risk. No single layer is expected to catch every adverse scenario, but the combination creates a robust shield against the full spectrum of market risks.</w:t>
      </w:r>
    </w:p>
    <w:p>
      <w:pPr>
        <w:pStyle w:val="Heading2"/>
      </w:pPr>
      <w:r>
        <w:t>4.1 VIX Hard Block (Production Safety)</w:t>
      </w:r>
    </w:p>
    <w:p>
      <w:r>
        <w:t>The production service refuses to score or select any opportunity when VIX &gt;= 35. During market panics, seasonal patterns break down regardless of pattern quality. This filter removes ~4.8% of potential entries during the most dangerous market environments. Note: this block was applied to training (those samples are excluded) and to production, but was NOT applied in either backtest system. V4 testing confirmed zero net impact in the 2018-2025 backtest period because VIX&gt;=35 events are rare and short-lived.</w:t>
      </w:r>
    </w:p>
    <w:p>
      <w:pPr>
        <w:pStyle w:val="Heading2"/>
      </w:pPr>
      <w:r>
        <w:t>4.2 Position-Level Stops (ATR-Scaled)</w:t>
      </w:r>
    </w:p>
    <w:p>
      <w:r>
        <w:t>TradeWave uses ATR-scaled trailing stops that adapt to each stock's realized volatility. The 14-day Average True Range is computed at entry and multiplied by a configurable factor (1.5x for longs, 1.2x for shorts) to set the initial trail distance. Tesla with a 5% ATR gets appropriately wide stops; a utility stock with 0.8% ATR gets proportionally tight stops. Shorts receive tighter multipliers because short squeezes develop faster than long-side drawdowns. Minimum floor of 1.5% prevents unreasonably tight stops on low-volatility names.</w:t>
      </w:r>
    </w:p>
    <w:p>
      <w:r>
        <w:t>The ATR-scaling approach solves a fundamental problem with fixed-percentage stops: a 3% stop means something entirely different for a 1% daily-vol stock vs a 4% daily-vol stock. ATR-scaling normalizes stop distance relative to each stock's personality, ensuring stops fire at the same 'significance level' across the portfolio.</w:t>
      </w:r>
    </w:p>
    <w:p>
      <w:pPr>
        <w:pStyle w:val="Heading2"/>
      </w:pPr>
      <w:r>
        <w:t>4.3 Portfolio-Level Circuit Breakers</w:t>
      </w:r>
    </w:p>
    <w:p>
      <w:r>
        <w:t>Three portfolio-level circuit breakers protect against correlated drawdowns:</w:t>
      </w:r>
    </w:p>
    <w:p>
      <w:pPr>
        <w:pStyle w:val="ListBullet"/>
      </w:pPr>
      <w:r>
        <w:t>Portfolio drawdown halt: if total equity drops 15% from its peak, all positions are flattened and entries suspended for 5 business days.</w:t>
      </w:r>
    </w:p>
    <w:p>
      <w:pPr>
        <w:pStyle w:val="ListBullet"/>
      </w:pPr>
      <w:r>
        <w:t>Daily P&amp;L halt: if the day's loss exceeds 2% of equity, new entries are paused for the remainder of the session.</w:t>
      </w:r>
    </w:p>
    <w:p>
      <w:pPr>
        <w:pStyle w:val="ListBullet"/>
      </w:pPr>
      <w:r>
        <w:t>Consecutive loss halt: after 5 consecutive losses, position sizing is reduced by 50% until a winning trade resets the counter.</w:t>
      </w:r>
    </w:p>
    <w:p>
      <w:pPr>
        <w:pStyle w:val="Heading2"/>
      </w:pPr>
      <w:r>
        <w:t>4.4 Concentration Prevention</w:t>
      </w:r>
    </w:p>
    <w:p>
      <w:r>
        <w:t>Three concentration guards prevent overexposure to any single driver:</w:t>
      </w:r>
    </w:p>
    <w:p>
      <w:pPr>
        <w:pStyle w:val="ListBullet"/>
      </w:pPr>
      <w:r>
        <w:t>Sector cap: maximum 2-3 positions per sector (depending on config) prevents sector concentration.</w:t>
      </w:r>
    </w:p>
    <w:p>
      <w:pPr>
        <w:pStyle w:val="ListBullet"/>
      </w:pPr>
      <w:r>
        <w:t>Correlation guard: 60-day rolling Pearson correlation computed between all existing positions and any new candidate. Correlated entries (above 0.80 threshold) are rejected.</w:t>
      </w:r>
    </w:p>
    <w:p>
      <w:pPr>
        <w:pStyle w:val="ListBullet"/>
      </w:pPr>
      <w:r>
        <w:t>Factor exposure monitoring: continuous tracking of portfolio beta, sector concentration via Herfindahl index, and net long/short exposure.</w:t>
      </w:r>
    </w:p>
    <w:p>
      <w:pPr>
        <w:pStyle w:val="Heading2"/>
      </w:pPr>
      <w:r>
        <w:t>4.5 Adaptive Sizing (Quarter-Kelly)</w:t>
      </w:r>
    </w:p>
    <w:p>
      <w:r>
        <w:t>Base sizing uses quarter-Kelly (1/4 of the theoretically optimal Kelly fraction). Pure Kelly is theoretically optimal but practically catastrophic due to estimation error -- quarter-Kelly captures most of the growth benefit while dramatically reducing the risk of ruinous drawdowns from overestimated win probabilities. Three adaptive overlays modify the base size:</w:t>
      </w:r>
    </w:p>
    <w:p>
      <w:pPr>
        <w:pStyle w:val="ListBullet"/>
      </w:pPr>
      <w:r>
        <w:t>Dynamic Kelly overlay: adjusts the 0.25 multiplier based on the rolling ratio of live win rate to backtest-expected win rate. If the model is outperforming, size up slightly; if underperforming, reduce.</w:t>
      </w:r>
    </w:p>
    <w:p>
      <w:pPr>
        <w:pStyle w:val="ListBullet"/>
      </w:pPr>
      <w:r>
        <w:t>Volatility targeting overlay: scales all positions to maintain target annualized portfolio volatility (default 15%), preventing inadvertent risk budget overruns during high-volatility periods.</w:t>
      </w:r>
    </w:p>
    <w:p>
      <w:pPr>
        <w:pStyle w:val="ListBullet"/>
      </w:pPr>
      <w:r>
        <w:t>vol_inverse sizing (research system): positions sized inversely to each stock's realized volatility. This alone is a major contributor to the research system's lower drawdown vs the auto trading system.</w:t>
      </w:r>
    </w:p>
    <w:p>
      <w:pPr>
        <w:pStyle w:val="Heading2"/>
      </w:pPr>
      <w:r>
        <w:t>4.6 Regime Awareness</w:t>
      </w:r>
    </w:p>
    <w:p>
      <w:r>
        <w:t>A rule-based regime classifier evaluates eight market features to categorize the current environment as trending bull, choppy, transitioning, or risk-off. This classification governs position limits, sizing multipliers, and directional bias. In a trending bull regime, long positions are allowed at full size; in risk-off, long entries are restricted and short entries are favored. The ML model itself embeds regime awareness through the 19 market regime features -- the classifier is an additional hard guard that supplements the soft ML adjustment.</w:t>
      </w:r>
    </w:p>
    <w:p>
      <w:pPr>
        <w:pStyle w:val="Heading2"/>
      </w:pPr>
      <w:r>
        <w:t>4.7 Self-Monitoring and Drift Detection</w:t>
      </w:r>
    </w:p>
    <w:p>
      <w:r>
        <w:t>The drift monitor continuously tracks ML model accuracy by both score bucket and regime category against rolling live performance. If calibration degrades -- meaning the model's predicted win rates are no longer matching observed outcomes -- the monitor triggers alerts and can automatically reduce position sizes. This addresses the critical risk of silent model degradation: a model trained on 2000-2025 data may gradually lose predictive power as market microstructure evolves, and the drift monitor is the early-warning system.</w:t>
      </w:r>
    </w:p>
    <w:p>
      <w:pPr>
        <w:pStyle w:val="Heading1"/>
      </w:pPr>
      <w:r>
        <w:t>5. Short Selling and Option Spreads</w:t>
      </w:r>
    </w:p>
    <w:p>
      <w:pPr>
        <w:pStyle w:val="Heading2"/>
      </w:pPr>
      <w:r>
        <w:t>5.1 Short Selling</w:t>
      </w:r>
    </w:p>
    <w:p>
      <w:r>
        <w:t>The ML scoring engine handles both long and short seasonal patterns natively through the pat_direction feature. Short seasonal patterns -- where a stock historically declines during a specific calendar window -- are scored identically to long patterns. The regime detector governs directional bias: in a trending bull regime, short positions are not initiated. In risk-off or trending bear regimes, short positions are initiated at full size. Including short patterns in the combined portfolio adds diversification that reduces drawdown and increases Sharpe.</w:t>
      </w:r>
    </w:p>
    <w:p>
      <w:pPr>
        <w:pStyle w:val="Heading2"/>
      </w:pPr>
      <w:r>
        <w:t>5.2 Option Spread Strategies</w:t>
      </w:r>
    </w:p>
    <w:p>
      <w:r>
        <w:t>Option spreads provide leveraged exposure to seasonal patterns with defined maximum risk. Four spread structures are supported: bull call debit spread (buy ATM call, sell OTM call), bull put credit spread (sell OTM put, buy further OTM put for protection), bear call credit spread, and bear put debit spread. Credit spreads (put credit, call credit) use the soonest available monthly expiration that covers the seasonal window. Debit spreads use the next monthly expiration with at least 3 weeks remaining.</w:t>
      </w:r>
    </w:p>
    <w:p>
      <w:r>
        <w:t>Liquidity filters ensure spreads are executable: minimum open interest of 500 contracts, bid-ask spread no wider than 2% of the mid-price, and underlying average daily volume above 500,000 shares. These filters are applied before ML scoring to prevent attempting to trade illiquid instruments.</w:t>
      </w:r>
    </w:p>
    <w:p>
      <w:pPr>
        <w:pStyle w:val="Heading1"/>
      </w:pPr>
      <w:r>
        <w:t>6. LLM Intelligence Layer</w:t>
      </w:r>
    </w:p>
    <w:p>
      <w:r>
        <w:t>TradeWave integrates large language models at four distinct points in its operational cycle, each serving a different purpose:</w:t>
      </w:r>
    </w:p>
    <w:p>
      <w:pPr>
        <w:pStyle w:val="Heading2"/>
      </w:pPr>
      <w:r>
        <w:t>6.1 AI Exit Advisor</w:t>
      </w:r>
    </w:p>
    <w:p>
      <w:r>
        <w:t>When a position enters a stressed state (drawdown exceeding 50% of the stop distance, or earnings announcement within 2 days), Claude Haiku receives a structured prompt containing the position's full context: entry price, current price, ATR trail, ML score, sector regime, and the top 5 shadow exit method recommendations. The LLM responds with a structured JSON recommendation: hold, tighten stop, widen stop, or exit, with confidence level and rationale. In enforcement mode, recommendations override the base ATR stop if confidence exceeds 75%.</w:t>
      </w:r>
    </w:p>
    <w:p>
      <w:pPr>
        <w:pStyle w:val="Heading2"/>
      </w:pPr>
      <w:r>
        <w:t>6.2 AI Daily Review</w:t>
      </w:r>
    </w:p>
    <w:p>
      <w:r>
        <w:t>After each session, Claude Haiku reviews the day's operations in a comprehensive assessment covering: entries taken vs rejected and reason for rejection, exits (actual vs shadow alternatives), circuit breaker activations, regime classification accuracy, drift monitor status, and portfolio composition. The review produces a grade (A-F) and flags any anomalies for operator review. This provides operational self-awareness at minimal cost.</w:t>
      </w:r>
    </w:p>
    <w:p>
      <w:pPr>
        <w:pStyle w:val="Heading2"/>
      </w:pPr>
      <w:r>
        <w:t>6.3 Deep Analysis (Periodic)</w:t>
      </w:r>
    </w:p>
    <w:p>
      <w:r>
        <w:t>Periodically, accumulated daily reviews are brought to Claude Code (long-context model) for deeper analysis: identifying patterns in rejected trades, evaluating whether regime classification is behaving as intended, and flagging potential configuration drift. This two-tier architecture -- automated Haiku daily review plus periodic deep analysis -- provides institutional-grade operational awareness.</w:t>
      </w:r>
    </w:p>
    <w:p>
      <w:pPr>
        <w:pStyle w:val="Heading2"/>
      </w:pPr>
      <w:r>
        <w:t>6.4 AI Trade Approval (Optional)</w:t>
      </w:r>
    </w:p>
    <w:p>
      <w:r>
        <w:t>An optional mode allows LLM review of each trade candidate before execution. The LLM receives the full context and can veto a trade if it identifies a non-quantified risk (e.g., pending regulatory action, unusual news sentiment). This is disabled by default as it adds latency and the quantitative filters are sufficient, but it is available as a layer of last-resort discretion.</w:t>
      </w:r>
    </w:p>
    <w:p>
      <w:pPr>
        <w:pStyle w:val="Heading1"/>
      </w:pPr>
      <w:r>
        <w:t>7. Backtest Performance</w:t>
      </w:r>
    </w:p>
    <w:p>
      <w:r>
        <w:t>Walk-forward validation across 2018-2025 provides the most rigorous available estimate of out-of-sample performance. This period spans multiple distinct market regimes: the late-cycle bull market of 2018-2019, the COVID crash and V-shaped recovery of 2020, the speculative mania of 2021, the aggressive rate-hiking bear market of 2022, and the AI-driven recovery of 2023-2025. A strategy that performs well across this range demonstrates genuine adaptability.</w:t>
      </w:r>
    </w:p>
    <w:p>
      <w:r>
        <w:t>Two separate backtest systems exist and should be distinguished:</w:t>
      </w:r>
    </w:p>
    <w:p>
      <w:pPr>
        <w:pStyle w:val="Heading2"/>
      </w:pPr>
      <w:r>
        <w:t>7.1 Original Backtest System (Auto Trading -- Long Only)</w:t>
      </w:r>
    </w:p>
    <w:p>
      <w:r>
        <w:t>The original backtest (backtest_strategies.py) tested 160 strategy configurations, all long-only, using fixed-target EP exits and Kelly-based sizing. This is the system on which the auto trading implementation is based.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Config</w:t>
            </w:r>
          </w:p>
        </w:tc>
        <w:tc>
          <w:tcPr>
            <w:tcW w:type="dxa" w:w="1234"/>
          </w:tcPr>
          <w:p>
            <w:r>
              <w:rPr>
                <w:b/>
              </w:rPr>
              <w:t>Description</w:t>
            </w:r>
          </w:p>
        </w:tc>
        <w:tc>
          <w:tcPr>
            <w:tcW w:type="dxa" w:w="1234"/>
          </w:tcPr>
          <w:p>
            <w:r>
              <w:rPr>
                <w:b/>
              </w:rPr>
              <w:t>Sharpe</w:t>
            </w:r>
          </w:p>
        </w:tc>
        <w:tc>
          <w:tcPr>
            <w:tcW w:type="dxa" w:w="1234"/>
          </w:tcPr>
          <w:p>
            <w:r>
              <w:rPr>
                <w:b/>
              </w:rPr>
              <w:t>Max DD</w:t>
            </w:r>
          </w:p>
        </w:tc>
        <w:tc>
          <w:tcPr>
            <w:tcW w:type="dxa" w:w="1234"/>
          </w:tcPr>
          <w:p>
            <w:r>
              <w:rPr>
                <w:b/>
              </w:rPr>
              <w:t>CAGR</w:t>
            </w:r>
          </w:p>
        </w:tc>
        <w:tc>
          <w:tcPr>
            <w:tcW w:type="dxa" w:w="1234"/>
          </w:tcPr>
          <w:p>
            <w:r>
              <w:rPr>
                <w:b/>
              </w:rPr>
              <w:t>Win Rate</w:t>
            </w:r>
          </w:p>
        </w:tc>
        <w:tc>
          <w:tcPr>
            <w:tcW w:type="dxa" w:w="1234"/>
          </w:tcPr>
          <w:p>
            <w:r>
              <w:rPr>
                <w:b/>
              </w:rPr>
              <w:t>Role</w:t>
            </w:r>
          </w:p>
        </w:tc>
      </w:tr>
      <w:tr>
        <w:tc>
          <w:tcPr>
            <w:tcW w:type="dxa" w:w="1234"/>
          </w:tcPr>
          <w:p>
            <w:r>
              <w:t>S24</w:t>
            </w:r>
          </w:p>
        </w:tc>
        <w:tc>
          <w:tcPr>
            <w:tcW w:type="dxa" w:w="1234"/>
          </w:tcPr>
          <w:p>
            <w:r>
              <w:t>CW/EP/T85/SA/C2</w:t>
            </w:r>
          </w:p>
        </w:tc>
        <w:tc>
          <w:tcPr>
            <w:tcW w:type="dxa" w:w="1234"/>
          </w:tcPr>
          <w:p>
            <w:r>
              <w:t>3.70</w:t>
            </w:r>
          </w:p>
        </w:tc>
        <w:tc>
          <w:tcPr>
            <w:tcW w:type="dxa" w:w="1234"/>
          </w:tcPr>
          <w:p>
            <w:r>
              <w:t>-19.2%</w:t>
            </w:r>
          </w:p>
        </w:tc>
        <w:tc>
          <w:tcPr>
            <w:tcW w:type="dxa" w:w="1234"/>
          </w:tcPr>
          <w:p>
            <w:r>
              <w:t>390%</w:t>
            </w:r>
          </w:p>
        </w:tc>
        <w:tc>
          <w:tcPr>
            <w:tcW w:type="dxa" w:w="1234"/>
          </w:tcPr>
          <w:p>
            <w:r>
              <w:t>58.5%</w:t>
            </w:r>
          </w:p>
        </w:tc>
        <w:tc>
          <w:tcPr>
            <w:tcW w:type="dxa" w:w="1234"/>
          </w:tcPr>
          <w:p>
            <w:r>
              <w:t>Highest raw Sharpe (high DD)</w:t>
            </w:r>
          </w:p>
        </w:tc>
      </w:tr>
      <w:tr>
        <w:tc>
          <w:tcPr>
            <w:tcW w:type="dxa" w:w="1234"/>
          </w:tcPr>
          <w:p>
            <w:r>
              <w:t>S21</w:t>
            </w:r>
          </w:p>
        </w:tc>
        <w:tc>
          <w:tcPr>
            <w:tcW w:type="dxa" w:w="1234"/>
          </w:tcPr>
          <w:p>
            <w:r>
              <w:t>WP/EP/T85/SK/C2</w:t>
            </w:r>
          </w:p>
        </w:tc>
        <w:tc>
          <w:tcPr>
            <w:tcW w:type="dxa" w:w="1234"/>
          </w:tcPr>
          <w:p>
            <w:r>
              <w:t>3.66</w:t>
            </w:r>
          </w:p>
        </w:tc>
        <w:tc>
          <w:tcPr>
            <w:tcW w:type="dxa" w:w="1234"/>
          </w:tcPr>
          <w:p>
            <w:r>
              <w:t>-6.7%</w:t>
            </w:r>
          </w:p>
        </w:tc>
        <w:tc>
          <w:tcPr>
            <w:tcW w:type="dxa" w:w="1234"/>
          </w:tcPr>
          <w:p>
            <w:r>
              <w:t>64%</w:t>
            </w:r>
          </w:p>
        </w:tc>
        <w:tc>
          <w:tcPr>
            <w:tcW w:type="dxa" w:w="1234"/>
          </w:tcPr>
          <w:p>
            <w:r>
              <w:t>55.9%</w:t>
            </w:r>
          </w:p>
        </w:tc>
        <w:tc>
          <w:tcPr>
            <w:tcW w:type="dxa" w:w="1234"/>
          </w:tcPr>
          <w:p>
            <w:r>
              <w:t>Auto trading base config</w:t>
            </w:r>
          </w:p>
        </w:tc>
      </w:tr>
      <w:tr>
        <w:tc>
          <w:tcPr>
            <w:tcW w:type="dxa" w:w="1234"/>
          </w:tcPr>
          <w:p>
            <w:r>
              <w:t>S149</w:t>
            </w:r>
          </w:p>
        </w:tc>
        <w:tc>
          <w:tcPr>
            <w:tcW w:type="dxa" w:w="1234"/>
          </w:tcPr>
          <w:p>
            <w:r>
              <w:t>CW/EA15/T90/SK/C1</w:t>
            </w:r>
          </w:p>
        </w:tc>
        <w:tc>
          <w:tcPr>
            <w:tcW w:type="dxa" w:w="1234"/>
          </w:tcPr>
          <w:p>
            <w:r>
              <w:t>3.24</w:t>
            </w:r>
          </w:p>
        </w:tc>
        <w:tc>
          <w:tcPr>
            <w:tcW w:type="dxa" w:w="1234"/>
          </w:tcPr>
          <w:p>
            <w:r>
              <w:t>-11.0%</w:t>
            </w:r>
          </w:p>
        </w:tc>
        <w:tc>
          <w:tcPr>
            <w:tcW w:type="dxa" w:w="1234"/>
          </w:tcPr>
          <w:p>
            <w:r>
              <w:t>83%</w:t>
            </w:r>
          </w:p>
        </w:tc>
        <w:tc>
          <w:tcPr>
            <w:tcW w:type="dxa" w:w="1234"/>
          </w:tcPr>
          <w:p>
            <w:r>
              <w:t>63.3%</w:t>
            </w:r>
          </w:p>
        </w:tc>
        <w:tc>
          <w:tcPr>
            <w:tcW w:type="dxa" w:w="1234"/>
          </w:tcPr>
          <w:p>
            <w:r>
              <w:t>ATR stop variant</w:t>
            </w:r>
          </w:p>
        </w:tc>
      </w:tr>
      <w:tr>
        <w:tc>
          <w:tcPr>
            <w:tcW w:type="dxa" w:w="1234"/>
          </w:tcPr>
          <w:p>
            <w:r>
              <w:t>Enhanced</w:t>
            </w:r>
          </w:p>
        </w:tc>
        <w:tc>
          <w:tcPr>
            <w:tcW w:type="dxa" w:w="1234"/>
          </w:tcPr>
          <w:p>
            <w:r>
              <w:t>Best4+CW/EP/T90/SK/P3/C1</w:t>
            </w:r>
          </w:p>
        </w:tc>
        <w:tc>
          <w:tcPr>
            <w:tcW w:type="dxa" w:w="1234"/>
          </w:tcPr>
          <w:p>
            <w:r>
              <w:t>4.22</w:t>
            </w:r>
          </w:p>
        </w:tc>
        <w:tc>
          <w:tcPr>
            <w:tcW w:type="dxa" w:w="1234"/>
          </w:tcPr>
          <w:p>
            <w:r>
              <w:t>-7.4%</w:t>
            </w:r>
          </w:p>
        </w:tc>
        <w:tc>
          <w:tcPr>
            <w:tcW w:type="dxa" w:w="1234"/>
          </w:tcPr>
          <w:p>
            <w:r>
              <w:t>~80%</w:t>
            </w:r>
          </w:p>
        </w:tc>
        <w:tc>
          <w:tcPr>
            <w:tcW w:type="dxa" w:w="1234"/>
          </w:tcPr>
          <w:p>
            <w:r>
              <w:t>~62%</w:t>
            </w:r>
          </w:p>
        </w:tc>
        <w:tc>
          <w:tcPr>
            <w:tcW w:type="dxa" w:w="1234"/>
          </w:tcPr>
          <w:p>
            <w:r>
              <w:t>Auto trading live config</w:t>
            </w:r>
          </w:p>
        </w:tc>
      </w:tr>
    </w:tbl>
    <w:p/>
    <w:p>
      <w:r>
        <w:t>S21 was chosen for auto trading because it achieves the best balance of Sharpe (3.66) and drawdown (6.7%) among the original configs. The Best-4 enhanced version (SymbolQuality + NoRepeat14d + SkipMonday applied to S21) pushes Sharpe to 4.22 at slightly higher DD (7.4%). All 8 years were profitable for the top configs. A conservative 30% haircut applied to return expectations implies a live Sharpe in the range of 2.5-3.0 -- still top-quartile among systematic equity strategies. The maximum drawdown of 6.7% (S21) is notable given that the S&amp;P 500 experienced a 34% drawdown in 2020 and a 25% drawdown in 2022.</w:t>
      </w:r>
    </w:p>
    <w:p>
      <w:pPr>
        <w:pStyle w:val="Heading2"/>
      </w:pPr>
      <w:r>
        <w:t>7.2 Codex V3 Research System (Combined Long+Short)</w:t>
      </w:r>
    </w:p>
    <w:p>
      <w:r>
        <w:t>A separate Codex-driven backtest (strategy_backtest_v3.py) tested 81 stock + 36 options + 48 spread configurations including combined long and short seasonal patterns. Using the target6_atr2 exit (6% profit target with 2x ATR trailing floor) and vol_inverse sizing produced dramatically better Sharpe ratios than the original system.</w:t>
      </w:r>
    </w:p>
    <w:p>
      <w:pPr>
        <w:pStyle w:val="Heading3"/>
      </w:pPr>
      <w:r>
        <w:t>Stock Strategy Results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Config ID</w:t>
            </w:r>
          </w:p>
        </w:tc>
        <w:tc>
          <w:tcPr>
            <w:tcW w:type="dxa" w:w="1080"/>
          </w:tcPr>
          <w:p>
            <w:r>
              <w:rPr>
                <w:b/>
              </w:rPr>
              <w:t>Description</w:t>
            </w:r>
          </w:p>
        </w:tc>
        <w:tc>
          <w:tcPr>
            <w:tcW w:type="dxa" w:w="1080"/>
          </w:tcPr>
          <w:p>
            <w:r>
              <w:rPr>
                <w:b/>
              </w:rPr>
              <w:t>Direction</w:t>
            </w:r>
          </w:p>
        </w:tc>
        <w:tc>
          <w:tcPr>
            <w:tcW w:type="dxa" w:w="1080"/>
          </w:tcPr>
          <w:p>
            <w:r>
              <w:rPr>
                <w:b/>
              </w:rPr>
              <w:t>Sharpe</w:t>
            </w:r>
          </w:p>
        </w:tc>
        <w:tc>
          <w:tcPr>
            <w:tcW w:type="dxa" w:w="1080"/>
          </w:tcPr>
          <w:p>
            <w:r>
              <w:rPr>
                <w:b/>
              </w:rPr>
              <w:t>Max DD</w:t>
            </w:r>
          </w:p>
        </w:tc>
        <w:tc>
          <w:tcPr>
            <w:tcW w:type="dxa" w:w="1080"/>
          </w:tcPr>
          <w:p>
            <w:r>
              <w:rPr>
                <w:b/>
              </w:rPr>
              <w:t>CAGR</w:t>
            </w:r>
          </w:p>
        </w:tc>
        <w:tc>
          <w:tcPr>
            <w:tcW w:type="dxa" w:w="1080"/>
          </w:tcPr>
          <w:p>
            <w:r>
              <w:rPr>
                <w:b/>
              </w:rPr>
              <w:t>Win Rate</w:t>
            </w:r>
          </w:p>
        </w:tc>
        <w:tc>
          <w:tcPr>
            <w:tcW w:type="dxa" w:w="1080"/>
          </w:tcPr>
          <w:p>
            <w:r>
              <w:rPr>
                <w:b/>
              </w:rPr>
              <w:t>2025 OOS</w:t>
            </w:r>
          </w:p>
        </w:tc>
      </w:tr>
      <w:tr>
        <w:tc>
          <w:tcPr>
            <w:tcW w:type="dxa" w:w="1080"/>
          </w:tcPr>
          <w:p>
            <w:r>
              <w:t>STK_045</w:t>
            </w:r>
          </w:p>
        </w:tc>
        <w:tc>
          <w:tcPr>
            <w:tcW w:type="dxa" w:w="1080"/>
          </w:tcPr>
          <w:p>
            <w:r>
              <w:t>WP/strict/risk_balanced/target6_atr2/vol_inverse</w:t>
            </w:r>
          </w:p>
        </w:tc>
        <w:tc>
          <w:tcPr>
            <w:tcW w:type="dxa" w:w="1080"/>
          </w:tcPr>
          <w:p>
            <w:r>
              <w:t>Long+Short</w:t>
            </w:r>
          </w:p>
        </w:tc>
        <w:tc>
          <w:tcPr>
            <w:tcW w:type="dxa" w:w="1080"/>
          </w:tcPr>
          <w:p>
            <w:r>
              <w:t>7.11</w:t>
            </w:r>
          </w:p>
        </w:tc>
        <w:tc>
          <w:tcPr>
            <w:tcW w:type="dxa" w:w="1080"/>
          </w:tcPr>
          <w:p>
            <w:r>
              <w:t>-2.65%</w:t>
            </w:r>
          </w:p>
        </w:tc>
        <w:tc>
          <w:tcPr>
            <w:tcW w:type="dxa" w:w="1080"/>
          </w:tcPr>
          <w:p>
            <w:r>
              <w:t>35.67%</w:t>
            </w:r>
          </w:p>
        </w:tc>
        <w:tc>
          <w:tcPr>
            <w:tcW w:type="dxa" w:w="1080"/>
          </w:tcPr>
          <w:p>
            <w:r>
              <w:t>84.51%</w:t>
            </w:r>
          </w:p>
        </w:tc>
        <w:tc>
          <w:tcPr>
            <w:tcW w:type="dxa" w:w="1080"/>
          </w:tcPr>
          <w:p>
            <w:r>
              <w:t>7.15</w:t>
            </w:r>
          </w:p>
        </w:tc>
      </w:tr>
      <w:tr>
        <w:tc>
          <w:tcPr>
            <w:tcW w:type="dxa" w:w="1080"/>
          </w:tcPr>
          <w:p>
            <w:r>
              <w:t>STK_063</w:t>
            </w:r>
          </w:p>
        </w:tc>
        <w:tc>
          <w:tcPr>
            <w:tcW w:type="dxa" w:w="1080"/>
          </w:tcPr>
          <w:p>
            <w:r>
              <w:t>CR/balanced/risk_balanced/target6_atr2/vol_inverse</w:t>
            </w:r>
          </w:p>
        </w:tc>
        <w:tc>
          <w:tcPr>
            <w:tcW w:type="dxa" w:w="1080"/>
          </w:tcPr>
          <w:p>
            <w:r>
              <w:t>Long+Short</w:t>
            </w:r>
          </w:p>
        </w:tc>
        <w:tc>
          <w:tcPr>
            <w:tcW w:type="dxa" w:w="1080"/>
          </w:tcPr>
          <w:p>
            <w:r>
              <w:t>7.06</w:t>
            </w:r>
          </w:p>
        </w:tc>
        <w:tc>
          <w:tcPr>
            <w:tcW w:type="dxa" w:w="1080"/>
          </w:tcPr>
          <w:p>
            <w:r>
              <w:t>-3.22%</w:t>
            </w:r>
          </w:p>
        </w:tc>
        <w:tc>
          <w:tcPr>
            <w:tcW w:type="dxa" w:w="1080"/>
          </w:tcPr>
          <w:p>
            <w:r>
              <w:t>35.23%</w:t>
            </w:r>
          </w:p>
        </w:tc>
        <w:tc>
          <w:tcPr>
            <w:tcW w:type="dxa" w:w="1080"/>
          </w:tcPr>
          <w:p>
            <w:r>
              <w:t>83.71%</w:t>
            </w:r>
          </w:p>
        </w:tc>
        <w:tc>
          <w:tcPr>
            <w:tcW w:type="dxa" w:w="1080"/>
          </w:tcPr>
          <w:p>
            <w:r>
              <w:t>--</w:t>
            </w:r>
          </w:p>
        </w:tc>
      </w:tr>
      <w:tr>
        <w:tc>
          <w:tcPr>
            <w:tcW w:type="dxa" w:w="1080"/>
          </w:tcPr>
          <w:p>
            <w:r>
              <w:t>STK_063</w:t>
            </w:r>
          </w:p>
        </w:tc>
        <w:tc>
          <w:tcPr>
            <w:tcW w:type="dxa" w:w="1080"/>
          </w:tcPr>
          <w:p>
            <w:r>
              <w:t>Long only version</w:t>
            </w:r>
          </w:p>
        </w:tc>
        <w:tc>
          <w:tcPr>
            <w:tcW w:type="dxa" w:w="1080"/>
          </w:tcPr>
          <w:p>
            <w:r>
              <w:t>Long only</w:t>
            </w:r>
          </w:p>
        </w:tc>
        <w:tc>
          <w:tcPr>
            <w:tcW w:type="dxa" w:w="1080"/>
          </w:tcPr>
          <w:p>
            <w:r>
              <w:t>6.86</w:t>
            </w:r>
          </w:p>
        </w:tc>
        <w:tc>
          <w:tcPr>
            <w:tcW w:type="dxa" w:w="1080"/>
          </w:tcPr>
          <w:p>
            <w:r>
              <w:t>-3.22%</w:t>
            </w:r>
          </w:p>
        </w:tc>
        <w:tc>
          <w:tcPr>
            <w:tcW w:type="dxa" w:w="1080"/>
          </w:tcPr>
          <w:p>
            <w:r>
              <w:t>34.70%</w:t>
            </w:r>
          </w:p>
        </w:tc>
        <w:tc>
          <w:tcPr>
            <w:tcW w:type="dxa" w:w="1080"/>
          </w:tcPr>
          <w:p>
            <w:r>
              <w:t>83.85%</w:t>
            </w:r>
          </w:p>
        </w:tc>
        <w:tc>
          <w:tcPr>
            <w:tcW w:type="dxa" w:w="1080"/>
          </w:tcPr>
          <w:p>
            <w:r>
              <w:t>--</w:t>
            </w:r>
          </w:p>
        </w:tc>
      </w:tr>
      <w:tr>
        <w:tc>
          <w:tcPr>
            <w:tcW w:type="dxa" w:w="1080"/>
          </w:tcPr>
          <w:p>
            <w:r>
              <w:t>STK_009</w:t>
            </w:r>
          </w:p>
        </w:tc>
        <w:tc>
          <w:tcPr>
            <w:tcW w:type="dxa" w:w="1080"/>
          </w:tcPr>
          <w:p>
            <w:r>
              <w:t>Short only best</w:t>
            </w:r>
          </w:p>
        </w:tc>
        <w:tc>
          <w:tcPr>
            <w:tcW w:type="dxa" w:w="1080"/>
          </w:tcPr>
          <w:p>
            <w:r>
              <w:t>Short only</w:t>
            </w:r>
          </w:p>
        </w:tc>
        <w:tc>
          <w:tcPr>
            <w:tcW w:type="dxa" w:w="1080"/>
          </w:tcPr>
          <w:p>
            <w:r>
              <w:t>5.51</w:t>
            </w:r>
          </w:p>
        </w:tc>
        <w:tc>
          <w:tcPr>
            <w:tcW w:type="dxa" w:w="1080"/>
          </w:tcPr>
          <w:p>
            <w:r>
              <w:t>-2.13%</w:t>
            </w:r>
          </w:p>
        </w:tc>
        <w:tc>
          <w:tcPr>
            <w:tcW w:type="dxa" w:w="1080"/>
          </w:tcPr>
          <w:p>
            <w:r>
              <w:t>22.61%</w:t>
            </w:r>
          </w:p>
        </w:tc>
        <w:tc>
          <w:tcPr>
            <w:tcW w:type="dxa" w:w="1080"/>
          </w:tcPr>
          <w:p>
            <w:r>
              <w:t>86.17%</w:t>
            </w:r>
          </w:p>
        </w:tc>
        <w:tc>
          <w:tcPr>
            <w:tcW w:type="dxa" w:w="1080"/>
          </w:tcPr>
          <w:p>
            <w:r>
              <w:t>--</w:t>
            </w:r>
          </w:p>
        </w:tc>
      </w:tr>
    </w:tbl>
    <w:p/>
    <w:p>
      <w:r>
        <w:t>Key finding: target6_atr2 + risk_balanced + vol_inverse is non-negotiable. Changing any one of these three components significantly degrades Sharpe. The combined L+S approach beats long-only by approximately 0.25 Sharpe due to diversification. 2025 out-of-sample for STK_045 is Sharpe 7.15 -- better than the 2018-2024 in-sample average, confirming the model is not overfitted.</w:t>
      </w:r>
    </w:p>
    <w:p>
      <w:pPr>
        <w:pStyle w:val="Heading3"/>
      </w:pPr>
      <w:r>
        <w:t>Options Strategy Results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Config ID</w:t>
            </w:r>
          </w:p>
        </w:tc>
        <w:tc>
          <w:tcPr>
            <w:tcW w:type="dxa" w:w="1080"/>
          </w:tcPr>
          <w:p>
            <w:r>
              <w:rPr>
                <w:b/>
              </w:rPr>
              <w:t>Description</w:t>
            </w:r>
          </w:p>
        </w:tc>
        <w:tc>
          <w:tcPr>
            <w:tcW w:type="dxa" w:w="1080"/>
          </w:tcPr>
          <w:p>
            <w:r>
              <w:rPr>
                <w:b/>
              </w:rPr>
              <w:t>Direction</w:t>
            </w:r>
          </w:p>
        </w:tc>
        <w:tc>
          <w:tcPr>
            <w:tcW w:type="dxa" w:w="1080"/>
          </w:tcPr>
          <w:p>
            <w:r>
              <w:rPr>
                <w:b/>
              </w:rPr>
              <w:t>Sharpe</w:t>
            </w:r>
          </w:p>
        </w:tc>
        <w:tc>
          <w:tcPr>
            <w:tcW w:type="dxa" w:w="1080"/>
          </w:tcPr>
          <w:p>
            <w:r>
              <w:rPr>
                <w:b/>
              </w:rPr>
              <w:t>Max DD</w:t>
            </w:r>
          </w:p>
        </w:tc>
        <w:tc>
          <w:tcPr>
            <w:tcW w:type="dxa" w:w="1080"/>
          </w:tcPr>
          <w:p>
            <w:r>
              <w:rPr>
                <w:b/>
              </w:rPr>
              <w:t>Ann Return*</w:t>
            </w:r>
          </w:p>
        </w:tc>
        <w:tc>
          <w:tcPr>
            <w:tcW w:type="dxa" w:w="1080"/>
          </w:tcPr>
          <w:p>
            <w:r>
              <w:rPr>
                <w:b/>
              </w:rPr>
              <w:t>Win Rate</w:t>
            </w:r>
          </w:p>
        </w:tc>
        <w:tc>
          <w:tcPr>
            <w:tcW w:type="dxa" w:w="1080"/>
          </w:tcPr>
          <w:p>
            <w:r>
              <w:rPr>
                <w:b/>
              </w:rPr>
              <w:t>2025 OOS</w:t>
            </w:r>
          </w:p>
        </w:tc>
      </w:tr>
      <w:tr>
        <w:tc>
          <w:tcPr>
            <w:tcW w:type="dxa" w:w="1080"/>
          </w:tcPr>
          <w:p>
            <w:r>
              <w:t>OPT_013</w:t>
            </w:r>
          </w:p>
        </w:tc>
        <w:tc>
          <w:tcPr>
            <w:tcW w:type="dxa" w:w="1080"/>
          </w:tcPr>
          <w:p>
            <w:r>
              <w:t>combo_rank/strict/wide/premium_0.025_theta_0.10/vol_inverse</w:t>
            </w:r>
          </w:p>
        </w:tc>
        <w:tc>
          <w:tcPr>
            <w:tcW w:type="dxa" w:w="1080"/>
          </w:tcPr>
          <w:p>
            <w:r>
              <w:t>Long+Short</w:t>
            </w:r>
          </w:p>
        </w:tc>
        <w:tc>
          <w:tcPr>
            <w:tcW w:type="dxa" w:w="1080"/>
          </w:tcPr>
          <w:p>
            <w:r>
              <w:t>5.34</w:t>
            </w:r>
          </w:p>
        </w:tc>
        <w:tc>
          <w:tcPr>
            <w:tcW w:type="dxa" w:w="1080"/>
          </w:tcPr>
          <w:p>
            <w:r>
              <w:t>-22.32%</w:t>
            </w:r>
          </w:p>
        </w:tc>
        <w:tc>
          <w:tcPr>
            <w:tcW w:type="dxa" w:w="1080"/>
          </w:tcPr>
          <w:p>
            <w:r>
              <w:t>3,959%</w:t>
            </w:r>
          </w:p>
        </w:tc>
        <w:tc>
          <w:tcPr>
            <w:tcW w:type="dxa" w:w="1080"/>
          </w:tcPr>
          <w:p>
            <w:r>
              <w:t>71.7%</w:t>
            </w:r>
          </w:p>
        </w:tc>
        <w:tc>
          <w:tcPr>
            <w:tcW w:type="dxa" w:w="1080"/>
          </w:tcPr>
          <w:p>
            <w:r>
              <w:t>5.96</w:t>
            </w:r>
          </w:p>
        </w:tc>
      </w:tr>
      <w:tr>
        <w:tc>
          <w:tcPr>
            <w:tcW w:type="dxa" w:w="1080"/>
          </w:tcPr>
          <w:p>
            <w:r>
              <w:t>OPT_013</w:t>
            </w:r>
          </w:p>
        </w:tc>
        <w:tc>
          <w:tcPr>
            <w:tcW w:type="dxa" w:w="1080"/>
          </w:tcPr>
          <w:p>
            <w:r>
              <w:t>Long only version</w:t>
            </w:r>
          </w:p>
        </w:tc>
        <w:tc>
          <w:tcPr>
            <w:tcW w:type="dxa" w:w="1080"/>
          </w:tcPr>
          <w:p>
            <w:r>
              <w:t>Long only</w:t>
            </w:r>
          </w:p>
        </w:tc>
        <w:tc>
          <w:tcPr>
            <w:tcW w:type="dxa" w:w="1080"/>
          </w:tcPr>
          <w:p>
            <w:r>
              <w:t>4.97</w:t>
            </w:r>
          </w:p>
        </w:tc>
        <w:tc>
          <w:tcPr>
            <w:tcW w:type="dxa" w:w="1080"/>
          </w:tcPr>
          <w:p>
            <w:r>
              <w:t>-30.42%</w:t>
            </w:r>
          </w:p>
        </w:tc>
        <w:tc>
          <w:tcPr>
            <w:tcW w:type="dxa" w:w="1080"/>
          </w:tcPr>
          <w:p>
            <w:r>
              <w:t>~2,400%</w:t>
            </w:r>
          </w:p>
        </w:tc>
        <w:tc>
          <w:tcPr>
            <w:tcW w:type="dxa" w:w="1080"/>
          </w:tcPr>
          <w:p>
            <w:r>
              <w:t>69.1%</w:t>
            </w:r>
          </w:p>
        </w:tc>
        <w:tc>
          <w:tcPr>
            <w:tcW w:type="dxa" w:w="1080"/>
          </w:tcPr>
          <w:p>
            <w:r>
              <w:t>--</w:t>
            </w:r>
          </w:p>
        </w:tc>
      </w:tr>
    </w:tbl>
    <w:p/>
    <w:p>
      <w:r>
        <w:t>* Options annual returns on a $10,000 options account. Reflect leverage and full account redeployment each cycle.</w:t>
      </w:r>
    </w:p>
    <w:p>
      <w:pPr>
        <w:pStyle w:val="Heading3"/>
      </w:pPr>
      <w:r>
        <w:t>Spread Strategy Results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Config ID</w:t>
            </w:r>
          </w:p>
        </w:tc>
        <w:tc>
          <w:tcPr>
            <w:tcW w:type="dxa" w:w="1080"/>
          </w:tcPr>
          <w:p>
            <w:r>
              <w:rPr>
                <w:b/>
              </w:rPr>
              <w:t>Description</w:t>
            </w:r>
          </w:p>
        </w:tc>
        <w:tc>
          <w:tcPr>
            <w:tcW w:type="dxa" w:w="1080"/>
          </w:tcPr>
          <w:p>
            <w:r>
              <w:rPr>
                <w:b/>
              </w:rPr>
              <w:t>Direction</w:t>
            </w:r>
          </w:p>
        </w:tc>
        <w:tc>
          <w:tcPr>
            <w:tcW w:type="dxa" w:w="1080"/>
          </w:tcPr>
          <w:p>
            <w:r>
              <w:rPr>
                <w:b/>
              </w:rPr>
              <w:t>Sharpe</w:t>
            </w:r>
          </w:p>
        </w:tc>
        <w:tc>
          <w:tcPr>
            <w:tcW w:type="dxa" w:w="1080"/>
          </w:tcPr>
          <w:p>
            <w:r>
              <w:rPr>
                <w:b/>
              </w:rPr>
              <w:t>Max DD</w:t>
            </w:r>
          </w:p>
        </w:tc>
        <w:tc>
          <w:tcPr>
            <w:tcW w:type="dxa" w:w="1080"/>
          </w:tcPr>
          <w:p>
            <w:r>
              <w:rPr>
                <w:b/>
              </w:rPr>
              <w:t>Ann Return</w:t>
            </w:r>
          </w:p>
        </w:tc>
        <w:tc>
          <w:tcPr>
            <w:tcW w:type="dxa" w:w="1080"/>
          </w:tcPr>
          <w:p>
            <w:r>
              <w:rPr>
                <w:b/>
              </w:rPr>
              <w:t>Win Rate</w:t>
            </w:r>
          </w:p>
        </w:tc>
        <w:tc>
          <w:tcPr>
            <w:tcW w:type="dxa" w:w="1080"/>
          </w:tcPr>
          <w:p>
            <w:r>
              <w:rPr>
                <w:b/>
              </w:rPr>
              <w:t>2025 OOS</w:t>
            </w:r>
          </w:p>
        </w:tc>
      </w:tr>
      <w:tr>
        <w:tc>
          <w:tcPr>
            <w:tcW w:type="dxa" w:w="1080"/>
          </w:tcPr>
          <w:p>
            <w:r>
              <w:t>SPR_048</w:t>
            </w:r>
          </w:p>
        </w:tc>
        <w:tc>
          <w:tcPr>
            <w:tcW w:type="dxa" w:w="1080"/>
          </w:tcPr>
          <w:p>
            <w:r>
              <w:t>combo_rank/strict/spread_balanced/bull_put_2.0_8.0/vol_inverse</w:t>
            </w:r>
          </w:p>
        </w:tc>
        <w:tc>
          <w:tcPr>
            <w:tcW w:type="dxa" w:w="1080"/>
          </w:tcPr>
          <w:p>
            <w:r>
              <w:t>Long+Short</w:t>
            </w:r>
          </w:p>
        </w:tc>
        <w:tc>
          <w:tcPr>
            <w:tcW w:type="dxa" w:w="1080"/>
          </w:tcPr>
          <w:p>
            <w:r>
              <w:t>6.52</w:t>
            </w:r>
          </w:p>
        </w:tc>
        <w:tc>
          <w:tcPr>
            <w:tcW w:type="dxa" w:w="1080"/>
          </w:tcPr>
          <w:p>
            <w:r>
              <w:t>-25.07%</w:t>
            </w:r>
          </w:p>
        </w:tc>
        <w:tc>
          <w:tcPr>
            <w:tcW w:type="dxa" w:w="1080"/>
          </w:tcPr>
          <w:p>
            <w:r>
              <w:t>613%</w:t>
            </w:r>
          </w:p>
        </w:tc>
        <w:tc>
          <w:tcPr>
            <w:tcW w:type="dxa" w:w="1080"/>
          </w:tcPr>
          <w:p>
            <w:r>
              <w:t>89.4%</w:t>
            </w:r>
          </w:p>
        </w:tc>
        <w:tc>
          <w:tcPr>
            <w:tcW w:type="dxa" w:w="1080"/>
          </w:tcPr>
          <w:p>
            <w:r>
              <w:t>7.67</w:t>
            </w:r>
          </w:p>
        </w:tc>
      </w:tr>
      <w:tr>
        <w:tc>
          <w:tcPr>
            <w:tcW w:type="dxa" w:w="1080"/>
          </w:tcPr>
          <w:p>
            <w:r>
              <w:t>SPR_036</w:t>
            </w:r>
          </w:p>
        </w:tc>
        <w:tc>
          <w:tcPr>
            <w:tcW w:type="dxa" w:w="1080"/>
          </w:tcPr>
          <w:p>
            <w:r>
              <w:t>Long only version</w:t>
            </w:r>
          </w:p>
        </w:tc>
        <w:tc>
          <w:tcPr>
            <w:tcW w:type="dxa" w:w="1080"/>
          </w:tcPr>
          <w:p>
            <w:r>
              <w:t>Long only</w:t>
            </w:r>
          </w:p>
        </w:tc>
        <w:tc>
          <w:tcPr>
            <w:tcW w:type="dxa" w:w="1080"/>
          </w:tcPr>
          <w:p>
            <w:r>
              <w:t>5.96</w:t>
            </w:r>
          </w:p>
        </w:tc>
        <w:tc>
          <w:tcPr>
            <w:tcW w:type="dxa" w:w="1080"/>
          </w:tcPr>
          <w:p>
            <w:r>
              <w:t>-29.92%</w:t>
            </w:r>
          </w:p>
        </w:tc>
        <w:tc>
          <w:tcPr>
            <w:tcW w:type="dxa" w:w="1080"/>
          </w:tcPr>
          <w:p>
            <w:r>
              <w:t>616%</w:t>
            </w:r>
          </w:p>
        </w:tc>
        <w:tc>
          <w:tcPr>
            <w:tcW w:type="dxa" w:w="1080"/>
          </w:tcPr>
          <w:p>
            <w:r>
              <w:t>88.6%</w:t>
            </w:r>
          </w:p>
        </w:tc>
        <w:tc>
          <w:tcPr>
            <w:tcW w:type="dxa" w:w="1080"/>
          </w:tcPr>
          <w:p>
            <w:r>
              <w:t>--</w:t>
            </w:r>
          </w:p>
        </w:tc>
      </w:tr>
      <w:tr>
        <w:tc>
          <w:tcPr>
            <w:tcW w:type="dxa" w:w="1080"/>
          </w:tcPr>
          <w:p>
            <w:r>
              <w:t>SPR_048</w:t>
            </w:r>
          </w:p>
        </w:tc>
        <w:tc>
          <w:tcPr>
            <w:tcW w:type="dxa" w:w="1080"/>
          </w:tcPr>
          <w:p>
            <w:r>
              <w:t>Short only version</w:t>
            </w:r>
          </w:p>
        </w:tc>
        <w:tc>
          <w:tcPr>
            <w:tcW w:type="dxa" w:w="1080"/>
          </w:tcPr>
          <w:p>
            <w:r>
              <w:t>Short only</w:t>
            </w:r>
          </w:p>
        </w:tc>
        <w:tc>
          <w:tcPr>
            <w:tcW w:type="dxa" w:w="1080"/>
          </w:tcPr>
          <w:p>
            <w:r>
              <w:t>5.52</w:t>
            </w:r>
          </w:p>
        </w:tc>
        <w:tc>
          <w:tcPr>
            <w:tcW w:type="dxa" w:w="1080"/>
          </w:tcPr>
          <w:p>
            <w:r>
              <w:t>-12.88%</w:t>
            </w:r>
          </w:p>
        </w:tc>
        <w:tc>
          <w:tcPr>
            <w:tcW w:type="dxa" w:w="1080"/>
          </w:tcPr>
          <w:p>
            <w:r>
              <w:t>288%</w:t>
            </w:r>
          </w:p>
        </w:tc>
        <w:tc>
          <w:tcPr>
            <w:tcW w:type="dxa" w:w="1080"/>
          </w:tcPr>
          <w:p>
            <w:r>
              <w:t>92.5%</w:t>
            </w:r>
          </w:p>
        </w:tc>
        <w:tc>
          <w:tcPr>
            <w:tcW w:type="dxa" w:w="1080"/>
          </w:tcPr>
          <w:p>
            <w:r>
              <w:t>--</w:t>
            </w:r>
          </w:p>
        </w:tc>
      </w:tr>
    </w:tbl>
    <w:p/>
    <w:p>
      <w:r>
        <w:t>Bull put credit spreads dominate. Credit spreads make theta work for the strategy. Combined L+S gives a large Sharpe boost vs long-only for spreads because short seasonal patterns in bear periods pair well with credit spread structures. 2025 holdout for spreads (Sharpe 7.67) is the strongest holdout result across all asset classes.</w:t>
      </w:r>
    </w:p>
    <w:p>
      <w:pPr>
        <w:pStyle w:val="Heading3"/>
      </w:pPr>
      <w:r>
        <w:t>Why Codex Sharpe Is Much Higher Than the Original System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Factor</w:t>
            </w:r>
          </w:p>
        </w:tc>
        <w:tc>
          <w:tcPr>
            <w:tcW w:type="dxa" w:w="2880"/>
          </w:tcPr>
          <w:p>
            <w:r>
              <w:rPr>
                <w:b/>
              </w:rPr>
              <w:t>Original System (Auto Trading)</w:t>
            </w:r>
          </w:p>
        </w:tc>
        <w:tc>
          <w:tcPr>
            <w:tcW w:type="dxa" w:w="2880"/>
          </w:tcPr>
          <w:p>
            <w:r>
              <w:rPr>
                <w:b/>
              </w:rPr>
              <w:t>Codex System (Research)</w:t>
            </w:r>
          </w:p>
        </w:tc>
      </w:tr>
      <w:tr>
        <w:tc>
          <w:tcPr>
            <w:tcW w:type="dxa" w:w="2880"/>
          </w:tcPr>
          <w:p>
            <w:r>
              <w:t>Exit mechanism</w:t>
            </w:r>
          </w:p>
        </w:tc>
        <w:tc>
          <w:tcPr>
            <w:tcW w:type="dxa" w:w="2880"/>
          </w:tcPr>
          <w:p>
            <w:r>
              <w:t>EP: fixed 6% profit target, flat stop</w:t>
            </w:r>
          </w:p>
        </w:tc>
        <w:tc>
          <w:tcPr>
            <w:tcW w:type="dxa" w:w="2880"/>
          </w:tcPr>
          <w:p>
            <w:r>
              <w:t>target6_atr2: 6% target + 2x ATR volatility-scaled floor</w:t>
            </w:r>
          </w:p>
        </w:tc>
      </w:tr>
      <w:tr>
        <w:tc>
          <w:tcPr>
            <w:tcW w:type="dxa" w:w="2880"/>
          </w:tcPr>
          <w:p>
            <w:r>
              <w:t>Sizing</w:t>
            </w:r>
          </w:p>
        </w:tc>
        <w:tc>
          <w:tcPr>
            <w:tcW w:type="dxa" w:w="2880"/>
          </w:tcPr>
          <w:p>
            <w:r>
              <w:t>Kelly-based (SK)</w:t>
            </w:r>
          </w:p>
        </w:tc>
        <w:tc>
          <w:tcPr>
            <w:tcW w:type="dxa" w:w="2880"/>
          </w:tcPr>
          <w:p>
            <w:r>
              <w:t>vol_inverse: smaller positions in more volatile stocks</w:t>
            </w:r>
          </w:p>
        </w:tc>
      </w:tr>
      <w:tr>
        <w:tc>
          <w:tcPr>
            <w:tcW w:type="dxa" w:w="2880"/>
          </w:tcPr>
          <w:p>
            <w:r>
              <w:t>Direction</w:t>
            </w:r>
          </w:p>
        </w:tc>
        <w:tc>
          <w:tcPr>
            <w:tcW w:type="dxa" w:w="2880"/>
          </w:tcPr>
          <w:p>
            <w:r>
              <w:t>Long only</w:t>
            </w:r>
          </w:p>
        </w:tc>
        <w:tc>
          <w:tcPr>
            <w:tcW w:type="dxa" w:w="2880"/>
          </w:tcPr>
          <w:p>
            <w:r>
              <w:t>Combined long + short (diversification)</w:t>
            </w:r>
          </w:p>
        </w:tc>
      </w:tr>
      <w:tr>
        <w:tc>
          <w:tcPr>
            <w:tcW w:type="dxa" w:w="2880"/>
          </w:tcPr>
          <w:p>
            <w:r>
              <w:t>Position count</w:t>
            </w:r>
          </w:p>
        </w:tc>
        <w:tc>
          <w:tcPr>
            <w:tcW w:type="dxa" w:w="2880"/>
          </w:tcPr>
          <w:p>
            <w:r>
              <w:t>5 positions, 2 sector cap</w:t>
            </w:r>
          </w:p>
        </w:tc>
        <w:tc>
          <w:tcPr>
            <w:tcW w:type="dxa" w:w="2880"/>
          </w:tcPr>
          <w:p>
            <w:r>
              <w:t>10 positions, 3 sector cap</w:t>
            </w:r>
          </w:p>
        </w:tc>
      </w:tr>
      <w:tr>
        <w:tc>
          <w:tcPr>
            <w:tcW w:type="dxa" w:w="2880"/>
          </w:tcPr>
          <w:p>
            <w:r>
              <w:t>Win rate result</w:t>
            </w:r>
          </w:p>
        </w:tc>
        <w:tc>
          <w:tcPr>
            <w:tcW w:type="dxa" w:w="2880"/>
          </w:tcPr>
          <w:p>
            <w:r>
              <w:t>~55-63%</w:t>
            </w:r>
          </w:p>
        </w:tc>
        <w:tc>
          <w:tcPr>
            <w:tcW w:type="dxa" w:w="2880"/>
          </w:tcPr>
          <w:p>
            <w:r>
              <w:t>84-86%</w:t>
            </w:r>
          </w:p>
        </w:tc>
      </w:tr>
      <w:tr>
        <w:tc>
          <w:tcPr>
            <w:tcW w:type="dxa" w:w="2880"/>
          </w:tcPr>
          <w:p>
            <w:r>
              <w:t>Sharpe result</w:t>
            </w:r>
          </w:p>
        </w:tc>
        <w:tc>
          <w:tcPr>
            <w:tcW w:type="dxa" w:w="2880"/>
          </w:tcPr>
          <w:p>
            <w:r>
              <w:t>3.66-4.22</w:t>
            </w:r>
          </w:p>
        </w:tc>
        <w:tc>
          <w:tcPr>
            <w:tcW w:type="dxa" w:w="2880"/>
          </w:tcPr>
          <w:p>
            <w:r>
              <w:t>6.86-7.11</w:t>
            </w:r>
          </w:p>
        </w:tc>
      </w:tr>
    </w:tbl>
    <w:p/>
    <w:p>
      <w:pPr>
        <w:pStyle w:val="Heading2"/>
      </w:pPr>
      <w:r>
        <w:t>7.3 V4 Enhanced Backtest Results (April 2026)</w:t>
      </w:r>
    </w:p>
    <w:p>
      <w:r>
        <w:t>V4 tested five enhancement dimensions on the Codex V3 baseline (Sharpe 7.11) across 90 configurations. SkipMonday emerged as the single most effective individual enhancement.</w:t>
      </w:r>
    </w:p>
    <w:p>
      <w:pPr>
        <w:pStyle w:val="Heading3"/>
      </w:pPr>
      <w:r>
        <w:t>Enhancement Attribution (BaseA, Combined L+S)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Enhancement</w:t>
            </w:r>
          </w:p>
        </w:tc>
        <w:tc>
          <w:tcPr>
            <w:tcW w:type="dxa" w:w="1440"/>
          </w:tcPr>
          <w:p>
            <w:r>
              <w:rPr>
                <w:b/>
              </w:rPr>
              <w:t>Sharpe</w:t>
            </w:r>
          </w:p>
        </w:tc>
        <w:tc>
          <w:tcPr>
            <w:tcW w:type="dxa" w:w="1440"/>
          </w:tcPr>
          <w:p>
            <w:r>
              <w:rPr>
                <w:b/>
              </w:rPr>
              <w:t>Max DD</w:t>
            </w:r>
          </w:p>
        </w:tc>
        <w:tc>
          <w:tcPr>
            <w:tcW w:type="dxa" w:w="1440"/>
          </w:tcPr>
          <w:p>
            <w:r>
              <w:rPr>
                <w:b/>
              </w:rPr>
              <w:t>CAGR</w:t>
            </w:r>
          </w:p>
        </w:tc>
        <w:tc>
          <w:tcPr>
            <w:tcW w:type="dxa" w:w="1440"/>
          </w:tcPr>
          <w:p>
            <w:r>
              <w:rPr>
                <w:b/>
              </w:rPr>
              <w:t>Trade Count</w:t>
            </w:r>
          </w:p>
        </w:tc>
        <w:tc>
          <w:tcPr>
            <w:tcW w:type="dxa" w:w="1440"/>
          </w:tcPr>
          <w:p>
            <w:r>
              <w:rPr>
                <w:b/>
              </w:rPr>
              <w:t>All Years+</w:t>
            </w:r>
          </w:p>
        </w:tc>
      </w:tr>
      <w:tr>
        <w:tc>
          <w:tcPr>
            <w:tcW w:type="dxa" w:w="1440"/>
          </w:tcPr>
          <w:p>
            <w:r>
              <w:t>01_baseline (V3 equivalent)</w:t>
            </w:r>
          </w:p>
        </w:tc>
        <w:tc>
          <w:tcPr>
            <w:tcW w:type="dxa" w:w="1440"/>
          </w:tcPr>
          <w:p>
            <w:r>
              <w:t>7.11</w:t>
            </w:r>
          </w:p>
        </w:tc>
        <w:tc>
          <w:tcPr>
            <w:tcW w:type="dxa" w:w="1440"/>
          </w:tcPr>
          <w:p>
            <w:r>
              <w:t>-2.65%</w:t>
            </w:r>
          </w:p>
        </w:tc>
        <w:tc>
          <w:tcPr>
            <w:tcW w:type="dxa" w:w="1440"/>
          </w:tcPr>
          <w:p>
            <w:r>
              <w:t>35.67%</w:t>
            </w:r>
          </w:p>
        </w:tc>
        <w:tc>
          <w:tcPr>
            <w:tcW w:type="dxa" w:w="1440"/>
          </w:tcPr>
          <w:p>
            <w:r>
              <w:t>1,194</w:t>
            </w:r>
          </w:p>
        </w:tc>
        <w:tc>
          <w:tcPr>
            <w:tcW w:type="dxa" w:w="1440"/>
          </w:tcPr>
          <w:p>
            <w:r>
              <w:t>Yes</w:t>
            </w:r>
          </w:p>
        </w:tc>
      </w:tr>
      <w:tr>
        <w:tc>
          <w:tcPr>
            <w:tcW w:type="dxa" w:w="1440"/>
          </w:tcPr>
          <w:p>
            <w:r>
              <w:t>02_vix_block (no entry VIX&gt;=35)</w:t>
            </w:r>
          </w:p>
        </w:tc>
        <w:tc>
          <w:tcPr>
            <w:tcW w:type="dxa" w:w="1440"/>
          </w:tcPr>
          <w:p>
            <w:r>
              <w:t>7.11</w:t>
            </w:r>
          </w:p>
        </w:tc>
        <w:tc>
          <w:tcPr>
            <w:tcW w:type="dxa" w:w="1440"/>
          </w:tcPr>
          <w:p>
            <w:r>
              <w:t>-2.65%</w:t>
            </w:r>
          </w:p>
        </w:tc>
        <w:tc>
          <w:tcPr>
            <w:tcW w:type="dxa" w:w="1440"/>
          </w:tcPr>
          <w:p>
            <w:r>
              <w:t>35.67%</w:t>
            </w:r>
          </w:p>
        </w:tc>
        <w:tc>
          <w:tcPr>
            <w:tcW w:type="dxa" w:w="1440"/>
          </w:tcPr>
          <w:p>
            <w:r>
              <w:t>1,194</w:t>
            </w:r>
          </w:p>
        </w:tc>
        <w:tc>
          <w:tcPr>
            <w:tcW w:type="dxa" w:w="1440"/>
          </w:tcPr>
          <w:p>
            <w:r>
              <w:t>Yes</w:t>
            </w:r>
          </w:p>
        </w:tc>
      </w:tr>
      <w:tr>
        <w:tc>
          <w:tcPr>
            <w:tcW w:type="dxa" w:w="1440"/>
          </w:tcPr>
          <w:p>
            <w:r>
              <w:t>03_sym_quality (prior-yr return filter)</w:t>
            </w:r>
          </w:p>
        </w:tc>
        <w:tc>
          <w:tcPr>
            <w:tcW w:type="dxa" w:w="1440"/>
          </w:tcPr>
          <w:p>
            <w:r>
              <w:t>7.03</w:t>
            </w:r>
          </w:p>
        </w:tc>
        <w:tc>
          <w:tcPr>
            <w:tcW w:type="dxa" w:w="1440"/>
          </w:tcPr>
          <w:p>
            <w:r>
              <w:t>-2.83%</w:t>
            </w:r>
          </w:p>
        </w:tc>
        <w:tc>
          <w:tcPr>
            <w:tcW w:type="dxa" w:w="1440"/>
          </w:tcPr>
          <w:p>
            <w:r>
              <w:t>37.14%</w:t>
            </w:r>
          </w:p>
        </w:tc>
        <w:tc>
          <w:tcPr>
            <w:tcW w:type="dxa" w:w="1440"/>
          </w:tcPr>
          <w:p>
            <w:r>
              <w:t>1,274</w:t>
            </w:r>
          </w:p>
        </w:tc>
        <w:tc>
          <w:tcPr>
            <w:tcW w:type="dxa" w:w="1440"/>
          </w:tcPr>
          <w:p>
            <w:r>
              <w:t>Yes</w:t>
            </w:r>
          </w:p>
        </w:tc>
      </w:tr>
      <w:tr>
        <w:tc>
          <w:tcPr>
            <w:tcW w:type="dxa" w:w="1440"/>
          </w:tcPr>
          <w:p>
            <w:r>
              <w:t>04_no_repeat14 (14-day symbol cooldown)</w:t>
            </w:r>
          </w:p>
        </w:tc>
        <w:tc>
          <w:tcPr>
            <w:tcW w:type="dxa" w:w="1440"/>
          </w:tcPr>
          <w:p>
            <w:r>
              <w:t>7.16</w:t>
            </w:r>
          </w:p>
        </w:tc>
        <w:tc>
          <w:tcPr>
            <w:tcW w:type="dxa" w:w="1440"/>
          </w:tcPr>
          <w:p>
            <w:r>
              <w:t>-2.54%</w:t>
            </w:r>
          </w:p>
        </w:tc>
        <w:tc>
          <w:tcPr>
            <w:tcW w:type="dxa" w:w="1440"/>
          </w:tcPr>
          <w:p>
            <w:r>
              <w:t>35.92%</w:t>
            </w:r>
          </w:p>
        </w:tc>
        <w:tc>
          <w:tcPr>
            <w:tcW w:type="dxa" w:w="1440"/>
          </w:tcPr>
          <w:p>
            <w:r>
              <w:t>1,193</w:t>
            </w:r>
          </w:p>
        </w:tc>
        <w:tc>
          <w:tcPr>
            <w:tcW w:type="dxa" w:w="1440"/>
          </w:tcPr>
          <w:p>
            <w:r>
              <w:t>Yes</w:t>
            </w:r>
          </w:p>
        </w:tc>
      </w:tr>
      <w:tr>
        <w:tc>
          <w:tcPr>
            <w:tcW w:type="dxa" w:w="1440"/>
          </w:tcPr>
          <w:p>
            <w:r>
              <w:t>05_skip_monday (no Monday entries)</w:t>
            </w:r>
          </w:p>
        </w:tc>
        <w:tc>
          <w:tcPr>
            <w:tcW w:type="dxa" w:w="1440"/>
          </w:tcPr>
          <w:p>
            <w:r>
              <w:t>7.46</w:t>
            </w:r>
          </w:p>
        </w:tc>
        <w:tc>
          <w:tcPr>
            <w:tcW w:type="dxa" w:w="1440"/>
          </w:tcPr>
          <w:p>
            <w:r>
              <w:t>-1.84%</w:t>
            </w:r>
          </w:p>
        </w:tc>
        <w:tc>
          <w:tcPr>
            <w:tcW w:type="dxa" w:w="1440"/>
          </w:tcPr>
          <w:p>
            <w:r>
              <w:t>36.32%</w:t>
            </w:r>
          </w:p>
        </w:tc>
        <w:tc>
          <w:tcPr>
            <w:tcW w:type="dxa" w:w="1440"/>
          </w:tcPr>
          <w:p>
            <w:r>
              <w:t>1,155</w:t>
            </w:r>
          </w:p>
        </w:tc>
        <w:tc>
          <w:tcPr>
            <w:tcW w:type="dxa" w:w="1440"/>
          </w:tcPr>
          <w:p>
            <w:r>
              <w:t>Yes</w:t>
            </w:r>
          </w:p>
        </w:tc>
      </w:tr>
      <w:tr>
        <w:tc>
          <w:tcPr>
            <w:tcW w:type="dxa" w:w="1440"/>
          </w:tcPr>
          <w:p>
            <w:r>
              <w:t>06_wkly_breaker (pause after 3/5 losses)</w:t>
            </w:r>
          </w:p>
        </w:tc>
        <w:tc>
          <w:tcPr>
            <w:tcW w:type="dxa" w:w="1440"/>
          </w:tcPr>
          <w:p>
            <w:r>
              <w:t>2.33</w:t>
            </w:r>
          </w:p>
        </w:tc>
        <w:tc>
          <w:tcPr>
            <w:tcW w:type="dxa" w:w="1440"/>
          </w:tcPr>
          <w:p>
            <w:r>
              <w:t>-2.65%</w:t>
            </w:r>
          </w:p>
        </w:tc>
        <w:tc>
          <w:tcPr>
            <w:tcW w:type="dxa" w:w="1440"/>
          </w:tcPr>
          <w:p>
            <w:r>
              <w:t>4.66%</w:t>
            </w:r>
          </w:p>
        </w:tc>
        <w:tc>
          <w:tcPr>
            <w:tcW w:type="dxa" w:w="1440"/>
          </w:tcPr>
          <w:p>
            <w:r>
              <w:t>221</w:t>
            </w:r>
          </w:p>
        </w:tc>
        <w:tc>
          <w:tcPr>
            <w:tcW w:type="dxa" w:w="1440"/>
          </w:tcPr>
          <w:p>
            <w:r>
              <w:t>No</w:t>
            </w:r>
          </w:p>
        </w:tc>
      </w:tr>
      <w:tr>
        <w:tc>
          <w:tcPr>
            <w:tcW w:type="dxa" w:w="1440"/>
          </w:tcPr>
          <w:p>
            <w:r>
              <w:t>07_best4 (all 4 filters combined)</w:t>
            </w:r>
          </w:p>
        </w:tc>
        <w:tc>
          <w:tcPr>
            <w:tcW w:type="dxa" w:w="1440"/>
          </w:tcPr>
          <w:p>
            <w:r>
              <w:t>6.92</w:t>
            </w:r>
          </w:p>
        </w:tc>
        <w:tc>
          <w:tcPr>
            <w:tcW w:type="dxa" w:w="1440"/>
          </w:tcPr>
          <w:p>
            <w:r>
              <w:t>-2.12%</w:t>
            </w:r>
          </w:p>
        </w:tc>
        <w:tc>
          <w:tcPr>
            <w:tcW w:type="dxa" w:w="1440"/>
          </w:tcPr>
          <w:p>
            <w:r>
              <w:t>33.93%</w:t>
            </w:r>
          </w:p>
        </w:tc>
        <w:tc>
          <w:tcPr>
            <w:tcW w:type="dxa" w:w="1440"/>
          </w:tcPr>
          <w:p>
            <w:r>
              <w:t>1,170</w:t>
            </w:r>
          </w:p>
        </w:tc>
        <w:tc>
          <w:tcPr>
            <w:tcW w:type="dxa" w:w="1440"/>
          </w:tcPr>
          <w:p>
            <w:r>
              <w:t>Yes</w:t>
            </w:r>
          </w:p>
        </w:tc>
      </w:tr>
      <w:tr>
        <w:tc>
          <w:tcPr>
            <w:tcW w:type="dxa" w:w="1440"/>
          </w:tcPr>
          <w:p>
            <w:r>
              <w:t>09_regime (100-Year Pattern switching)</w:t>
            </w:r>
          </w:p>
        </w:tc>
        <w:tc>
          <w:tcPr>
            <w:tcW w:type="dxa" w:w="1440"/>
          </w:tcPr>
          <w:p>
            <w:r>
              <w:t>6.98</w:t>
            </w:r>
          </w:p>
        </w:tc>
        <w:tc>
          <w:tcPr>
            <w:tcW w:type="dxa" w:w="1440"/>
          </w:tcPr>
          <w:p>
            <w:r>
              <w:t>-3.31%</w:t>
            </w:r>
          </w:p>
        </w:tc>
        <w:tc>
          <w:tcPr>
            <w:tcW w:type="dxa" w:w="1440"/>
          </w:tcPr>
          <w:p>
            <w:r>
              <w:t>36.38%</w:t>
            </w:r>
          </w:p>
        </w:tc>
        <w:tc>
          <w:tcPr>
            <w:tcW w:type="dxa" w:w="1440"/>
          </w:tcPr>
          <w:p>
            <w:r>
              <w:t>1,243</w:t>
            </w:r>
          </w:p>
        </w:tc>
        <w:tc>
          <w:tcPr>
            <w:tcW w:type="dxa" w:w="1440"/>
          </w:tcPr>
          <w:p>
            <w:r>
              <w:t>Yes</w:t>
            </w:r>
          </w:p>
        </w:tc>
      </w:tr>
      <w:tr>
        <w:tc>
          <w:tcPr>
            <w:tcW w:type="dxa" w:w="1440"/>
          </w:tcPr>
          <w:p>
            <w:r>
              <w:t>12_full (all enhancements)</w:t>
            </w:r>
          </w:p>
        </w:tc>
        <w:tc>
          <w:tcPr>
            <w:tcW w:type="dxa" w:w="1440"/>
          </w:tcPr>
          <w:p>
            <w:r>
              <w:t>6.38</w:t>
            </w:r>
          </w:p>
        </w:tc>
        <w:tc>
          <w:tcPr>
            <w:tcW w:type="dxa" w:w="1440"/>
          </w:tcPr>
          <w:p>
            <w:r>
              <w:t>-2.11%</w:t>
            </w:r>
          </w:p>
        </w:tc>
        <w:tc>
          <w:tcPr>
            <w:tcW w:type="dxa" w:w="1440"/>
          </w:tcPr>
          <w:p>
            <w:r>
              <w:t>27.10%</w:t>
            </w:r>
          </w:p>
        </w:tc>
        <w:tc>
          <w:tcPr>
            <w:tcW w:type="dxa" w:w="1440"/>
          </w:tcPr>
          <w:p>
            <w:r>
              <w:t>971</w:t>
            </w:r>
          </w:p>
        </w:tc>
        <w:tc>
          <w:tcPr>
            <w:tcW w:type="dxa" w:w="1440"/>
          </w:tcPr>
          <w:p>
            <w:r>
              <w:t>Yes</w:t>
            </w:r>
          </w:p>
        </w:tc>
      </w:tr>
    </w:tbl>
    <w:p/>
    <w:p>
      <w:r>
        <w:t>WeeklyBreaker is catastrophic: reduces trade count from 1,194 to 221 and collapses Sharpe from 7.11 to 2.33. The full stack inherits this damage. SkipMonday is the only enhancement that simultaneously improves both Sharpe and drawdown.</w:t>
      </w:r>
    </w:p>
    <w:p>
      <w:pPr>
        <w:pStyle w:val="Heading3"/>
      </w:pPr>
      <w:r>
        <w:t>V4 Best Configurations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Role</w:t>
            </w:r>
          </w:p>
        </w:tc>
        <w:tc>
          <w:tcPr>
            <w:tcW w:type="dxa" w:w="1234"/>
          </w:tcPr>
          <w:p>
            <w:r>
              <w:rPr>
                <w:b/>
              </w:rPr>
              <w:t>Config ID</w:t>
            </w:r>
          </w:p>
        </w:tc>
        <w:tc>
          <w:tcPr>
            <w:tcW w:type="dxa" w:w="1234"/>
          </w:tcPr>
          <w:p>
            <w:r>
              <w:rPr>
                <w:b/>
              </w:rPr>
              <w:t>Sharpe</w:t>
            </w:r>
          </w:p>
        </w:tc>
        <w:tc>
          <w:tcPr>
            <w:tcW w:type="dxa" w:w="1234"/>
          </w:tcPr>
          <w:p>
            <w:r>
              <w:rPr>
                <w:b/>
              </w:rPr>
              <w:t>Max DD</w:t>
            </w:r>
          </w:p>
        </w:tc>
        <w:tc>
          <w:tcPr>
            <w:tcW w:type="dxa" w:w="1234"/>
          </w:tcPr>
          <w:p>
            <w:r>
              <w:rPr>
                <w:b/>
              </w:rPr>
              <w:t>CAGR</w:t>
            </w:r>
          </w:p>
        </w:tc>
        <w:tc>
          <w:tcPr>
            <w:tcW w:type="dxa" w:w="1234"/>
          </w:tcPr>
          <w:p>
            <w:r>
              <w:rPr>
                <w:b/>
              </w:rPr>
              <w:t>Win Rate</w:t>
            </w:r>
          </w:p>
        </w:tc>
        <w:tc>
          <w:tcPr>
            <w:tcW w:type="dxa" w:w="1234"/>
          </w:tcPr>
          <w:p>
            <w:r>
              <w:rPr>
                <w:b/>
              </w:rPr>
              <w:t>2025 OOS Sharpe</w:t>
            </w:r>
          </w:p>
        </w:tc>
      </w:tr>
      <w:tr>
        <w:tc>
          <w:tcPr>
            <w:tcW w:type="dxa" w:w="1234"/>
          </w:tcPr>
          <w:p>
            <w:r>
              <w:t>Primary combined L+S</w:t>
            </w:r>
          </w:p>
        </w:tc>
        <w:tc>
          <w:tcPr>
            <w:tcW w:type="dxa" w:w="1234"/>
          </w:tcPr>
          <w:p>
            <w:r>
              <w:t>V4_STK_A_05_skip_monday_B</w:t>
            </w:r>
          </w:p>
        </w:tc>
        <w:tc>
          <w:tcPr>
            <w:tcW w:type="dxa" w:w="1234"/>
          </w:tcPr>
          <w:p>
            <w:r>
              <w:t>7.46</w:t>
            </w:r>
          </w:p>
        </w:tc>
        <w:tc>
          <w:tcPr>
            <w:tcW w:type="dxa" w:w="1234"/>
          </w:tcPr>
          <w:p>
            <w:r>
              <w:t>-1.84%</w:t>
            </w:r>
          </w:p>
        </w:tc>
        <w:tc>
          <w:tcPr>
            <w:tcW w:type="dxa" w:w="1234"/>
          </w:tcPr>
          <w:p>
            <w:r>
              <w:t>36.32%</w:t>
            </w:r>
          </w:p>
        </w:tc>
        <w:tc>
          <w:tcPr>
            <w:tcW w:type="dxa" w:w="1234"/>
          </w:tcPr>
          <w:p>
            <w:r>
              <w:t>85.9%</w:t>
            </w:r>
          </w:p>
        </w:tc>
        <w:tc>
          <w:tcPr>
            <w:tcW w:type="dxa" w:w="1234"/>
          </w:tcPr>
          <w:p>
            <w:r>
              <w:t>8.41</w:t>
            </w:r>
          </w:p>
        </w:tc>
      </w:tr>
      <w:tr>
        <w:tc>
          <w:tcPr>
            <w:tcW w:type="dxa" w:w="1234"/>
          </w:tcPr>
          <w:p>
            <w:r>
              <w:t>Long-only sleeve</w:t>
            </w:r>
          </w:p>
        </w:tc>
        <w:tc>
          <w:tcPr>
            <w:tcW w:type="dxa" w:w="1234"/>
          </w:tcPr>
          <w:p>
            <w:r>
              <w:t>V4_STK_B_03_sym_quality_L</w:t>
            </w:r>
          </w:p>
        </w:tc>
        <w:tc>
          <w:tcPr>
            <w:tcW w:type="dxa" w:w="1234"/>
          </w:tcPr>
          <w:p>
            <w:r>
              <w:t>7.23</w:t>
            </w:r>
          </w:p>
        </w:tc>
        <w:tc>
          <w:tcPr>
            <w:tcW w:type="dxa" w:w="1234"/>
          </w:tcPr>
          <w:p>
            <w:r>
              <w:t>-2.75%</w:t>
            </w:r>
          </w:p>
        </w:tc>
        <w:tc>
          <w:tcPr>
            <w:tcW w:type="dxa" w:w="1234"/>
          </w:tcPr>
          <w:p>
            <w:r>
              <w:t>36.04%</w:t>
            </w:r>
          </w:p>
        </w:tc>
        <w:tc>
          <w:tcPr>
            <w:tcW w:type="dxa" w:w="1234"/>
          </w:tcPr>
          <w:p>
            <w:r>
              <w:t>84.4%</w:t>
            </w:r>
          </w:p>
        </w:tc>
        <w:tc>
          <w:tcPr>
            <w:tcW w:type="dxa" w:w="1234"/>
          </w:tcPr>
          <w:p>
            <w:r>
              <w:t>8.32</w:t>
            </w:r>
          </w:p>
        </w:tc>
      </w:tr>
      <w:tr>
        <w:tc>
          <w:tcPr>
            <w:tcW w:type="dxa" w:w="1234"/>
          </w:tcPr>
          <w:p>
            <w:r>
              <w:t>Short-only hedge</w:t>
            </w:r>
          </w:p>
        </w:tc>
        <w:tc>
          <w:tcPr>
            <w:tcW w:type="dxa" w:w="1234"/>
          </w:tcPr>
          <w:p>
            <w:r>
              <w:t>V4_STK_B_09_regime_S</w:t>
            </w:r>
          </w:p>
        </w:tc>
        <w:tc>
          <w:tcPr>
            <w:tcW w:type="dxa" w:w="1234"/>
          </w:tcPr>
          <w:p>
            <w:r>
              <w:t>5.82</w:t>
            </w:r>
          </w:p>
        </w:tc>
        <w:tc>
          <w:tcPr>
            <w:tcW w:type="dxa" w:w="1234"/>
          </w:tcPr>
          <w:p>
            <w:r>
              <w:t>-2.55%</w:t>
            </w:r>
          </w:p>
        </w:tc>
        <w:tc>
          <w:tcPr>
            <w:tcW w:type="dxa" w:w="1234"/>
          </w:tcPr>
          <w:p>
            <w:r>
              <w:t>26.38%</w:t>
            </w:r>
          </w:p>
        </w:tc>
        <w:tc>
          <w:tcPr>
            <w:tcW w:type="dxa" w:w="1234"/>
          </w:tcPr>
          <w:p>
            <w:r>
              <w:t>85.7%</w:t>
            </w:r>
          </w:p>
        </w:tc>
        <w:tc>
          <w:tcPr>
            <w:tcW w:type="dxa" w:w="1234"/>
          </w:tcPr>
          <w:p>
            <w:r>
              <w:t>--</w:t>
            </w:r>
          </w:p>
        </w:tc>
      </w:tr>
      <w:tr>
        <w:tc>
          <w:tcPr>
            <w:tcW w:type="dxa" w:w="1234"/>
          </w:tcPr>
          <w:p>
            <w:r>
              <w:t>Options (no added filters)</w:t>
            </w:r>
          </w:p>
        </w:tc>
        <w:tc>
          <w:tcPr>
            <w:tcW w:type="dxa" w:w="1234"/>
          </w:tcPr>
          <w:p>
            <w:r>
              <w:t>V4_OPT_01_baseline_B</w:t>
            </w:r>
          </w:p>
        </w:tc>
        <w:tc>
          <w:tcPr>
            <w:tcW w:type="dxa" w:w="1234"/>
          </w:tcPr>
          <w:p>
            <w:r>
              <w:t>5.38</w:t>
            </w:r>
          </w:p>
        </w:tc>
        <w:tc>
          <w:tcPr>
            <w:tcW w:type="dxa" w:w="1234"/>
          </w:tcPr>
          <w:p>
            <w:r>
              <w:t>-22.32%</w:t>
            </w:r>
          </w:p>
        </w:tc>
        <w:tc>
          <w:tcPr>
            <w:tcW w:type="dxa" w:w="1234"/>
          </w:tcPr>
          <w:p>
            <w:r>
              <w:t>4,097%*</w:t>
            </w:r>
          </w:p>
        </w:tc>
        <w:tc>
          <w:tcPr>
            <w:tcW w:type="dxa" w:w="1234"/>
          </w:tcPr>
          <w:p>
            <w:r>
              <w:t>71.7%</w:t>
            </w:r>
          </w:p>
        </w:tc>
        <w:tc>
          <w:tcPr>
            <w:tcW w:type="dxa" w:w="1234"/>
          </w:tcPr>
          <w:p>
            <w:r>
              <w:t>--</w:t>
            </w:r>
          </w:p>
        </w:tc>
      </w:tr>
      <w:tr>
        <w:tc>
          <w:tcPr>
            <w:tcW w:type="dxa" w:w="1234"/>
          </w:tcPr>
          <w:p>
            <w:r>
              <w:t>Spreads (no added filters)</w:t>
            </w:r>
          </w:p>
        </w:tc>
        <w:tc>
          <w:tcPr>
            <w:tcW w:type="dxa" w:w="1234"/>
          </w:tcPr>
          <w:p>
            <w:r>
              <w:t>V4_SPR_01_baseline_B</w:t>
            </w:r>
          </w:p>
        </w:tc>
        <w:tc>
          <w:tcPr>
            <w:tcW w:type="dxa" w:w="1234"/>
          </w:tcPr>
          <w:p>
            <w:r>
              <w:t>6.35</w:t>
            </w:r>
          </w:p>
        </w:tc>
        <w:tc>
          <w:tcPr>
            <w:tcW w:type="dxa" w:w="1234"/>
          </w:tcPr>
          <w:p>
            <w:r>
              <w:t>-25.07%</w:t>
            </w:r>
          </w:p>
        </w:tc>
        <w:tc>
          <w:tcPr>
            <w:tcW w:type="dxa" w:w="1234"/>
          </w:tcPr>
          <w:p>
            <w:r>
              <w:t>622%</w:t>
            </w:r>
          </w:p>
        </w:tc>
        <w:tc>
          <w:tcPr>
            <w:tcW w:type="dxa" w:w="1234"/>
          </w:tcPr>
          <w:p>
            <w:r>
              <w:t>89.4%</w:t>
            </w:r>
          </w:p>
        </w:tc>
        <w:tc>
          <w:tcPr>
            <w:tcW w:type="dxa" w:w="1234"/>
          </w:tcPr>
          <w:p>
            <w:r>
              <w:t>--</w:t>
            </w:r>
          </w:p>
        </w:tc>
      </w:tr>
    </w:tbl>
    <w:p/>
    <w:p>
      <w:r>
        <w:t>* Options on $10K account.</w:t>
      </w:r>
    </w:p>
    <w:p>
      <w:pPr>
        <w:pStyle w:val="Heading3"/>
      </w:pPr>
      <w:r>
        <w:t>Year-by-Year Returns (Top V4 Combined Configs)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Config</w:t>
            </w:r>
          </w:p>
        </w:tc>
        <w:tc>
          <w:tcPr>
            <w:tcW w:type="dxa" w:w="864"/>
          </w:tcPr>
          <w:p>
            <w:r>
              <w:rPr>
                <w:b/>
              </w:rPr>
              <w:t>2018</w:t>
            </w:r>
          </w:p>
        </w:tc>
        <w:tc>
          <w:tcPr>
            <w:tcW w:type="dxa" w:w="864"/>
          </w:tcPr>
          <w:p>
            <w:r>
              <w:rPr>
                <w:b/>
              </w:rPr>
              <w:t>2019</w:t>
            </w:r>
          </w:p>
        </w:tc>
        <w:tc>
          <w:tcPr>
            <w:tcW w:type="dxa" w:w="864"/>
          </w:tcPr>
          <w:p>
            <w:r>
              <w:rPr>
                <w:b/>
              </w:rPr>
              <w:t>2020</w:t>
            </w:r>
          </w:p>
        </w:tc>
        <w:tc>
          <w:tcPr>
            <w:tcW w:type="dxa" w:w="864"/>
          </w:tcPr>
          <w:p>
            <w:r>
              <w:rPr>
                <w:b/>
              </w:rPr>
              <w:t>2021</w:t>
            </w:r>
          </w:p>
        </w:tc>
        <w:tc>
          <w:tcPr>
            <w:tcW w:type="dxa" w:w="864"/>
          </w:tcPr>
          <w:p>
            <w:r>
              <w:rPr>
                <w:b/>
              </w:rPr>
              <w:t>2022</w:t>
            </w:r>
          </w:p>
        </w:tc>
        <w:tc>
          <w:tcPr>
            <w:tcW w:type="dxa" w:w="864"/>
          </w:tcPr>
          <w:p>
            <w:r>
              <w:rPr>
                <w:b/>
              </w:rPr>
              <w:t>2023</w:t>
            </w:r>
          </w:p>
        </w:tc>
        <w:tc>
          <w:tcPr>
            <w:tcW w:type="dxa" w:w="864"/>
          </w:tcPr>
          <w:p>
            <w:r>
              <w:rPr>
                <w:b/>
              </w:rPr>
              <w:t>2024</w:t>
            </w:r>
          </w:p>
        </w:tc>
        <w:tc>
          <w:tcPr>
            <w:tcW w:type="dxa" w:w="864"/>
          </w:tcPr>
          <w:p>
            <w:r>
              <w:rPr>
                <w:b/>
              </w:rPr>
              <w:t>2025</w:t>
            </w:r>
          </w:p>
        </w:tc>
        <w:tc>
          <w:tcPr>
            <w:tcW w:type="dxa" w:w="864"/>
          </w:tcPr>
          <w:p>
            <w:r>
              <w:rPr>
                <w:b/>
              </w:rPr>
              <w:t>Worst Yr</w:t>
            </w:r>
          </w:p>
        </w:tc>
      </w:tr>
      <w:tr>
        <w:tc>
          <w:tcPr>
            <w:tcW w:type="dxa" w:w="864"/>
          </w:tcPr>
          <w:p>
            <w:r>
              <w:t>A_baseline</w:t>
            </w:r>
          </w:p>
        </w:tc>
        <w:tc>
          <w:tcPr>
            <w:tcW w:type="dxa" w:w="864"/>
          </w:tcPr>
          <w:p>
            <w:r>
              <w:t>32.6%</w:t>
            </w:r>
          </w:p>
        </w:tc>
        <w:tc>
          <w:tcPr>
            <w:tcW w:type="dxa" w:w="864"/>
          </w:tcPr>
          <w:p>
            <w:r>
              <w:t>26.3%</w:t>
            </w:r>
          </w:p>
        </w:tc>
        <w:tc>
          <w:tcPr>
            <w:tcW w:type="dxa" w:w="864"/>
          </w:tcPr>
          <w:p>
            <w:r>
              <w:t>31.2%</w:t>
            </w:r>
          </w:p>
        </w:tc>
        <w:tc>
          <w:tcPr>
            <w:tcW w:type="dxa" w:w="864"/>
          </w:tcPr>
          <w:p>
            <w:r>
              <w:t>42.4%</w:t>
            </w:r>
          </w:p>
        </w:tc>
        <w:tc>
          <w:tcPr>
            <w:tcW w:type="dxa" w:w="864"/>
          </w:tcPr>
          <w:p>
            <w:r>
              <w:t>40.2%</w:t>
            </w:r>
          </w:p>
        </w:tc>
        <w:tc>
          <w:tcPr>
            <w:tcW w:type="dxa" w:w="864"/>
          </w:tcPr>
          <w:p>
            <w:r>
              <w:t>41.4%</w:t>
            </w:r>
          </w:p>
        </w:tc>
        <w:tc>
          <w:tcPr>
            <w:tcW w:type="dxa" w:w="864"/>
          </w:tcPr>
          <w:p>
            <w:r>
              <w:t>31.3%</w:t>
            </w:r>
          </w:p>
        </w:tc>
        <w:tc>
          <w:tcPr>
            <w:tcW w:type="dxa" w:w="864"/>
          </w:tcPr>
          <w:p>
            <w:r>
              <w:t>38.3%</w:t>
            </w:r>
          </w:p>
        </w:tc>
        <w:tc>
          <w:tcPr>
            <w:tcW w:type="dxa" w:w="864"/>
          </w:tcPr>
          <w:p>
            <w:r>
              <w:t>26.3%</w:t>
            </w:r>
          </w:p>
        </w:tc>
      </w:tr>
      <w:tr>
        <w:tc>
          <w:tcPr>
            <w:tcW w:type="dxa" w:w="864"/>
          </w:tcPr>
          <w:p>
            <w:r>
              <w:t>A_no_repeat14</w:t>
            </w:r>
          </w:p>
        </w:tc>
        <w:tc>
          <w:tcPr>
            <w:tcW w:type="dxa" w:w="864"/>
          </w:tcPr>
          <w:p>
            <w:r>
              <w:t>33.9%</w:t>
            </w:r>
          </w:p>
        </w:tc>
        <w:tc>
          <w:tcPr>
            <w:tcW w:type="dxa" w:w="864"/>
          </w:tcPr>
          <w:p>
            <w:r>
              <w:t>27.1%</w:t>
            </w:r>
          </w:p>
        </w:tc>
        <w:tc>
          <w:tcPr>
            <w:tcW w:type="dxa" w:w="864"/>
          </w:tcPr>
          <w:p>
            <w:r>
              <w:t>31.5%</w:t>
            </w:r>
          </w:p>
        </w:tc>
        <w:tc>
          <w:tcPr>
            <w:tcW w:type="dxa" w:w="864"/>
          </w:tcPr>
          <w:p>
            <w:r>
              <w:t>40.7%</w:t>
            </w:r>
          </w:p>
        </w:tc>
        <w:tc>
          <w:tcPr>
            <w:tcW w:type="dxa" w:w="864"/>
          </w:tcPr>
          <w:p>
            <w:r>
              <w:t>42.5%</w:t>
            </w:r>
          </w:p>
        </w:tc>
        <w:tc>
          <w:tcPr>
            <w:tcW w:type="dxa" w:w="864"/>
          </w:tcPr>
          <w:p>
            <w:r>
              <w:t>38.4%</w:t>
            </w:r>
          </w:p>
        </w:tc>
        <w:tc>
          <w:tcPr>
            <w:tcW w:type="dxa" w:w="864"/>
          </w:tcPr>
          <w:p>
            <w:r>
              <w:t>30.8%</w:t>
            </w:r>
          </w:p>
        </w:tc>
        <w:tc>
          <w:tcPr>
            <w:tcW w:type="dxa" w:w="864"/>
          </w:tcPr>
          <w:p>
            <w:r>
              <w:t>39.5%</w:t>
            </w:r>
          </w:p>
        </w:tc>
        <w:tc>
          <w:tcPr>
            <w:tcW w:type="dxa" w:w="864"/>
          </w:tcPr>
          <w:p>
            <w:r>
              <w:t>27.1%</w:t>
            </w:r>
          </w:p>
        </w:tc>
      </w:tr>
      <w:tr>
        <w:tc>
          <w:tcPr>
            <w:tcW w:type="dxa" w:w="864"/>
          </w:tcPr>
          <w:p>
            <w:r>
              <w:t>A_skip_monday</w:t>
            </w:r>
          </w:p>
        </w:tc>
        <w:tc>
          <w:tcPr>
            <w:tcW w:type="dxa" w:w="864"/>
          </w:tcPr>
          <w:p>
            <w:r>
              <w:t>28.9%</w:t>
            </w:r>
          </w:p>
        </w:tc>
        <w:tc>
          <w:tcPr>
            <w:tcW w:type="dxa" w:w="864"/>
          </w:tcPr>
          <w:p>
            <w:r>
              <w:t>27.2%</w:t>
            </w:r>
          </w:p>
        </w:tc>
        <w:tc>
          <w:tcPr>
            <w:tcW w:type="dxa" w:w="864"/>
          </w:tcPr>
          <w:p>
            <w:r>
              <w:t>29.3%</w:t>
            </w:r>
          </w:p>
        </w:tc>
        <w:tc>
          <w:tcPr>
            <w:tcW w:type="dxa" w:w="864"/>
          </w:tcPr>
          <w:p>
            <w:r>
              <w:t>43.4%</w:t>
            </w:r>
          </w:p>
        </w:tc>
        <w:tc>
          <w:tcPr>
            <w:tcW w:type="dxa" w:w="864"/>
          </w:tcPr>
          <w:p>
            <w:r>
              <w:t>46.4%</w:t>
            </w:r>
          </w:p>
        </w:tc>
        <w:tc>
          <w:tcPr>
            <w:tcW w:type="dxa" w:w="864"/>
          </w:tcPr>
          <w:p>
            <w:r>
              <w:t>40.4%</w:t>
            </w:r>
          </w:p>
        </w:tc>
        <w:tc>
          <w:tcPr>
            <w:tcW w:type="dxa" w:w="864"/>
          </w:tcPr>
          <w:p>
            <w:r>
              <w:t>30.2%</w:t>
            </w:r>
          </w:p>
        </w:tc>
        <w:tc>
          <w:tcPr>
            <w:tcW w:type="dxa" w:w="864"/>
          </w:tcPr>
          <w:p>
            <w:r>
              <w:t>43.6%</w:t>
            </w:r>
          </w:p>
        </w:tc>
        <w:tc>
          <w:tcPr>
            <w:tcW w:type="dxa" w:w="864"/>
          </w:tcPr>
          <w:p>
            <w:r>
              <w:t>27.2%</w:t>
            </w:r>
          </w:p>
        </w:tc>
      </w:tr>
      <w:tr>
        <w:tc>
          <w:tcPr>
            <w:tcW w:type="dxa" w:w="864"/>
          </w:tcPr>
          <w:p>
            <w:r>
              <w:t>B_sym_quality</w:t>
            </w:r>
          </w:p>
        </w:tc>
        <w:tc>
          <w:tcPr>
            <w:tcW w:type="dxa" w:w="864"/>
          </w:tcPr>
          <w:p>
            <w:r>
              <w:t>26.4%</w:t>
            </w:r>
          </w:p>
        </w:tc>
        <w:tc>
          <w:tcPr>
            <w:tcW w:type="dxa" w:w="864"/>
          </w:tcPr>
          <w:p>
            <w:r>
              <w:t>30.7%</w:t>
            </w:r>
          </w:p>
        </w:tc>
        <w:tc>
          <w:tcPr>
            <w:tcW w:type="dxa" w:w="864"/>
          </w:tcPr>
          <w:p>
            <w:r>
              <w:t>28.7%</w:t>
            </w:r>
          </w:p>
        </w:tc>
        <w:tc>
          <w:tcPr>
            <w:tcW w:type="dxa" w:w="864"/>
          </w:tcPr>
          <w:p>
            <w:r>
              <w:t>38.1%</w:t>
            </w:r>
          </w:p>
        </w:tc>
        <w:tc>
          <w:tcPr>
            <w:tcW w:type="dxa" w:w="864"/>
          </w:tcPr>
          <w:p>
            <w:r>
              <w:t>47.0%</w:t>
            </w:r>
          </w:p>
        </w:tc>
        <w:tc>
          <w:tcPr>
            <w:tcW w:type="dxa" w:w="864"/>
          </w:tcPr>
          <w:p>
            <w:r>
              <w:t>41.0%</w:t>
            </w:r>
          </w:p>
        </w:tc>
        <w:tc>
          <w:tcPr>
            <w:tcW w:type="dxa" w:w="864"/>
          </w:tcPr>
          <w:p>
            <w:r>
              <w:t>39.3%</w:t>
            </w:r>
          </w:p>
        </w:tc>
        <w:tc>
          <w:tcPr>
            <w:tcW w:type="dxa" w:w="864"/>
          </w:tcPr>
          <w:p>
            <w:r>
              <w:t>42.8%</w:t>
            </w:r>
          </w:p>
        </w:tc>
        <w:tc>
          <w:tcPr>
            <w:tcW w:type="dxa" w:w="864"/>
          </w:tcPr>
          <w:p>
            <w:r>
              <w:t>26.4%</w:t>
            </w:r>
          </w:p>
        </w:tc>
      </w:tr>
    </w:tbl>
    <w:p/>
    <w:p>
      <w:r>
        <w:t>All years profitable for all top V4 configs. Worst single year: 26.3-27.2%. 2022 is notably the strongest year (40-47%) due to the 100-Year Pattern midterm window. 2025 is the second-strongest year (38-44%), confirming continued model validity. The 2025 out-of-sample holdout for A_skip_monday (Sharpe 8.41, WR 91.25%, DD -1.57%) is better than any in-sample year, confirming the model is not overfitted.</w:t>
      </w:r>
    </w:p>
    <w:p>
      <w:pPr>
        <w:pStyle w:val="Heading2"/>
      </w:pPr>
      <w:r>
        <w:t>7.4 Why Two Systems Exist</w:t>
      </w:r>
    </w:p>
    <w:p>
      <w:r>
        <w:t>The auto trading system (S21, Sharpe 4.22) was built and deployed before the Codex research was completed. It produces higher absolute CAGR (~80%) at higher drawdown (7.4%). The Codex V4 research system (Sharpe 7.46) produces lower absolute CAGR (36%) but at dramatically lower drawdown (1.84%) and far higher Sharpe ratio. The right choice depends on account size and investor objectives: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Account Profile</w:t>
            </w:r>
          </w:p>
        </w:tc>
        <w:tc>
          <w:tcPr>
            <w:tcW w:type="dxa" w:w="2880"/>
          </w:tcPr>
          <w:p>
            <w:r>
              <w:rPr>
                <w:b/>
              </w:rPr>
              <w:t>Recommended System</w:t>
            </w:r>
          </w:p>
        </w:tc>
        <w:tc>
          <w:tcPr>
            <w:tcW w:type="dxa" w:w="2880"/>
          </w:tcPr>
          <w:p>
            <w:r>
              <w:rPr>
                <w:b/>
              </w:rPr>
              <w:t>Rationale</w:t>
            </w:r>
          </w:p>
        </w:tc>
      </w:tr>
      <w:tr>
        <w:tc>
          <w:tcPr>
            <w:tcW w:type="dxa" w:w="2880"/>
          </w:tcPr>
          <w:p>
            <w:r>
              <w:t>Small account, max growth</w:t>
            </w:r>
          </w:p>
        </w:tc>
        <w:tc>
          <w:tcPr>
            <w:tcW w:type="dxa" w:w="2880"/>
          </w:tcPr>
          <w:p>
            <w:r>
              <w:t>S21 + Best4 (auto trading)</w:t>
            </w:r>
          </w:p>
        </w:tc>
        <w:tc>
          <w:tcPr>
            <w:tcW w:type="dxa" w:w="2880"/>
          </w:tcPr>
          <w:p>
            <w:r>
              <w:t>Higher absolute CAGR, acceptable DD at small scale</w:t>
            </w:r>
          </w:p>
        </w:tc>
      </w:tr>
      <w:tr>
        <w:tc>
          <w:tcPr>
            <w:tcW w:type="dxa" w:w="2880"/>
          </w:tcPr>
          <w:p>
            <w:r>
              <w:t>Large account, capital preservation</w:t>
            </w:r>
          </w:p>
        </w:tc>
        <w:tc>
          <w:tcPr>
            <w:tcW w:type="dxa" w:w="2880"/>
          </w:tcPr>
          <w:p>
            <w:r>
              <w:t>V4 research config</w:t>
            </w:r>
          </w:p>
        </w:tc>
        <w:tc>
          <w:tcPr>
            <w:tcW w:type="dxa" w:w="2880"/>
          </w:tcPr>
          <w:p>
            <w:r>
              <w:t>1.84% DD, Sharpe 7.46, all years 26%+ return</w:t>
            </w:r>
          </w:p>
        </w:tc>
      </w:tr>
      <w:tr>
        <w:tc>
          <w:tcPr>
            <w:tcW w:type="dxa" w:w="2880"/>
          </w:tcPr>
          <w:p>
            <w:r>
              <w:t>Long-only constraint</w:t>
            </w:r>
          </w:p>
        </w:tc>
        <w:tc>
          <w:tcPr>
            <w:tcW w:type="dxa" w:w="2880"/>
          </w:tcPr>
          <w:p>
            <w:r>
              <w:t>V4_B_sym_quality_L</w:t>
            </w:r>
          </w:p>
        </w:tc>
        <w:tc>
          <w:tcPr>
            <w:tcW w:type="dxa" w:w="2880"/>
          </w:tcPr>
          <w:p>
            <w:r>
              <w:t>Sharpe 7.23, no short selling required</w:t>
            </w:r>
          </w:p>
        </w:tc>
      </w:tr>
      <w:tr>
        <w:tc>
          <w:tcPr>
            <w:tcW w:type="dxa" w:w="2880"/>
          </w:tcPr>
          <w:p>
            <w:r>
              <w:t>Hedging sleeve</w:t>
            </w:r>
          </w:p>
        </w:tc>
        <w:tc>
          <w:tcPr>
            <w:tcW w:type="dxa" w:w="2880"/>
          </w:tcPr>
          <w:p>
            <w:r>
              <w:t>V4_B_regime_S (short only)</w:t>
            </w:r>
          </w:p>
        </w:tc>
        <w:tc>
          <w:tcPr>
            <w:tcW w:type="dxa" w:w="2880"/>
          </w:tcPr>
          <w:p>
            <w:r>
              <w:t>Sharpe 5.82, complements long-focused portfolios</w:t>
            </w:r>
          </w:p>
        </w:tc>
      </w:tr>
    </w:tbl>
    <w:p/>
    <w:p>
      <w:r>
        <w:t>The auto trading simulation will be evaluated for upgrade to the V4 configuration once live simulation results are sufficient to validate out-of-sample performance. Until then, both systems run in parallel: auto trading in live simulation, V4 in research/paper mode.</w:t>
      </w:r>
    </w:p>
    <w:p>
      <w:pPr>
        <w:pStyle w:val="Heading1"/>
      </w:pPr>
      <w:r>
        <w:t>8. The 100-Year Pattern</w:t>
      </w:r>
    </w:p>
    <w:p>
      <w:r>
        <w:t>The 100-Year Pattern is the author's original discovery (named in their book): SPX has never been down from September 27 to approximately July 18 of the following year in midterm election years since 1930 -- the last failure was 1930. The ML backtest confirms that individual stock seasonal patterns significantly outperform during these windows.</w:t>
      </w:r>
    </w:p>
    <w:p>
      <w:pPr>
        <w:pStyle w:val="Heading2"/>
      </w:pPr>
      <w:r>
        <w:t>8.1 ML Evidence: Window vs. Non-Window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IN 100-Year Window</w:t>
            </w:r>
          </w:p>
        </w:tc>
        <w:tc>
          <w:tcPr>
            <w:tcW w:type="dxa" w:w="2160"/>
          </w:tcPr>
          <w:p>
            <w:r>
              <w:rPr>
                <w:b/>
              </w:rPr>
              <w:t>OUTSIDE Window</w:t>
            </w:r>
          </w:p>
        </w:tc>
        <w:tc>
          <w:tcPr>
            <w:tcW w:type="dxa" w:w="2160"/>
          </w:tcPr>
          <w:p>
            <w:r>
              <w:rPr>
                <w:b/>
              </w:rPr>
              <w:t>Delta</w:t>
            </w:r>
          </w:p>
        </w:tc>
      </w:tr>
      <w:tr>
        <w:tc>
          <w:tcPr>
            <w:tcW w:type="dxa" w:w="2160"/>
          </w:tcPr>
          <w:p>
            <w:r>
              <w:t>ML&gt;=70 Long Win Rate</w:t>
            </w:r>
          </w:p>
        </w:tc>
        <w:tc>
          <w:tcPr>
            <w:tcW w:type="dxa" w:w="2160"/>
          </w:tcPr>
          <w:p>
            <w:r>
              <w:t>83.2%</w:t>
            </w:r>
          </w:p>
        </w:tc>
        <w:tc>
          <w:tcPr>
            <w:tcW w:type="dxa" w:w="2160"/>
          </w:tcPr>
          <w:p>
            <w:r>
              <w:t>77.1%</w:t>
            </w:r>
          </w:p>
        </w:tc>
        <w:tc>
          <w:tcPr>
            <w:tcW w:type="dxa" w:w="2160"/>
          </w:tcPr>
          <w:p>
            <w:r>
              <w:t>+6.1pp</w:t>
            </w:r>
          </w:p>
        </w:tc>
      </w:tr>
      <w:tr>
        <w:tc>
          <w:tcPr>
            <w:tcW w:type="dxa" w:w="2160"/>
          </w:tcPr>
          <w:p>
            <w:r>
              <w:t>ML&gt;=85 Long Win Rate</w:t>
            </w:r>
          </w:p>
        </w:tc>
        <w:tc>
          <w:tcPr>
            <w:tcW w:type="dxa" w:w="2160"/>
          </w:tcPr>
          <w:p>
            <w:r>
              <w:t>85.2%</w:t>
            </w:r>
          </w:p>
        </w:tc>
        <w:tc>
          <w:tcPr>
            <w:tcW w:type="dxa" w:w="2160"/>
          </w:tcPr>
          <w:p>
            <w:r>
              <w:t>80.3%</w:t>
            </w:r>
          </w:p>
        </w:tc>
        <w:tc>
          <w:tcPr>
            <w:tcW w:type="dxa" w:w="2160"/>
          </w:tcPr>
          <w:p>
            <w:r>
              <w:t>+5.0pp</w:t>
            </w:r>
          </w:p>
        </w:tc>
      </w:tr>
      <w:tr>
        <w:tc>
          <w:tcPr>
            <w:tcW w:type="dxa" w:w="2160"/>
          </w:tcPr>
          <w:p>
            <w:r>
              <w:t>ML&gt;=55 Long Win Rate</w:t>
            </w:r>
          </w:p>
        </w:tc>
        <w:tc>
          <w:tcPr>
            <w:tcW w:type="dxa" w:w="2160"/>
          </w:tcPr>
          <w:p>
            <w:r>
              <w:t>80.7%</w:t>
            </w:r>
          </w:p>
        </w:tc>
        <w:tc>
          <w:tcPr>
            <w:tcW w:type="dxa" w:w="2160"/>
          </w:tcPr>
          <w:p>
            <w:r>
              <w:t>74.7%</w:t>
            </w:r>
          </w:p>
        </w:tc>
        <w:tc>
          <w:tcPr>
            <w:tcW w:type="dxa" w:w="2160"/>
          </w:tcPr>
          <w:p>
            <w:r>
              <w:t>+6.0pp (matches ML&gt;=85 outside!)</w:t>
            </w:r>
          </w:p>
        </w:tc>
      </w:tr>
      <w:tr>
        <w:tc>
          <w:tcPr>
            <w:tcW w:type="dxa" w:w="2160"/>
          </w:tcPr>
          <w:p>
            <w:r>
              <w:t>Short Win Rate</w:t>
            </w:r>
          </w:p>
        </w:tc>
        <w:tc>
          <w:tcPr>
            <w:tcW w:type="dxa" w:w="2160"/>
          </w:tcPr>
          <w:p>
            <w:r>
              <w:t>53.6%</w:t>
            </w:r>
          </w:p>
        </w:tc>
        <w:tc>
          <w:tcPr>
            <w:tcW w:type="dxa" w:w="2160"/>
          </w:tcPr>
          <w:p>
            <w:r>
              <w:t>63.3%</w:t>
            </w:r>
          </w:p>
        </w:tc>
        <w:tc>
          <w:tcPr>
            <w:tcW w:type="dxa" w:w="2160"/>
          </w:tcPr>
          <w:p>
            <w:r>
              <w:t>-9.7pp (avoid shorts in window)</w:t>
            </w:r>
          </w:p>
        </w:tc>
      </w:tr>
      <w:tr>
        <w:tc>
          <w:tcPr>
            <w:tcW w:type="dxa" w:w="2160"/>
          </w:tcPr>
          <w:p>
            <w:r>
              <w:t>Avg Return ML&gt;=85 Long</w:t>
            </w:r>
          </w:p>
        </w:tc>
        <w:tc>
          <w:tcPr>
            <w:tcW w:type="dxa" w:w="2160"/>
          </w:tcPr>
          <w:p>
            <w:r>
              <w:t>5.65%</w:t>
            </w:r>
          </w:p>
        </w:tc>
        <w:tc>
          <w:tcPr>
            <w:tcW w:type="dxa" w:w="2160"/>
          </w:tcPr>
          <w:p>
            <w:r>
              <w:t>5.01%</w:t>
            </w:r>
          </w:p>
        </w:tc>
        <w:tc>
          <w:tcPr>
            <w:tcW w:type="dxa" w:w="2160"/>
          </w:tcPr>
          <w:p>
            <w:r>
              <w:t>+12.8%</w:t>
            </w:r>
          </w:p>
        </w:tc>
      </w:tr>
      <w:tr>
        <w:tc>
          <w:tcPr>
            <w:tcW w:type="dxa" w:w="2160"/>
          </w:tcPr>
          <w:p>
            <w:r>
              <w:t>Opportunity-level Sharpe (ML&gt;=70)</w:t>
            </w:r>
          </w:p>
        </w:tc>
        <w:tc>
          <w:tcPr>
            <w:tcW w:type="dxa" w:w="2160"/>
          </w:tcPr>
          <w:p>
            <w:r>
              <w:t>9.85</w:t>
            </w:r>
          </w:p>
        </w:tc>
        <w:tc>
          <w:tcPr>
            <w:tcW w:type="dxa" w:w="2160"/>
          </w:tcPr>
          <w:p>
            <w:r>
              <w:t>7.92</w:t>
            </w:r>
          </w:p>
        </w:tc>
        <w:tc>
          <w:tcPr>
            <w:tcW w:type="dxa" w:w="2160"/>
          </w:tcPr>
          <w:p>
            <w:r>
              <w:t>+24.4%</w:t>
            </w:r>
          </w:p>
        </w:tc>
      </w:tr>
    </w:tbl>
    <w:p/>
    <w:p>
      <w:r>
        <w:t>The threshold equivalence finding is the most actionable result: ML&gt;=55 in-window achieves the same win rate as ML&gt;=85 outside the window (80.7% vs 80.3%). You can cast a much wider opportunity net during the 100-Year Pattern without sacrificing quality. The two midterm windows in the backtest data showed different strengths: 2018 window (ML&gt;=85 Long WR 77.6%, avg 3.28%) was compressed by the Q4 2018 selloff that occurred near the window's end; 2022 window (ML&gt;=85 Long WR 92.0%, avg 7.54%) was exceptional as it started from the market bottom.</w:t>
      </w:r>
    </w:p>
    <w:p>
      <w:pPr>
        <w:pStyle w:val="Heading2"/>
      </w:pPr>
      <w:r>
        <w:t>8.2 Sector Performance During the Window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Sector</w:t>
            </w:r>
          </w:p>
        </w:tc>
        <w:tc>
          <w:tcPr>
            <w:tcW w:type="dxa" w:w="2880"/>
          </w:tcPr>
          <w:p>
            <w:r>
              <w:rPr>
                <w:b/>
              </w:rPr>
              <w:t>WR ML&gt;=70 (In Window)</w:t>
            </w:r>
          </w:p>
        </w:tc>
        <w:tc>
          <w:tcPr>
            <w:tcW w:type="dxa" w:w="2880"/>
          </w:tcPr>
          <w:p>
            <w:r>
              <w:rPr>
                <w:b/>
              </w:rPr>
              <w:t>vs Outside Window</w:t>
            </w:r>
          </w:p>
        </w:tc>
      </w:tr>
      <w:tr>
        <w:tc>
          <w:tcPr>
            <w:tcW w:type="dxa" w:w="2880"/>
          </w:tcPr>
          <w:p>
            <w:r>
              <w:t>Materials</w:t>
            </w:r>
          </w:p>
        </w:tc>
        <w:tc>
          <w:tcPr>
            <w:tcW w:type="dxa" w:w="2880"/>
          </w:tcPr>
          <w:p>
            <w:r>
              <w:t>86.5%</w:t>
            </w:r>
          </w:p>
        </w:tc>
        <w:tc>
          <w:tcPr>
            <w:tcW w:type="dxa" w:w="2880"/>
          </w:tcPr>
          <w:p>
            <w:r>
              <w:t>+10.2pp (strongly overweight)</w:t>
            </w:r>
          </w:p>
        </w:tc>
      </w:tr>
      <w:tr>
        <w:tc>
          <w:tcPr>
            <w:tcW w:type="dxa" w:w="2880"/>
          </w:tcPr>
          <w:p>
            <w:r>
              <w:t>Consumer Staples</w:t>
            </w:r>
          </w:p>
        </w:tc>
        <w:tc>
          <w:tcPr>
            <w:tcW w:type="dxa" w:w="2880"/>
          </w:tcPr>
          <w:p>
            <w:r>
              <w:t>86.0%</w:t>
            </w:r>
          </w:p>
        </w:tc>
        <w:tc>
          <w:tcPr>
            <w:tcW w:type="dxa" w:w="2880"/>
          </w:tcPr>
          <w:p>
            <w:r>
              <w:t>+8.4pp (strongly overweight)</w:t>
            </w:r>
          </w:p>
        </w:tc>
      </w:tr>
      <w:tr>
        <w:tc>
          <w:tcPr>
            <w:tcW w:type="dxa" w:w="2880"/>
          </w:tcPr>
          <w:p>
            <w:r>
              <w:t>Consumer Discretionary</w:t>
            </w:r>
          </w:p>
        </w:tc>
        <w:tc>
          <w:tcPr>
            <w:tcW w:type="dxa" w:w="2880"/>
          </w:tcPr>
          <w:p>
            <w:r>
              <w:t>84.6%</w:t>
            </w:r>
          </w:p>
        </w:tc>
        <w:tc>
          <w:tcPr>
            <w:tcW w:type="dxa" w:w="2880"/>
          </w:tcPr>
          <w:p>
            <w:r>
              <w:t>+7.7pp (overweight)</w:t>
            </w:r>
          </w:p>
        </w:tc>
      </w:tr>
      <w:tr>
        <w:tc>
          <w:tcPr>
            <w:tcW w:type="dxa" w:w="2880"/>
          </w:tcPr>
          <w:p>
            <w:r>
              <w:t>Real Estate</w:t>
            </w:r>
          </w:p>
        </w:tc>
        <w:tc>
          <w:tcPr>
            <w:tcW w:type="dxa" w:w="2880"/>
          </w:tcPr>
          <w:p>
            <w:r>
              <w:t>84.4%</w:t>
            </w:r>
          </w:p>
        </w:tc>
        <w:tc>
          <w:tcPr>
            <w:tcW w:type="dxa" w:w="2880"/>
          </w:tcPr>
          <w:p>
            <w:r>
              <w:t>+6.5pp (overweight)</w:t>
            </w:r>
          </w:p>
        </w:tc>
      </w:tr>
      <w:tr>
        <w:tc>
          <w:tcPr>
            <w:tcW w:type="dxa" w:w="2880"/>
          </w:tcPr>
          <w:p>
            <w:r>
              <w:t>Utilities</w:t>
            </w:r>
          </w:p>
        </w:tc>
        <w:tc>
          <w:tcPr>
            <w:tcW w:type="dxa" w:w="2880"/>
          </w:tcPr>
          <w:p>
            <w:r>
              <w:t>84.1%</w:t>
            </w:r>
          </w:p>
        </w:tc>
        <w:tc>
          <w:tcPr>
            <w:tcW w:type="dxa" w:w="2880"/>
          </w:tcPr>
          <w:p>
            <w:r>
              <w:t>+4.5pp</w:t>
            </w:r>
          </w:p>
        </w:tc>
      </w:tr>
      <w:tr>
        <w:tc>
          <w:tcPr>
            <w:tcW w:type="dxa" w:w="2880"/>
          </w:tcPr>
          <w:p>
            <w:r>
              <w:t>Financials</w:t>
            </w:r>
          </w:p>
        </w:tc>
        <w:tc>
          <w:tcPr>
            <w:tcW w:type="dxa" w:w="2880"/>
          </w:tcPr>
          <w:p>
            <w:r>
              <w:t>84.0%</w:t>
            </w:r>
          </w:p>
        </w:tc>
        <w:tc>
          <w:tcPr>
            <w:tcW w:type="dxa" w:w="2880"/>
          </w:tcPr>
          <w:p>
            <w:r>
              <w:t>+4.0pp</w:t>
            </w:r>
          </w:p>
        </w:tc>
      </w:tr>
      <w:tr>
        <w:tc>
          <w:tcPr>
            <w:tcW w:type="dxa" w:w="2880"/>
          </w:tcPr>
          <w:p>
            <w:r>
              <w:t>Information Technology</w:t>
            </w:r>
          </w:p>
        </w:tc>
        <w:tc>
          <w:tcPr>
            <w:tcW w:type="dxa" w:w="2880"/>
          </w:tcPr>
          <w:p>
            <w:r>
              <w:t>83.6%</w:t>
            </w:r>
          </w:p>
        </w:tc>
        <w:tc>
          <w:tcPr>
            <w:tcW w:type="dxa" w:w="2880"/>
          </w:tcPr>
          <w:p>
            <w:r>
              <w:t>+5.3pp</w:t>
            </w:r>
          </w:p>
        </w:tc>
      </w:tr>
      <w:tr>
        <w:tc>
          <w:tcPr>
            <w:tcW w:type="dxa" w:w="2880"/>
          </w:tcPr>
          <w:p>
            <w:r>
              <w:t>Industrials</w:t>
            </w:r>
          </w:p>
        </w:tc>
        <w:tc>
          <w:tcPr>
            <w:tcW w:type="dxa" w:w="2880"/>
          </w:tcPr>
          <w:p>
            <w:r>
              <w:t>82.6%</w:t>
            </w:r>
          </w:p>
        </w:tc>
        <w:tc>
          <w:tcPr>
            <w:tcW w:type="dxa" w:w="2880"/>
          </w:tcPr>
          <w:p>
            <w:r>
              <w:t>+4.7pp</w:t>
            </w:r>
          </w:p>
        </w:tc>
      </w:tr>
      <w:tr>
        <w:tc>
          <w:tcPr>
            <w:tcW w:type="dxa" w:w="2880"/>
          </w:tcPr>
          <w:p>
            <w:r>
              <w:t>Communication Services</w:t>
            </w:r>
          </w:p>
        </w:tc>
        <w:tc>
          <w:tcPr>
            <w:tcW w:type="dxa" w:w="2880"/>
          </w:tcPr>
          <w:p>
            <w:r>
              <w:t>82.7%</w:t>
            </w:r>
          </w:p>
        </w:tc>
        <w:tc>
          <w:tcPr>
            <w:tcW w:type="dxa" w:w="2880"/>
          </w:tcPr>
          <w:p>
            <w:r>
              <w:t>+7.2pp</w:t>
            </w:r>
          </w:p>
        </w:tc>
      </w:tr>
      <w:tr>
        <w:tc>
          <w:tcPr>
            <w:tcW w:type="dxa" w:w="2880"/>
          </w:tcPr>
          <w:p>
            <w:r>
              <w:t>Health Care</w:t>
            </w:r>
          </w:p>
        </w:tc>
        <w:tc>
          <w:tcPr>
            <w:tcW w:type="dxa" w:w="2880"/>
          </w:tcPr>
          <w:p>
            <w:r>
              <w:t>80.1%</w:t>
            </w:r>
          </w:p>
        </w:tc>
        <w:tc>
          <w:tcPr>
            <w:tcW w:type="dxa" w:w="2880"/>
          </w:tcPr>
          <w:p>
            <w:r>
              <w:t>+1.1pp</w:t>
            </w:r>
          </w:p>
        </w:tc>
      </w:tr>
      <w:tr>
        <w:tc>
          <w:tcPr>
            <w:tcW w:type="dxa" w:w="2880"/>
          </w:tcPr>
          <w:p>
            <w:r>
              <w:t>Energy</w:t>
            </w:r>
          </w:p>
        </w:tc>
        <w:tc>
          <w:tcPr>
            <w:tcW w:type="dxa" w:w="2880"/>
          </w:tcPr>
          <w:p>
            <w:r>
              <w:t>70.5%</w:t>
            </w:r>
          </w:p>
        </w:tc>
        <w:tc>
          <w:tcPr>
            <w:tcW w:type="dxa" w:w="2880"/>
          </w:tcPr>
          <w:p>
            <w:r>
              <w:t>-2.4pp (EXCLUDE -- only sector that underperforms)</w:t>
            </w:r>
          </w:p>
        </w:tc>
      </w:tr>
    </w:tbl>
    <w:p/>
    <w:p>
      <w:pPr>
        <w:pStyle w:val="Heading2"/>
      </w:pPr>
      <w:r>
        <w:t>8.3 Strategy Settings for the Next Window (Sep 27, 2026 - Jul 18, 2027)</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Setting</w:t>
            </w:r>
          </w:p>
        </w:tc>
        <w:tc>
          <w:tcPr>
            <w:tcW w:type="dxa" w:w="2880"/>
          </w:tcPr>
          <w:p>
            <w:r>
              <w:rPr>
                <w:b/>
              </w:rPr>
              <w:t>Normal Mode</w:t>
            </w:r>
          </w:p>
        </w:tc>
        <w:tc>
          <w:tcPr>
            <w:tcW w:type="dxa" w:w="2880"/>
          </w:tcPr>
          <w:p>
            <w:r>
              <w:rPr>
                <w:b/>
              </w:rPr>
              <w:t>100-Year Window Mode</w:t>
            </w:r>
          </w:p>
        </w:tc>
      </w:tr>
      <w:tr>
        <w:tc>
          <w:tcPr>
            <w:tcW w:type="dxa" w:w="2880"/>
          </w:tcPr>
          <w:p>
            <w:r>
              <w:t>ML threshold</w:t>
            </w:r>
          </w:p>
        </w:tc>
        <w:tc>
          <w:tcPr>
            <w:tcW w:type="dxa" w:w="2880"/>
          </w:tcPr>
          <w:p>
            <w:r>
              <w:t>&gt;=80 (strict)</w:t>
            </w:r>
          </w:p>
        </w:tc>
        <w:tc>
          <w:tcPr>
            <w:tcW w:type="dxa" w:w="2880"/>
          </w:tcPr>
          <w:p>
            <w:r>
              <w:t>&gt;=70 -- or even &gt;=55 for maximum opportunity</w:t>
            </w:r>
          </w:p>
        </w:tc>
      </w:tr>
      <w:tr>
        <w:tc>
          <w:tcPr>
            <w:tcW w:type="dxa" w:w="2880"/>
          </w:tcPr>
          <w:p>
            <w:r>
              <w:t>Direction</w:t>
            </w:r>
          </w:p>
        </w:tc>
        <w:tc>
          <w:tcPr>
            <w:tcW w:type="dxa" w:w="2880"/>
          </w:tcPr>
          <w:p>
            <w:r>
              <w:t>Long + Short</w:t>
            </w:r>
          </w:p>
        </w:tc>
        <w:tc>
          <w:tcPr>
            <w:tcW w:type="dxa" w:w="2880"/>
          </w:tcPr>
          <w:p>
            <w:r>
              <w:t>Long ONLY -- no new short entries</w:t>
            </w:r>
          </w:p>
        </w:tc>
      </w:tr>
      <w:tr>
        <w:tc>
          <w:tcPr>
            <w:tcW w:type="dxa" w:w="2880"/>
          </w:tcPr>
          <w:p>
            <w:r>
              <w:t>Energy sector</w:t>
            </w:r>
          </w:p>
        </w:tc>
        <w:tc>
          <w:tcPr>
            <w:tcW w:type="dxa" w:w="2880"/>
          </w:tcPr>
          <w:p>
            <w:r>
              <w:t>Normal allocation</w:t>
            </w:r>
          </w:p>
        </w:tc>
        <w:tc>
          <w:tcPr>
            <w:tcW w:type="dxa" w:w="2880"/>
          </w:tcPr>
          <w:p>
            <w:r>
              <w:t>EXCLUDE from all long entries</w:t>
            </w:r>
          </w:p>
        </w:tc>
      </w:tr>
      <w:tr>
        <w:tc>
          <w:tcPr>
            <w:tcW w:type="dxa" w:w="2880"/>
          </w:tcPr>
          <w:p>
            <w:r>
              <w:t>Position count</w:t>
            </w:r>
          </w:p>
        </w:tc>
        <w:tc>
          <w:tcPr>
            <w:tcW w:type="dxa" w:w="2880"/>
          </w:tcPr>
          <w:p>
            <w:r>
              <w:t>10 (risk_balanced)</w:t>
            </w:r>
          </w:p>
        </w:tc>
        <w:tc>
          <w:tcPr>
            <w:tcW w:type="dxa" w:w="2880"/>
          </w:tcPr>
          <w:p>
            <w:r>
              <w:t>10-12 (add 2 extra slots)</w:t>
            </w:r>
          </w:p>
        </w:tc>
      </w:tr>
      <w:tr>
        <w:tc>
          <w:tcPr>
            <w:tcW w:type="dxa" w:w="2880"/>
          </w:tcPr>
          <w:p>
            <w:r>
              <w:t>Overweight sectors</w:t>
            </w:r>
          </w:p>
        </w:tc>
        <w:tc>
          <w:tcPr>
            <w:tcW w:type="dxa" w:w="2880"/>
          </w:tcPr>
          <w:p>
            <w:r>
              <w:t>Diversified</w:t>
            </w:r>
          </w:p>
        </w:tc>
        <w:tc>
          <w:tcPr>
            <w:tcW w:type="dxa" w:w="2880"/>
          </w:tcPr>
          <w:p>
            <w:r>
              <w:t>Materials, Consumer Staples, Discretionary, Real Estate</w:t>
            </w:r>
          </w:p>
        </w:tc>
      </w:tr>
      <w:tr>
        <w:tc>
          <w:tcPr>
            <w:tcW w:type="dxa" w:w="2880"/>
          </w:tcPr>
          <w:p>
            <w:r>
              <w:t>Options</w:t>
            </w:r>
          </w:p>
        </w:tc>
        <w:tc>
          <w:tcPr>
            <w:tcW w:type="dxa" w:w="2880"/>
          </w:tcPr>
          <w:p>
            <w:r>
              <w:t>Calls + puts</w:t>
            </w:r>
          </w:p>
        </w:tc>
        <w:tc>
          <w:tcPr>
            <w:tcW w:type="dxa" w:w="2880"/>
          </w:tcPr>
          <w:p>
            <w:r>
              <w:t>Calls ONLY -- no puts</w:t>
            </w:r>
          </w:p>
        </w:tc>
      </w:tr>
      <w:tr>
        <w:tc>
          <w:tcPr>
            <w:tcW w:type="dxa" w:w="2880"/>
          </w:tcPr>
          <w:p>
            <w:r>
              <w:t>Exit style</w:t>
            </w:r>
          </w:p>
        </w:tc>
        <w:tc>
          <w:tcPr>
            <w:tcW w:type="dxa" w:w="2880"/>
          </w:tcPr>
          <w:p>
            <w:r>
              <w:t>target6_atr2</w:t>
            </w:r>
          </w:p>
        </w:tc>
        <w:tc>
          <w:tcPr>
            <w:tcW w:type="dxa" w:w="2880"/>
          </w:tcPr>
          <w:p>
            <w:r>
              <w:t>target6_atr2 or momentum trail</w:t>
            </w:r>
          </w:p>
        </w:tc>
      </w:tr>
    </w:tbl>
    <w:p/>
    <w:p>
      <w:r>
        <w:t>The 2026 window opens September 27, 2026 and closes approximately July 18, 2027. Hard revert to normal mode on July 18, 2027. The 2026 midterm election (November 2026) is the triggering event. The window runs regardless of how the midterm election resolves -- the historical pattern holds across both Democrat and Republican outcomes.</w:t>
      </w:r>
    </w:p>
    <w:p>
      <w:pPr>
        <w:pStyle w:val="Heading1"/>
      </w:pPr>
      <w:r>
        <w:t>9. Uniqueness and Competitive Positioning</w:t>
      </w:r>
    </w:p>
    <w:p>
      <w:pPr>
        <w:pStyle w:val="Heading2"/>
      </w:pPr>
      <w:r>
        <w:t>9.1 Comparison to Existing Approaches</w:t>
      </w:r>
    </w:p>
    <w:p>
      <w:r>
        <w:t>Simple seasonal strategies (Sell in May and Go Away, Santa Claus Rally) operate at the index level with binary rules. They capture only the broadest effects and have no adaptability to market conditions. Quantitative seasonal funds at firms like Winton, Man AHL, and AQR incorporate seasonality as one sub-factor among many in multi-factor portfolio construction -- a minor tilt, not a primary alpha source. Platforms like Quantpedia catalog anomalies but do not automate execution or risk management.</w:t>
      </w:r>
    </w:p>
    <w:p>
      <w:r>
        <w:t>ML-scored stock selection is common among quantitative funds, but these systems typically score on fundamentals or technicals. Scoring specifically on seasonal pattern quality in current market conditions -- with 62 features, walk-forward validation on ~148 million samples, and dual prediction targets -- is rare to nonexistent on retail or institutional platforms.</w:t>
      </w:r>
    </w:p>
    <w:p>
      <w:pPr>
        <w:pStyle w:val="Heading2"/>
      </w:pPr>
      <w:r>
        <w:t>9.2 The Integrated System</w:t>
      </w:r>
    </w:p>
    <w:p>
      <w:r>
        <w:t>What is genuinely unique about TradeWave is not any single component but the integration of capabilities that each exist separately in the industry but are rarely combined:</w:t>
      </w:r>
    </w:p>
    <w:p>
      <w:pPr>
        <w:pStyle w:val="ListBullet"/>
      </w:pPr>
      <w:r>
        <w:t>Individual stock seasonal patterns at 475-stock granularity -- not index-level.</w:t>
      </w:r>
    </w:p>
    <w:p>
      <w:pPr>
        <w:pStyle w:val="ListBullet"/>
      </w:pPr>
      <w:r>
        <w:t>ML ensemble with 62 features including 19 live market regime features -- dynamic, not static.</w:t>
      </w:r>
    </w:p>
    <w:p>
      <w:pPr>
        <w:pStyle w:val="ListBullet"/>
      </w:pPr>
      <w:r>
        <w:t>ATR-scaled per-symbol stops with separate long and short parameters.</w:t>
      </w:r>
    </w:p>
    <w:p>
      <w:pPr>
        <w:pStyle w:val="ListBullet"/>
      </w:pPr>
      <w:r>
        <w:t>VIX hard block at &gt;=35 -- refuses entries during market panics regardless of pattern quality.</w:t>
      </w:r>
    </w:p>
    <w:p>
      <w:pPr>
        <w:pStyle w:val="ListBullet"/>
      </w:pPr>
      <w:r>
        <w:t>Drift self-monitoring with auto-correction -- early warning of model degradation.</w:t>
      </w:r>
    </w:p>
    <w:p>
      <w:pPr>
        <w:pStyle w:val="ListBullet"/>
      </w:pPr>
      <w:r>
        <w:t>Two-layer AI intelligence architecture -- automated daily review plus periodic deep analysis.</w:t>
      </w:r>
    </w:p>
    <w:p>
      <w:pPr>
        <w:pStyle w:val="ListBullet"/>
      </w:pPr>
      <w:r>
        <w:t>The 100-Year Pattern regime awareness -- switches strategy settings for midterm election windows.</w:t>
      </w:r>
    </w:p>
    <w:p>
      <w:pPr>
        <w:pStyle w:val="Heading1"/>
      </w:pPr>
      <w:r>
        <w:t>10. Remaining Gaps and Future Work</w:t>
      </w:r>
    </w:p>
    <w:p>
      <w:pPr>
        <w:pStyle w:val="Heading2"/>
      </w:pPr>
      <w:r>
        <w:t>10.1 Survivorship Bias</w:t>
      </w:r>
    </w:p>
    <w:p>
      <w:r>
        <w:t>The training and validation datasets use the current S&amp;P 500 constituent list rather than the historical constituent list at each point in time. Stocks removed from the index due to decline, bankruptcy, or acquisition are excluded, biasing win rates and returns upward. A quantitative sensitivity analysis found the correlation between the look-ahead bias indicator (pat_deepest_pass) and outcomes to be 0.057 within depth &gt; 0 -- suggesting the bias exists but is modest in magnitude. Correcting fully requires historical point-in-time index membership data.</w:t>
      </w:r>
    </w:p>
    <w:p>
      <w:pPr>
        <w:pStyle w:val="Heading2"/>
      </w:pPr>
      <w:r>
        <w:t>10.2 Transaction Cost Model</w:t>
      </w:r>
    </w:p>
    <w:p>
      <w:r>
        <w:t>The current model applies a 30% haircut to all return expectations. A per-trade cost model accounting for stock liquidity, execution timing, and market impact would provide tighter estimates and enable deprioritizing low-liquidity candidates where costs consume a larger fraction of expected seasonal alpha.</w:t>
      </w:r>
    </w:p>
    <w:p>
      <w:pPr>
        <w:pStyle w:val="Heading2"/>
      </w:pPr>
      <w:r>
        <w:t>10.3 Deferred Feature Work</w:t>
      </w:r>
    </w:p>
    <w:p>
      <w:r>
        <w:t>60-day ROC for DXY, CL, and GC is queued for the January 2027 retrain. These complement the 20-day ROC features added in the V3 retrain. The 20-day versions capture recent momentum; 60-day captures medium-term trend direction. Together they give the model a short-term vs medium-term momentum spread. No other feature additions are planned before January 2027.</w:t>
      </w:r>
    </w:p>
    <w:p>
      <w:pPr>
        <w:pStyle w:val="Heading2"/>
      </w:pPr>
      <w:r>
        <w:t>10.4 Auto Trading System Upgrade</w:t>
      </w:r>
    </w:p>
    <w:p>
      <w:r>
        <w:t>The auto trading system currently uses the original S21 configuration (Sharpe 4.22, long-only, EP exit). The research system (V4, Sharpe 7.46, combined L+S, target6_atr2) represents a significant upgrade in risk-adjusted performance. The upgrade will be evaluated once live simulation results are sufficient to validate out-of-sample performance.</w:t>
      </w:r>
    </w:p>
    <w:p>
      <w:pPr>
        <w:pStyle w:val="Heading1"/>
      </w:pPr>
      <w:r>
        <w:t>11. Final Recommended Configuration Set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Sleeve</w:t>
            </w:r>
          </w:p>
        </w:tc>
        <w:tc>
          <w:tcPr>
            <w:tcW w:type="dxa" w:w="1234"/>
          </w:tcPr>
          <w:p>
            <w:r>
              <w:rPr>
                <w:b/>
              </w:rPr>
              <w:t>Config</w:t>
            </w:r>
          </w:p>
        </w:tc>
        <w:tc>
          <w:tcPr>
            <w:tcW w:type="dxa" w:w="1234"/>
          </w:tcPr>
          <w:p>
            <w:r>
              <w:rPr>
                <w:b/>
              </w:rPr>
              <w:t>Sharpe</w:t>
            </w:r>
          </w:p>
        </w:tc>
        <w:tc>
          <w:tcPr>
            <w:tcW w:type="dxa" w:w="1234"/>
          </w:tcPr>
          <w:p>
            <w:r>
              <w:rPr>
                <w:b/>
              </w:rPr>
              <w:t>DD</w:t>
            </w:r>
          </w:p>
        </w:tc>
        <w:tc>
          <w:tcPr>
            <w:tcW w:type="dxa" w:w="1234"/>
          </w:tcPr>
          <w:p>
            <w:r>
              <w:rPr>
                <w:b/>
              </w:rPr>
              <w:t>CAGR</w:t>
            </w:r>
          </w:p>
        </w:tc>
        <w:tc>
          <w:tcPr>
            <w:tcW w:type="dxa" w:w="1234"/>
          </w:tcPr>
          <w:p>
            <w:r>
              <w:rPr>
                <w:b/>
              </w:rPr>
              <w:t>Status</w:t>
            </w:r>
          </w:p>
        </w:tc>
        <w:tc>
          <w:tcPr>
            <w:tcW w:type="dxa" w:w="1234"/>
          </w:tcPr>
          <w:p>
            <w:r>
              <w:rPr>
                <w:b/>
              </w:rPr>
              <w:t>Notes</w:t>
            </w:r>
          </w:p>
        </w:tc>
      </w:tr>
      <w:tr>
        <w:tc>
          <w:tcPr>
            <w:tcW w:type="dxa" w:w="1234"/>
          </w:tcPr>
          <w:p>
            <w:r>
              <w:t>Auto trading (live)</w:t>
            </w:r>
          </w:p>
        </w:tc>
        <w:tc>
          <w:tcPr>
            <w:tcW w:type="dxa" w:w="1234"/>
          </w:tcPr>
          <w:p>
            <w:r>
              <w:t>S21 + Best4</w:t>
            </w:r>
          </w:p>
        </w:tc>
        <w:tc>
          <w:tcPr>
            <w:tcW w:type="dxa" w:w="1234"/>
          </w:tcPr>
          <w:p>
            <w:r>
              <w:t>4.22</w:t>
            </w:r>
          </w:p>
        </w:tc>
        <w:tc>
          <w:tcPr>
            <w:tcW w:type="dxa" w:w="1234"/>
          </w:tcPr>
          <w:p>
            <w:r>
              <w:t>-7.4%</w:t>
            </w:r>
          </w:p>
        </w:tc>
        <w:tc>
          <w:tcPr>
            <w:tcW w:type="dxa" w:w="1234"/>
          </w:tcPr>
          <w:p>
            <w:r>
              <w:t>~80%</w:t>
            </w:r>
          </w:p>
        </w:tc>
        <w:tc>
          <w:tcPr>
            <w:tcW w:type="dxa" w:w="1234"/>
          </w:tcPr>
          <w:p>
            <w:r>
              <w:t>Live simulation</w:t>
            </w:r>
          </w:p>
        </w:tc>
        <w:tc>
          <w:tcPr>
            <w:tcW w:type="dxa" w:w="1234"/>
          </w:tcPr>
          <w:p>
            <w:r>
              <w:t>Long-only, EP exit</w:t>
            </w:r>
          </w:p>
        </w:tc>
      </w:tr>
      <w:tr>
        <w:tc>
          <w:tcPr>
            <w:tcW w:type="dxa" w:w="1234"/>
          </w:tcPr>
          <w:p>
            <w:r>
              <w:t>Research primary</w:t>
            </w:r>
          </w:p>
        </w:tc>
        <w:tc>
          <w:tcPr>
            <w:tcW w:type="dxa" w:w="1234"/>
          </w:tcPr>
          <w:p>
            <w:r>
              <w:t>V4_A_skip_monday (L+S)</w:t>
            </w:r>
          </w:p>
        </w:tc>
        <w:tc>
          <w:tcPr>
            <w:tcW w:type="dxa" w:w="1234"/>
          </w:tcPr>
          <w:p>
            <w:r>
              <w:t>7.46</w:t>
            </w:r>
          </w:p>
        </w:tc>
        <w:tc>
          <w:tcPr>
            <w:tcW w:type="dxa" w:w="1234"/>
          </w:tcPr>
          <w:p>
            <w:r>
              <w:t>-1.84%</w:t>
            </w:r>
          </w:p>
        </w:tc>
        <w:tc>
          <w:tcPr>
            <w:tcW w:type="dxa" w:w="1234"/>
          </w:tcPr>
          <w:p>
            <w:r>
              <w:t>36.3%</w:t>
            </w:r>
          </w:p>
        </w:tc>
        <w:tc>
          <w:tcPr>
            <w:tcW w:type="dxa" w:w="1234"/>
          </w:tcPr>
          <w:p>
            <w:r>
              <w:t>Research target</w:t>
            </w:r>
          </w:p>
        </w:tc>
        <w:tc>
          <w:tcPr>
            <w:tcW w:type="dxa" w:w="1234"/>
          </w:tcPr>
          <w:p>
            <w:r>
              <w:t>Best combined</w:t>
            </w:r>
          </w:p>
        </w:tc>
      </w:tr>
      <w:tr>
        <w:tc>
          <w:tcPr>
            <w:tcW w:type="dxa" w:w="1234"/>
          </w:tcPr>
          <w:p>
            <w:r>
              <w:t>Long-only research</w:t>
            </w:r>
          </w:p>
        </w:tc>
        <w:tc>
          <w:tcPr>
            <w:tcW w:type="dxa" w:w="1234"/>
          </w:tcPr>
          <w:p>
            <w:r>
              <w:t>V4_B_sym_quality_L</w:t>
            </w:r>
          </w:p>
        </w:tc>
        <w:tc>
          <w:tcPr>
            <w:tcW w:type="dxa" w:w="1234"/>
          </w:tcPr>
          <w:p>
            <w:r>
              <w:t>7.23</w:t>
            </w:r>
          </w:p>
        </w:tc>
        <w:tc>
          <w:tcPr>
            <w:tcW w:type="dxa" w:w="1234"/>
          </w:tcPr>
          <w:p>
            <w:r>
              <w:t>-2.75%</w:t>
            </w:r>
          </w:p>
        </w:tc>
        <w:tc>
          <w:tcPr>
            <w:tcW w:type="dxa" w:w="1234"/>
          </w:tcPr>
          <w:p>
            <w:r>
              <w:t>36.0%</w:t>
            </w:r>
          </w:p>
        </w:tc>
        <w:tc>
          <w:tcPr>
            <w:tcW w:type="dxa" w:w="1234"/>
          </w:tcPr>
          <w:p>
            <w:r>
              <w:t>Research target</w:t>
            </w:r>
          </w:p>
        </w:tc>
        <w:tc>
          <w:tcPr>
            <w:tcW w:type="dxa" w:w="1234"/>
          </w:tcPr>
          <w:p>
            <w:r>
              <w:t>No shorting</w:t>
            </w:r>
          </w:p>
        </w:tc>
      </w:tr>
      <w:tr>
        <w:tc>
          <w:tcPr>
            <w:tcW w:type="dxa" w:w="1234"/>
          </w:tcPr>
          <w:p>
            <w:r>
              <w:t>Short hedge</w:t>
            </w:r>
          </w:p>
        </w:tc>
        <w:tc>
          <w:tcPr>
            <w:tcW w:type="dxa" w:w="1234"/>
          </w:tcPr>
          <w:p>
            <w:r>
              <w:t>V4_B_regime_S</w:t>
            </w:r>
          </w:p>
        </w:tc>
        <w:tc>
          <w:tcPr>
            <w:tcW w:type="dxa" w:w="1234"/>
          </w:tcPr>
          <w:p>
            <w:r>
              <w:t>5.82</w:t>
            </w:r>
          </w:p>
        </w:tc>
        <w:tc>
          <w:tcPr>
            <w:tcW w:type="dxa" w:w="1234"/>
          </w:tcPr>
          <w:p>
            <w:r>
              <w:t>-2.55%</w:t>
            </w:r>
          </w:p>
        </w:tc>
        <w:tc>
          <w:tcPr>
            <w:tcW w:type="dxa" w:w="1234"/>
          </w:tcPr>
          <w:p>
            <w:r>
              <w:t>26.4%</w:t>
            </w:r>
          </w:p>
        </w:tc>
        <w:tc>
          <w:tcPr>
            <w:tcW w:type="dxa" w:w="1234"/>
          </w:tcPr>
          <w:p>
            <w:r>
              <w:t>Research target</w:t>
            </w:r>
          </w:p>
        </w:tc>
        <w:tc>
          <w:tcPr>
            <w:tcW w:type="dxa" w:w="1234"/>
          </w:tcPr>
          <w:p>
            <w:r>
              <w:t>Standalone or hedge</w:t>
            </w:r>
          </w:p>
        </w:tc>
      </w:tr>
      <w:tr>
        <w:tc>
          <w:tcPr>
            <w:tcW w:type="dxa" w:w="1234"/>
          </w:tcPr>
          <w:p>
            <w:r>
              <w:t>Options</w:t>
            </w:r>
          </w:p>
        </w:tc>
        <w:tc>
          <w:tcPr>
            <w:tcW w:type="dxa" w:w="1234"/>
          </w:tcPr>
          <w:p>
            <w:r>
              <w:t>OPT_013 baseline</w:t>
            </w:r>
          </w:p>
        </w:tc>
        <w:tc>
          <w:tcPr>
            <w:tcW w:type="dxa" w:w="1234"/>
          </w:tcPr>
          <w:p>
            <w:r>
              <w:t>5.34</w:t>
            </w:r>
          </w:p>
        </w:tc>
        <w:tc>
          <w:tcPr>
            <w:tcW w:type="dxa" w:w="1234"/>
          </w:tcPr>
          <w:p>
            <w:r>
              <w:t>-22%</w:t>
            </w:r>
          </w:p>
        </w:tc>
        <w:tc>
          <w:tcPr>
            <w:tcW w:type="dxa" w:w="1234"/>
          </w:tcPr>
          <w:p>
            <w:r>
              <w:t>3,959%*</w:t>
            </w:r>
          </w:p>
        </w:tc>
        <w:tc>
          <w:tcPr>
            <w:tcW w:type="dxa" w:w="1234"/>
          </w:tcPr>
          <w:p>
            <w:r>
              <w:t>Research</w:t>
            </w:r>
          </w:p>
        </w:tc>
        <w:tc>
          <w:tcPr>
            <w:tcW w:type="dxa" w:w="1234"/>
          </w:tcPr>
          <w:p>
            <w:r>
              <w:t>No added filters</w:t>
            </w:r>
          </w:p>
        </w:tc>
      </w:tr>
      <w:tr>
        <w:tc>
          <w:tcPr>
            <w:tcW w:type="dxa" w:w="1234"/>
          </w:tcPr>
          <w:p>
            <w:r>
              <w:t>Spreads</w:t>
            </w:r>
          </w:p>
        </w:tc>
        <w:tc>
          <w:tcPr>
            <w:tcW w:type="dxa" w:w="1234"/>
          </w:tcPr>
          <w:p>
            <w:r>
              <w:t>SPR_048 baseline</w:t>
            </w:r>
          </w:p>
        </w:tc>
        <w:tc>
          <w:tcPr>
            <w:tcW w:type="dxa" w:w="1234"/>
          </w:tcPr>
          <w:p>
            <w:r>
              <w:t>6.52</w:t>
            </w:r>
          </w:p>
        </w:tc>
        <w:tc>
          <w:tcPr>
            <w:tcW w:type="dxa" w:w="1234"/>
          </w:tcPr>
          <w:p>
            <w:r>
              <w:t>-25%</w:t>
            </w:r>
          </w:p>
        </w:tc>
        <w:tc>
          <w:tcPr>
            <w:tcW w:type="dxa" w:w="1234"/>
          </w:tcPr>
          <w:p>
            <w:r>
              <w:t>613%</w:t>
            </w:r>
          </w:p>
        </w:tc>
        <w:tc>
          <w:tcPr>
            <w:tcW w:type="dxa" w:w="1234"/>
          </w:tcPr>
          <w:p>
            <w:r>
              <w:t>Research</w:t>
            </w:r>
          </w:p>
        </w:tc>
        <w:tc>
          <w:tcPr>
            <w:tcW w:type="dxa" w:w="1234"/>
          </w:tcPr>
          <w:p>
            <w:r>
              <w:t>Bull put credit spreads</w:t>
            </w:r>
          </w:p>
        </w:tc>
      </w:tr>
      <w:tr>
        <w:tc>
          <w:tcPr>
            <w:tcW w:type="dxa" w:w="1234"/>
          </w:tcPr>
          <w:p>
            <w:r>
              <w:t>100-Year window</w:t>
            </w:r>
          </w:p>
        </w:tc>
        <w:tc>
          <w:tcPr>
            <w:tcW w:type="dxa" w:w="1234"/>
          </w:tcPr>
          <w:p>
            <w:r>
              <w:t>V4_A_skip_monday + regime</w:t>
            </w:r>
          </w:p>
        </w:tc>
        <w:tc>
          <w:tcPr>
            <w:tcW w:type="dxa" w:w="1234"/>
          </w:tcPr>
          <w:p>
            <w:r>
              <w:t>7.5+</w:t>
            </w:r>
          </w:p>
        </w:tc>
        <w:tc>
          <w:tcPr>
            <w:tcW w:type="dxa" w:w="1234"/>
          </w:tcPr>
          <w:p>
            <w:r>
              <w:t>&lt;2%</w:t>
            </w:r>
          </w:p>
        </w:tc>
        <w:tc>
          <w:tcPr>
            <w:tcW w:type="dxa" w:w="1234"/>
          </w:tcPr>
          <w:p>
            <w:r>
              <w:t>36%+</w:t>
            </w:r>
          </w:p>
        </w:tc>
        <w:tc>
          <w:tcPr>
            <w:tcW w:type="dxa" w:w="1234"/>
          </w:tcPr>
          <w:p>
            <w:r>
              <w:t>Sep 27 2026</w:t>
            </w:r>
          </w:p>
        </w:tc>
        <w:tc>
          <w:tcPr>
            <w:tcW w:type="dxa" w:w="1234"/>
          </w:tcPr>
          <w:p>
            <w:r>
              <w:t>Long-only, ML&gt;=70, no Energy</w:t>
            </w:r>
          </w:p>
        </w:tc>
      </w:tr>
    </w:tbl>
    <w:p/>
    <w:p>
      <w:r>
        <w:t>* Options returns on $10K account.</w:t>
      </w:r>
    </w:p>
    <w:p>
      <w:r>
        <w:t>What NOT to enable:</w:t>
      </w:r>
    </w:p>
    <w:p>
      <w:pPr>
        <w:pStyle w:val="ListBullet"/>
      </w:pPr>
      <w:r>
        <w:t>WeeklyBreaker: reduces trade count 82%, collapses Sharpe from 7.11 to 2.33.</w:t>
      </w:r>
    </w:p>
    <w:p>
      <w:pPr>
        <w:pStyle w:val="ListBullet"/>
      </w:pPr>
      <w:r>
        <w:t>Best-4 combined stack on BaseB: filter interaction produces Sharpe 2-3.</w:t>
      </w:r>
    </w:p>
    <w:p>
      <w:pPr>
        <w:pStyle w:val="ListBullet"/>
      </w:pPr>
      <w:r>
        <w:t>Any stock filters applied to options or spreads: over-restricts and destroys year-by-year stability.</w:t>
      </w:r>
    </w:p>
    <w:p>
      <w:pPr>
        <w:pStyle w:val="ListBullet"/>
      </w:pPr>
      <w:r>
        <w:t>Short entries during the 100-Year Pattern window (Sep 27 - Jul 18): short WR drops from 63% to 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