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56"/>
        </w:rPr>
        <w:t>ML Pattern Scorer V2</w:t>
      </w:r>
    </w:p>
    <w:p>
      <w:pPr>
        <w:jc w:val="center"/>
      </w:pPr>
      <w:r>
        <w:rPr>
          <w:color w:val="1B3A5C"/>
          <w:sz w:val="36"/>
        </w:rPr>
        <w:t>Production Readiness Analysis</w:t>
      </w:r>
    </w:p>
    <w:p>
      <w:pPr>
        <w:jc w:val="center"/>
      </w:pPr>
      <w:r>
        <w:rPr>
          <w:i/>
          <w:color w:val="666666"/>
          <w:sz w:val="22"/>
        </w:rPr>
        <w:t>March 2026  |  10-30 Day Tier  |  SR + MFE Ensemble Models</w:t>
      </w:r>
    </w:p>
    <w:p/>
    <w:p>
      <w:pPr>
        <w:pStyle w:val="Heading1"/>
      </w:pPr>
      <w:r>
        <w:t>Executive Summary</w:t>
      </w:r>
    </w:p>
    <w:p>
      <w:r>
        <w:t>The V2 ML Pattern Scorer is a 3-model ensemble (LightGBM + XGBoost + CatBoost) trained on 34.7 million historical samples across 475 S&amp;P 500 stocks and 26 years (2000-2025). It scores seasonal stock pattern opportunities by predicting both actual return (SR model) and maximum favorable excursion (MFE model).</w:t>
      </w:r>
    </w:p>
    <w:p>
      <w:r>
        <w:t>Eight years of true out-of-sample walk-forward validation (2018-2025) demonstrate that filtering to the model's top 30% of scored opportunities (ML_70 threshold) consistently delivers 78-86% win rates and Sharpe ratios of 7-12, compared to baseline win rates of 61-82% and Sharpe ratios of 2-9. The model has never produced a losing year at ML_70 or above.</w:t>
      </w:r>
    </w:p>
    <w:p>
      <w:r>
        <w:t>The model is ready for production deployment in both the TradeWave UI (opportunity ranking and scoring) and automated trading (with proper risk management safeguards).</w:t>
      </w:r>
    </w:p>
    <w:p>
      <w:pPr>
        <w:pStyle w:val="Heading1"/>
      </w:pPr>
      <w:r>
        <w:t>1. Model Filtering Power</w:t>
      </w:r>
    </w:p>
    <w:p>
      <w:r>
        <w:t>The core value of the model is opportunity filtering: separating the best seasonal patterns from the rest. The table below shows ML_70 (top 30%) performance vs. unfiltered baseline across all 8 walk-forward validation years.</w:t>
      </w:r>
    </w:p>
    <w:tbl>
      <w:tblPr>
        <w:tblStyle w:val="MediumShading1-Accent1"/>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tcPr>
          <w:p>
            <w:pPr>
              <w:jc w:val="center"/>
            </w:pPr>
            <w:r/>
            <w:r>
              <w:rPr>
                <w:rFonts w:ascii="Calibri" w:hAnsi="Calibri"/>
                <w:b/>
                <w:sz w:val="18"/>
              </w:rPr>
              <w:t>Year</w:t>
            </w:r>
          </w:p>
        </w:tc>
        <w:tc>
          <w:tcPr>
            <w:tcW w:type="dxa" w:w="1425"/>
          </w:tcPr>
          <w:p>
            <w:pPr>
              <w:jc w:val="center"/>
            </w:pPr>
            <w:r/>
            <w:r>
              <w:rPr>
                <w:rFonts w:ascii="Calibri" w:hAnsi="Calibri"/>
                <w:b/>
                <w:sz w:val="18"/>
              </w:rPr>
              <w:t>Base WR</w:t>
            </w:r>
          </w:p>
        </w:tc>
        <w:tc>
          <w:tcPr>
            <w:tcW w:type="dxa" w:w="1425"/>
          </w:tcPr>
          <w:p>
            <w:pPr>
              <w:jc w:val="center"/>
            </w:pPr>
            <w:r/>
            <w:r>
              <w:rPr>
                <w:rFonts w:ascii="Calibri" w:hAnsi="Calibri"/>
                <w:b/>
                <w:sz w:val="18"/>
              </w:rPr>
              <w:t>ML_70 WR</w:t>
            </w:r>
          </w:p>
        </w:tc>
        <w:tc>
          <w:tcPr>
            <w:tcW w:type="dxa" w:w="1425"/>
          </w:tcPr>
          <w:p>
            <w:pPr>
              <w:jc w:val="center"/>
            </w:pPr>
            <w:r/>
            <w:r>
              <w:rPr>
                <w:rFonts w:ascii="Calibri" w:hAnsi="Calibri"/>
                <w:b/>
                <w:sz w:val="18"/>
              </w:rPr>
              <w:t>WR Lift</w:t>
            </w:r>
          </w:p>
        </w:tc>
        <w:tc>
          <w:tcPr>
            <w:tcW w:type="dxa" w:w="1425"/>
          </w:tcPr>
          <w:p>
            <w:pPr>
              <w:jc w:val="center"/>
            </w:pPr>
            <w:r/>
            <w:r>
              <w:rPr>
                <w:rFonts w:ascii="Calibri" w:hAnsi="Calibri"/>
                <w:b/>
                <w:sz w:val="18"/>
              </w:rPr>
              <w:t>Base Sharpe</w:t>
            </w:r>
          </w:p>
        </w:tc>
        <w:tc>
          <w:tcPr>
            <w:tcW w:type="dxa" w:w="1425"/>
          </w:tcPr>
          <w:p>
            <w:pPr>
              <w:jc w:val="center"/>
            </w:pPr>
            <w:r/>
            <w:r>
              <w:rPr>
                <w:rFonts w:ascii="Calibri" w:hAnsi="Calibri"/>
                <w:b/>
                <w:sz w:val="18"/>
              </w:rPr>
              <w:t>ML_70 Sharpe</w:t>
            </w:r>
          </w:p>
        </w:tc>
        <w:tc>
          <w:tcPr>
            <w:tcW w:type="dxa" w:w="1425"/>
          </w:tcPr>
          <w:p>
            <w:pPr>
              <w:jc w:val="center"/>
            </w:pPr>
            <w:r/>
            <w:r>
              <w:rPr>
                <w:rFonts w:ascii="Calibri" w:hAnsi="Calibri"/>
                <w:b/>
                <w:sz w:val="18"/>
              </w:rPr>
              <w:t>Sharpe Lift</w:t>
            </w:r>
          </w:p>
        </w:tc>
      </w:tr>
      <w:tr>
        <w:tc>
          <w:tcPr>
            <w:tcW w:type="dxa" w:w="1425"/>
          </w:tcPr>
          <w:p>
            <w:pPr>
              <w:jc w:val="center"/>
            </w:pPr>
            <w:r/>
            <w:r>
              <w:rPr>
                <w:rFonts w:ascii="Calibri" w:hAnsi="Calibri"/>
                <w:b/>
                <w:sz w:val="18"/>
              </w:rPr>
              <w:t>2018</w:t>
            </w:r>
          </w:p>
        </w:tc>
        <w:tc>
          <w:tcPr>
            <w:tcW w:type="dxa" w:w="1425"/>
          </w:tcPr>
          <w:p>
            <w:pPr>
              <w:jc w:val="center"/>
            </w:pPr>
            <w:r/>
            <w:r>
              <w:rPr>
                <w:rFonts w:ascii="Calibri" w:hAnsi="Calibri"/>
                <w:sz w:val="18"/>
              </w:rPr>
              <w:t>71.7%</w:t>
            </w:r>
          </w:p>
        </w:tc>
        <w:tc>
          <w:tcPr>
            <w:tcW w:type="dxa" w:w="1425"/>
          </w:tcPr>
          <w:p>
            <w:pPr>
              <w:jc w:val="center"/>
            </w:pPr>
            <w:r/>
            <w:r>
              <w:rPr>
                <w:rFonts w:ascii="Calibri" w:hAnsi="Calibri"/>
                <w:sz w:val="18"/>
              </w:rPr>
              <w:t>77.8%</w:t>
            </w:r>
          </w:p>
        </w:tc>
        <w:tc>
          <w:tcPr>
            <w:tcW w:type="dxa" w:w="1425"/>
          </w:tcPr>
          <w:p>
            <w:pPr>
              <w:jc w:val="center"/>
            </w:pPr>
            <w:r/>
            <w:r>
              <w:rPr>
                <w:rFonts w:ascii="Calibri" w:hAnsi="Calibri"/>
                <w:sz w:val="18"/>
              </w:rPr>
              <w:t>+6.1</w:t>
            </w:r>
          </w:p>
        </w:tc>
        <w:tc>
          <w:tcPr>
            <w:tcW w:type="dxa" w:w="1425"/>
          </w:tcPr>
          <w:p>
            <w:pPr>
              <w:jc w:val="center"/>
            </w:pPr>
            <w:r/>
            <w:r>
              <w:rPr>
                <w:rFonts w:ascii="Calibri" w:hAnsi="Calibri"/>
                <w:sz w:val="18"/>
              </w:rPr>
              <w:t>4.91</w:t>
            </w:r>
          </w:p>
        </w:tc>
        <w:tc>
          <w:tcPr>
            <w:tcW w:type="dxa" w:w="1425"/>
          </w:tcPr>
          <w:p>
            <w:pPr>
              <w:jc w:val="center"/>
            </w:pPr>
            <w:r/>
            <w:r>
              <w:rPr>
                <w:rFonts w:ascii="Calibri" w:hAnsi="Calibri"/>
                <w:sz w:val="18"/>
              </w:rPr>
              <w:t>7.04</w:t>
            </w:r>
          </w:p>
        </w:tc>
        <w:tc>
          <w:tcPr>
            <w:tcW w:type="dxa" w:w="1425"/>
          </w:tcPr>
          <w:p>
            <w:pPr>
              <w:jc w:val="center"/>
            </w:pPr>
            <w:r/>
            <w:r>
              <w:rPr>
                <w:rFonts w:ascii="Calibri" w:hAnsi="Calibri"/>
                <w:sz w:val="18"/>
              </w:rPr>
              <w:t>+43%</w:t>
            </w:r>
          </w:p>
        </w:tc>
      </w:tr>
      <w:tr>
        <w:tc>
          <w:tcPr>
            <w:tcW w:type="dxa" w:w="1425"/>
          </w:tcPr>
          <w:p>
            <w:pPr>
              <w:jc w:val="center"/>
            </w:pPr>
            <w:r/>
            <w:r>
              <w:rPr>
                <w:rFonts w:ascii="Calibri" w:hAnsi="Calibri"/>
                <w:b/>
                <w:sz w:val="18"/>
              </w:rPr>
              <w:t>2019</w:t>
            </w:r>
          </w:p>
        </w:tc>
        <w:tc>
          <w:tcPr>
            <w:tcW w:type="dxa" w:w="1425"/>
          </w:tcPr>
          <w:p>
            <w:pPr>
              <w:jc w:val="center"/>
            </w:pPr>
            <w:r/>
            <w:r>
              <w:rPr>
                <w:rFonts w:ascii="Calibri" w:hAnsi="Calibri"/>
                <w:sz w:val="18"/>
              </w:rPr>
              <w:t>64.2%</w:t>
            </w:r>
          </w:p>
        </w:tc>
        <w:tc>
          <w:tcPr>
            <w:tcW w:type="dxa" w:w="1425"/>
          </w:tcPr>
          <w:p>
            <w:pPr>
              <w:jc w:val="center"/>
            </w:pPr>
            <w:r/>
            <w:r>
              <w:rPr>
                <w:rFonts w:ascii="Calibri" w:hAnsi="Calibri"/>
                <w:sz w:val="18"/>
              </w:rPr>
              <w:t>77.8%</w:t>
            </w:r>
          </w:p>
        </w:tc>
        <w:tc>
          <w:tcPr>
            <w:tcW w:type="dxa" w:w="1425"/>
          </w:tcPr>
          <w:p>
            <w:pPr>
              <w:jc w:val="center"/>
            </w:pPr>
            <w:r/>
            <w:r>
              <w:rPr>
                <w:rFonts w:ascii="Calibri" w:hAnsi="Calibri"/>
                <w:sz w:val="18"/>
              </w:rPr>
              <w:t>+13.6</w:t>
            </w:r>
          </w:p>
        </w:tc>
        <w:tc>
          <w:tcPr>
            <w:tcW w:type="dxa" w:w="1425"/>
          </w:tcPr>
          <w:p>
            <w:pPr>
              <w:jc w:val="center"/>
            </w:pPr>
            <w:r/>
            <w:r>
              <w:rPr>
                <w:rFonts w:ascii="Calibri" w:hAnsi="Calibri"/>
                <w:sz w:val="18"/>
              </w:rPr>
              <w:t>3.26</w:t>
            </w:r>
          </w:p>
        </w:tc>
        <w:tc>
          <w:tcPr>
            <w:tcW w:type="dxa" w:w="1425"/>
          </w:tcPr>
          <w:p>
            <w:pPr>
              <w:jc w:val="center"/>
            </w:pPr>
            <w:r/>
            <w:r>
              <w:rPr>
                <w:rFonts w:ascii="Calibri" w:hAnsi="Calibri"/>
                <w:sz w:val="18"/>
              </w:rPr>
              <w:t>6.93</w:t>
            </w:r>
          </w:p>
        </w:tc>
        <w:tc>
          <w:tcPr>
            <w:tcW w:type="dxa" w:w="1425"/>
          </w:tcPr>
          <w:p>
            <w:pPr>
              <w:jc w:val="center"/>
            </w:pPr>
            <w:r/>
            <w:r>
              <w:rPr>
                <w:rFonts w:ascii="Calibri" w:hAnsi="Calibri"/>
                <w:sz w:val="18"/>
              </w:rPr>
              <w:t>+113%</w:t>
            </w:r>
          </w:p>
        </w:tc>
      </w:tr>
      <w:tr>
        <w:tc>
          <w:tcPr>
            <w:tcW w:type="dxa" w:w="1425"/>
          </w:tcPr>
          <w:p>
            <w:pPr>
              <w:jc w:val="center"/>
            </w:pPr>
            <w:r/>
            <w:r>
              <w:rPr>
                <w:rFonts w:ascii="Calibri" w:hAnsi="Calibri"/>
                <w:b/>
                <w:sz w:val="18"/>
              </w:rPr>
              <w:t>2020</w:t>
            </w:r>
          </w:p>
        </w:tc>
        <w:tc>
          <w:tcPr>
            <w:tcW w:type="dxa" w:w="1425"/>
          </w:tcPr>
          <w:p>
            <w:pPr>
              <w:jc w:val="center"/>
            </w:pPr>
            <w:r/>
            <w:r>
              <w:rPr>
                <w:rFonts w:ascii="Calibri" w:hAnsi="Calibri"/>
                <w:sz w:val="18"/>
              </w:rPr>
              <w:t>62.4%</w:t>
            </w:r>
          </w:p>
        </w:tc>
        <w:tc>
          <w:tcPr>
            <w:tcW w:type="dxa" w:w="1425"/>
          </w:tcPr>
          <w:p>
            <w:pPr>
              <w:jc w:val="center"/>
            </w:pPr>
            <w:r/>
            <w:r>
              <w:rPr>
                <w:rFonts w:ascii="Calibri" w:hAnsi="Calibri"/>
                <w:sz w:val="18"/>
              </w:rPr>
              <w:t>78.2%</w:t>
            </w:r>
          </w:p>
        </w:tc>
        <w:tc>
          <w:tcPr>
            <w:tcW w:type="dxa" w:w="1425"/>
          </w:tcPr>
          <w:p>
            <w:pPr>
              <w:jc w:val="center"/>
            </w:pPr>
            <w:r/>
            <w:r>
              <w:rPr>
                <w:rFonts w:ascii="Calibri" w:hAnsi="Calibri"/>
                <w:sz w:val="18"/>
              </w:rPr>
              <w:t>+15.8</w:t>
            </w:r>
          </w:p>
        </w:tc>
        <w:tc>
          <w:tcPr>
            <w:tcW w:type="dxa" w:w="1425"/>
          </w:tcPr>
          <w:p>
            <w:pPr>
              <w:jc w:val="center"/>
            </w:pPr>
            <w:r/>
            <w:r>
              <w:rPr>
                <w:rFonts w:ascii="Calibri" w:hAnsi="Calibri"/>
                <w:sz w:val="18"/>
              </w:rPr>
              <w:t>2.13</w:t>
            </w:r>
          </w:p>
        </w:tc>
        <w:tc>
          <w:tcPr>
            <w:tcW w:type="dxa" w:w="1425"/>
          </w:tcPr>
          <w:p>
            <w:pPr>
              <w:jc w:val="center"/>
            </w:pPr>
            <w:r/>
            <w:r>
              <w:rPr>
                <w:rFonts w:ascii="Calibri" w:hAnsi="Calibri"/>
                <w:sz w:val="18"/>
              </w:rPr>
              <w:t>8.32</w:t>
            </w:r>
          </w:p>
        </w:tc>
        <w:tc>
          <w:tcPr>
            <w:tcW w:type="dxa" w:w="1425"/>
          </w:tcPr>
          <w:p>
            <w:pPr>
              <w:jc w:val="center"/>
            </w:pPr>
            <w:r/>
            <w:r>
              <w:rPr>
                <w:rFonts w:ascii="Calibri" w:hAnsi="Calibri"/>
                <w:sz w:val="18"/>
              </w:rPr>
              <w:t>+291%</w:t>
            </w:r>
          </w:p>
        </w:tc>
      </w:tr>
      <w:tr>
        <w:tc>
          <w:tcPr>
            <w:tcW w:type="dxa" w:w="1425"/>
          </w:tcPr>
          <w:p>
            <w:pPr>
              <w:jc w:val="center"/>
            </w:pPr>
            <w:r/>
            <w:r>
              <w:rPr>
                <w:rFonts w:ascii="Calibri" w:hAnsi="Calibri"/>
                <w:b/>
                <w:sz w:val="18"/>
              </w:rPr>
              <w:t>2021</w:t>
            </w:r>
          </w:p>
        </w:tc>
        <w:tc>
          <w:tcPr>
            <w:tcW w:type="dxa" w:w="1425"/>
          </w:tcPr>
          <w:p>
            <w:pPr>
              <w:jc w:val="center"/>
            </w:pPr>
            <w:r/>
            <w:r>
              <w:rPr>
                <w:rFonts w:ascii="Calibri" w:hAnsi="Calibri"/>
                <w:sz w:val="18"/>
              </w:rPr>
              <w:t>68.9%</w:t>
            </w:r>
          </w:p>
        </w:tc>
        <w:tc>
          <w:tcPr>
            <w:tcW w:type="dxa" w:w="1425"/>
          </w:tcPr>
          <w:p>
            <w:pPr>
              <w:jc w:val="center"/>
            </w:pPr>
            <w:r/>
            <w:r>
              <w:rPr>
                <w:rFonts w:ascii="Calibri" w:hAnsi="Calibri"/>
                <w:sz w:val="18"/>
              </w:rPr>
              <w:t>78.8%</w:t>
            </w:r>
          </w:p>
        </w:tc>
        <w:tc>
          <w:tcPr>
            <w:tcW w:type="dxa" w:w="1425"/>
          </w:tcPr>
          <w:p>
            <w:pPr>
              <w:jc w:val="center"/>
            </w:pPr>
            <w:r/>
            <w:r>
              <w:rPr>
                <w:rFonts w:ascii="Calibri" w:hAnsi="Calibri"/>
                <w:sz w:val="18"/>
              </w:rPr>
              <w:t>+9.9</w:t>
            </w:r>
          </w:p>
        </w:tc>
        <w:tc>
          <w:tcPr>
            <w:tcW w:type="dxa" w:w="1425"/>
          </w:tcPr>
          <w:p>
            <w:pPr>
              <w:jc w:val="center"/>
            </w:pPr>
            <w:r/>
            <w:r>
              <w:rPr>
                <w:rFonts w:ascii="Calibri" w:hAnsi="Calibri"/>
                <w:sz w:val="18"/>
              </w:rPr>
              <w:t>5.34</w:t>
            </w:r>
          </w:p>
        </w:tc>
        <w:tc>
          <w:tcPr>
            <w:tcW w:type="dxa" w:w="1425"/>
          </w:tcPr>
          <w:p>
            <w:pPr>
              <w:jc w:val="center"/>
            </w:pPr>
            <w:r/>
            <w:r>
              <w:rPr>
                <w:rFonts w:ascii="Calibri" w:hAnsi="Calibri"/>
                <w:sz w:val="18"/>
              </w:rPr>
              <w:t>8.68</w:t>
            </w:r>
          </w:p>
        </w:tc>
        <w:tc>
          <w:tcPr>
            <w:tcW w:type="dxa" w:w="1425"/>
          </w:tcPr>
          <w:p>
            <w:pPr>
              <w:jc w:val="center"/>
            </w:pPr>
            <w:r/>
            <w:r>
              <w:rPr>
                <w:rFonts w:ascii="Calibri" w:hAnsi="Calibri"/>
                <w:sz w:val="18"/>
              </w:rPr>
              <w:t>+63%</w:t>
            </w:r>
          </w:p>
        </w:tc>
      </w:tr>
      <w:tr>
        <w:tc>
          <w:tcPr>
            <w:tcW w:type="dxa" w:w="1425"/>
          </w:tcPr>
          <w:p>
            <w:pPr>
              <w:jc w:val="center"/>
            </w:pPr>
            <w:r/>
            <w:r>
              <w:rPr>
                <w:rFonts w:ascii="Calibri" w:hAnsi="Calibri"/>
                <w:b/>
                <w:sz w:val="18"/>
              </w:rPr>
              <w:t>2022</w:t>
            </w:r>
          </w:p>
        </w:tc>
        <w:tc>
          <w:tcPr>
            <w:tcW w:type="dxa" w:w="1425"/>
          </w:tcPr>
          <w:p>
            <w:pPr>
              <w:jc w:val="center"/>
            </w:pPr>
            <w:r/>
            <w:r>
              <w:rPr>
                <w:rFonts w:ascii="Calibri" w:hAnsi="Calibri"/>
                <w:sz w:val="18"/>
              </w:rPr>
              <w:t>81.6%</w:t>
            </w:r>
          </w:p>
        </w:tc>
        <w:tc>
          <w:tcPr>
            <w:tcW w:type="dxa" w:w="1425"/>
          </w:tcPr>
          <w:p>
            <w:pPr>
              <w:jc w:val="center"/>
            </w:pPr>
            <w:r/>
            <w:r>
              <w:rPr>
                <w:rFonts w:ascii="Calibri" w:hAnsi="Calibri"/>
                <w:sz w:val="18"/>
              </w:rPr>
              <w:t>86.0%</w:t>
            </w:r>
          </w:p>
        </w:tc>
        <w:tc>
          <w:tcPr>
            <w:tcW w:type="dxa" w:w="1425"/>
          </w:tcPr>
          <w:p>
            <w:pPr>
              <w:jc w:val="center"/>
            </w:pPr>
            <w:r/>
            <w:r>
              <w:rPr>
                <w:rFonts w:ascii="Calibri" w:hAnsi="Calibri"/>
                <w:sz w:val="18"/>
              </w:rPr>
              <w:t>+4.4</w:t>
            </w:r>
          </w:p>
        </w:tc>
        <w:tc>
          <w:tcPr>
            <w:tcW w:type="dxa" w:w="1425"/>
          </w:tcPr>
          <w:p>
            <w:pPr>
              <w:jc w:val="center"/>
            </w:pPr>
            <w:r/>
            <w:r>
              <w:rPr>
                <w:rFonts w:ascii="Calibri" w:hAnsi="Calibri"/>
                <w:sz w:val="18"/>
              </w:rPr>
              <w:t>9.36</w:t>
            </w:r>
          </w:p>
        </w:tc>
        <w:tc>
          <w:tcPr>
            <w:tcW w:type="dxa" w:w="1425"/>
          </w:tcPr>
          <w:p>
            <w:pPr>
              <w:jc w:val="center"/>
            </w:pPr>
            <w:r/>
            <w:r>
              <w:rPr>
                <w:rFonts w:ascii="Calibri" w:hAnsi="Calibri"/>
                <w:sz w:val="18"/>
              </w:rPr>
              <w:t>12.31</w:t>
            </w:r>
          </w:p>
        </w:tc>
        <w:tc>
          <w:tcPr>
            <w:tcW w:type="dxa" w:w="1425"/>
          </w:tcPr>
          <w:p>
            <w:pPr>
              <w:jc w:val="center"/>
            </w:pPr>
            <w:r/>
            <w:r>
              <w:rPr>
                <w:rFonts w:ascii="Calibri" w:hAnsi="Calibri"/>
                <w:sz w:val="18"/>
              </w:rPr>
              <w:t>+32%</w:t>
            </w:r>
          </w:p>
        </w:tc>
      </w:tr>
      <w:tr>
        <w:tc>
          <w:tcPr>
            <w:tcW w:type="dxa" w:w="1425"/>
          </w:tcPr>
          <w:p>
            <w:pPr>
              <w:jc w:val="center"/>
            </w:pPr>
            <w:r/>
            <w:r>
              <w:rPr>
                <w:rFonts w:ascii="Calibri" w:hAnsi="Calibri"/>
                <w:b/>
                <w:sz w:val="18"/>
              </w:rPr>
              <w:t>2023</w:t>
            </w:r>
          </w:p>
        </w:tc>
        <w:tc>
          <w:tcPr>
            <w:tcW w:type="dxa" w:w="1425"/>
          </w:tcPr>
          <w:p>
            <w:pPr>
              <w:jc w:val="center"/>
            </w:pPr>
            <w:r/>
            <w:r>
              <w:rPr>
                <w:rFonts w:ascii="Calibri" w:hAnsi="Calibri"/>
                <w:sz w:val="18"/>
              </w:rPr>
              <w:t>65.0%</w:t>
            </w:r>
          </w:p>
        </w:tc>
        <w:tc>
          <w:tcPr>
            <w:tcW w:type="dxa" w:w="1425"/>
          </w:tcPr>
          <w:p>
            <w:pPr>
              <w:jc w:val="center"/>
            </w:pPr>
            <w:r/>
            <w:r>
              <w:rPr>
                <w:rFonts w:ascii="Calibri" w:hAnsi="Calibri"/>
                <w:sz w:val="18"/>
              </w:rPr>
              <w:t>79.7%</w:t>
            </w:r>
          </w:p>
        </w:tc>
        <w:tc>
          <w:tcPr>
            <w:tcW w:type="dxa" w:w="1425"/>
          </w:tcPr>
          <w:p>
            <w:pPr>
              <w:jc w:val="center"/>
            </w:pPr>
            <w:r/>
            <w:r>
              <w:rPr>
                <w:rFonts w:ascii="Calibri" w:hAnsi="Calibri"/>
                <w:sz w:val="18"/>
              </w:rPr>
              <w:t>+14.7</w:t>
            </w:r>
          </w:p>
        </w:tc>
        <w:tc>
          <w:tcPr>
            <w:tcW w:type="dxa" w:w="1425"/>
          </w:tcPr>
          <w:p>
            <w:pPr>
              <w:jc w:val="center"/>
            </w:pPr>
            <w:r/>
            <w:r>
              <w:rPr>
                <w:rFonts w:ascii="Calibri" w:hAnsi="Calibri"/>
                <w:sz w:val="18"/>
              </w:rPr>
              <w:t>4.08</w:t>
            </w:r>
          </w:p>
        </w:tc>
        <w:tc>
          <w:tcPr>
            <w:tcW w:type="dxa" w:w="1425"/>
          </w:tcPr>
          <w:p>
            <w:pPr>
              <w:jc w:val="center"/>
            </w:pPr>
            <w:r/>
            <w:r>
              <w:rPr>
                <w:rFonts w:ascii="Calibri" w:hAnsi="Calibri"/>
                <w:sz w:val="18"/>
              </w:rPr>
              <w:t>9.00</w:t>
            </w:r>
          </w:p>
        </w:tc>
        <w:tc>
          <w:tcPr>
            <w:tcW w:type="dxa" w:w="1425"/>
          </w:tcPr>
          <w:p>
            <w:pPr>
              <w:jc w:val="center"/>
            </w:pPr>
            <w:r/>
            <w:r>
              <w:rPr>
                <w:rFonts w:ascii="Calibri" w:hAnsi="Calibri"/>
                <w:sz w:val="18"/>
              </w:rPr>
              <w:t>+121%</w:t>
            </w:r>
          </w:p>
        </w:tc>
      </w:tr>
      <w:tr>
        <w:tc>
          <w:tcPr>
            <w:tcW w:type="dxa" w:w="1425"/>
          </w:tcPr>
          <w:p>
            <w:pPr>
              <w:jc w:val="center"/>
            </w:pPr>
            <w:r/>
            <w:r>
              <w:rPr>
                <w:rFonts w:ascii="Calibri" w:hAnsi="Calibri"/>
                <w:b/>
                <w:sz w:val="18"/>
              </w:rPr>
              <w:t>2024</w:t>
            </w:r>
          </w:p>
        </w:tc>
        <w:tc>
          <w:tcPr>
            <w:tcW w:type="dxa" w:w="1425"/>
          </w:tcPr>
          <w:p>
            <w:pPr>
              <w:jc w:val="center"/>
            </w:pPr>
            <w:r/>
            <w:r>
              <w:rPr>
                <w:rFonts w:ascii="Calibri" w:hAnsi="Calibri"/>
                <w:sz w:val="18"/>
              </w:rPr>
              <w:t>65.9%</w:t>
            </w:r>
          </w:p>
        </w:tc>
        <w:tc>
          <w:tcPr>
            <w:tcW w:type="dxa" w:w="1425"/>
          </w:tcPr>
          <w:p>
            <w:pPr>
              <w:jc w:val="center"/>
            </w:pPr>
            <w:r/>
            <w:r>
              <w:rPr>
                <w:rFonts w:ascii="Calibri" w:hAnsi="Calibri"/>
                <w:sz w:val="18"/>
              </w:rPr>
              <w:t>77.8%</w:t>
            </w:r>
          </w:p>
        </w:tc>
        <w:tc>
          <w:tcPr>
            <w:tcW w:type="dxa" w:w="1425"/>
          </w:tcPr>
          <w:p>
            <w:pPr>
              <w:jc w:val="center"/>
            </w:pPr>
            <w:r/>
            <w:r>
              <w:rPr>
                <w:rFonts w:ascii="Calibri" w:hAnsi="Calibri"/>
                <w:sz w:val="18"/>
              </w:rPr>
              <w:t>+11.9</w:t>
            </w:r>
          </w:p>
        </w:tc>
        <w:tc>
          <w:tcPr>
            <w:tcW w:type="dxa" w:w="1425"/>
          </w:tcPr>
          <w:p>
            <w:pPr>
              <w:jc w:val="center"/>
            </w:pPr>
            <w:r/>
            <w:r>
              <w:rPr>
                <w:rFonts w:ascii="Calibri" w:hAnsi="Calibri"/>
                <w:sz w:val="18"/>
              </w:rPr>
              <w:t>4.44</w:t>
            </w:r>
          </w:p>
        </w:tc>
        <w:tc>
          <w:tcPr>
            <w:tcW w:type="dxa" w:w="1425"/>
          </w:tcPr>
          <w:p>
            <w:pPr>
              <w:jc w:val="center"/>
            </w:pPr>
            <w:r/>
            <w:r>
              <w:rPr>
                <w:rFonts w:ascii="Calibri" w:hAnsi="Calibri"/>
                <w:sz w:val="18"/>
              </w:rPr>
              <w:t>8.21</w:t>
            </w:r>
          </w:p>
        </w:tc>
        <w:tc>
          <w:tcPr>
            <w:tcW w:type="dxa" w:w="1425"/>
          </w:tcPr>
          <w:p>
            <w:pPr>
              <w:jc w:val="center"/>
            </w:pPr>
            <w:r/>
            <w:r>
              <w:rPr>
                <w:rFonts w:ascii="Calibri" w:hAnsi="Calibri"/>
                <w:sz w:val="18"/>
              </w:rPr>
              <w:t>+85%</w:t>
            </w:r>
          </w:p>
        </w:tc>
      </w:tr>
      <w:tr>
        <w:tc>
          <w:tcPr>
            <w:tcW w:type="dxa" w:w="1425"/>
          </w:tcPr>
          <w:p>
            <w:pPr>
              <w:jc w:val="center"/>
            </w:pPr>
            <w:r/>
            <w:r>
              <w:rPr>
                <w:rFonts w:ascii="Calibri" w:hAnsi="Calibri"/>
                <w:b/>
                <w:sz w:val="18"/>
              </w:rPr>
              <w:t>2025</w:t>
            </w:r>
          </w:p>
        </w:tc>
        <w:tc>
          <w:tcPr>
            <w:tcW w:type="dxa" w:w="1425"/>
          </w:tcPr>
          <w:p>
            <w:pPr>
              <w:jc w:val="center"/>
            </w:pPr>
            <w:r/>
            <w:r>
              <w:rPr>
                <w:rFonts w:ascii="Calibri" w:hAnsi="Calibri"/>
                <w:sz w:val="18"/>
              </w:rPr>
              <w:t>61.5%</w:t>
            </w:r>
          </w:p>
        </w:tc>
        <w:tc>
          <w:tcPr>
            <w:tcW w:type="dxa" w:w="1425"/>
          </w:tcPr>
          <w:p>
            <w:pPr>
              <w:jc w:val="center"/>
            </w:pPr>
            <w:r/>
            <w:r>
              <w:rPr>
                <w:rFonts w:ascii="Calibri" w:hAnsi="Calibri"/>
                <w:sz w:val="18"/>
              </w:rPr>
              <w:t>78.1%</w:t>
            </w:r>
          </w:p>
        </w:tc>
        <w:tc>
          <w:tcPr>
            <w:tcW w:type="dxa" w:w="1425"/>
          </w:tcPr>
          <w:p>
            <w:pPr>
              <w:jc w:val="center"/>
            </w:pPr>
            <w:r/>
            <w:r>
              <w:rPr>
                <w:rFonts w:ascii="Calibri" w:hAnsi="Calibri"/>
                <w:sz w:val="18"/>
              </w:rPr>
              <w:t>+16.6</w:t>
            </w:r>
          </w:p>
        </w:tc>
        <w:tc>
          <w:tcPr>
            <w:tcW w:type="dxa" w:w="1425"/>
          </w:tcPr>
          <w:p>
            <w:pPr>
              <w:jc w:val="center"/>
            </w:pPr>
            <w:r/>
            <w:r>
              <w:rPr>
                <w:rFonts w:ascii="Calibri" w:hAnsi="Calibri"/>
                <w:sz w:val="18"/>
              </w:rPr>
              <w:t>2.33</w:t>
            </w:r>
          </w:p>
        </w:tc>
        <w:tc>
          <w:tcPr>
            <w:tcW w:type="dxa" w:w="1425"/>
          </w:tcPr>
          <w:p>
            <w:pPr>
              <w:jc w:val="center"/>
            </w:pPr>
            <w:r/>
            <w:r>
              <w:rPr>
                <w:rFonts w:ascii="Calibri" w:hAnsi="Calibri"/>
                <w:sz w:val="18"/>
              </w:rPr>
              <w:t>7.45</w:t>
            </w:r>
          </w:p>
        </w:tc>
        <w:tc>
          <w:tcPr>
            <w:tcW w:type="dxa" w:w="1425"/>
          </w:tcPr>
          <w:p>
            <w:pPr>
              <w:jc w:val="center"/>
            </w:pPr>
            <w:r/>
            <w:r>
              <w:rPr>
                <w:rFonts w:ascii="Calibri" w:hAnsi="Calibri"/>
                <w:sz w:val="18"/>
              </w:rPr>
              <w:t>+220%</w:t>
            </w:r>
          </w:p>
        </w:tc>
      </w:tr>
    </w:tbl>
    <w:p/>
    <w:p>
      <w:r>
        <w:rPr>
          <w:b/>
        </w:rPr>
        <w:t xml:space="preserve">Key finding: </w:t>
      </w:r>
      <w:r>
        <w:t>The model adds the most value in hard markets. When baseline WR is low (2020: 62.4%, 2025: 61.5%), the model lifts WR by 15-17 points and Sharpe by 220-291%. When the market is already easy (2022: 81.6% base WR), the model adds only 4 points. This is the right behavior -- the gatekeeper matters most when conditions are worst.</w:t>
      </w:r>
    </w:p>
    <w:p>
      <w:r>
        <w:rPr>
          <w:b/>
        </w:rPr>
        <w:t xml:space="preserve">ML_70 WR never drops below 77.8%. </w:t>
      </w:r>
      <w:r>
        <w:t>That is the floor across 8 diverse years including COVID (2020), a bear market (2022), and rate hiking cycles.</w:t>
      </w:r>
    </w:p>
    <w:p>
      <w:pPr>
        <w:pStyle w:val="Heading1"/>
      </w:pPr>
      <w:r>
        <w:t>2. Calibration Quality</w:t>
      </w:r>
    </w:p>
    <w:p>
      <w:pPr>
        <w:pStyle w:val="Heading2"/>
      </w:pPr>
      <w:r>
        <w:t>SR Win Probability Calibration</w:t>
      </w:r>
    </w:p>
    <w:p>
      <w:r>
        <w:t>The SR model's predicted return maps smoothly and monotonically to observed win probability. Calibration built from 11 million walk-forward samples across 8 years.</w:t>
      </w:r>
    </w:p>
    <w:tbl>
      <w:tblPr>
        <w:tblStyle w:val="MediumShading1-Accent1"/>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Calibri" w:hAnsi="Calibri"/>
                <w:b/>
                <w:sz w:val="18"/>
              </w:rPr>
              <w:t>Prediction Bin</w:t>
            </w:r>
          </w:p>
        </w:tc>
        <w:tc>
          <w:tcPr>
            <w:tcW w:type="dxa" w:w="1994"/>
          </w:tcPr>
          <w:p>
            <w:pPr>
              <w:jc w:val="center"/>
            </w:pPr>
            <w:r/>
            <w:r>
              <w:rPr>
                <w:rFonts w:ascii="Calibri" w:hAnsi="Calibri"/>
                <w:b/>
                <w:sz w:val="18"/>
              </w:rPr>
              <w:t>Pred Range</w:t>
            </w:r>
          </w:p>
        </w:tc>
        <w:tc>
          <w:tcPr>
            <w:tcW w:type="dxa" w:w="1994"/>
          </w:tcPr>
          <w:p>
            <w:pPr>
              <w:jc w:val="center"/>
            </w:pPr>
            <w:r/>
            <w:r>
              <w:rPr>
                <w:rFonts w:ascii="Calibri" w:hAnsi="Calibri"/>
                <w:b/>
                <w:sz w:val="18"/>
              </w:rPr>
              <w:t>Win Prob</w:t>
            </w:r>
          </w:p>
        </w:tc>
        <w:tc>
          <w:tcPr>
            <w:tcW w:type="dxa" w:w="1994"/>
          </w:tcPr>
          <w:p>
            <w:pPr>
              <w:jc w:val="center"/>
            </w:pPr>
            <w:r/>
            <w:r>
              <w:rPr>
                <w:rFonts w:ascii="Calibri" w:hAnsi="Calibri"/>
                <w:b/>
                <w:sz w:val="18"/>
              </w:rPr>
              <w:t>Avg Return</w:t>
            </w:r>
          </w:p>
        </w:tc>
        <w:tc>
          <w:tcPr>
            <w:tcW w:type="dxa" w:w="1994"/>
          </w:tcPr>
          <w:p>
            <w:pPr>
              <w:jc w:val="center"/>
            </w:pPr>
            <w:r/>
            <w:r>
              <w:rPr>
                <w:rFonts w:ascii="Calibri" w:hAnsi="Calibri"/>
                <w:b/>
                <w:sz w:val="18"/>
              </w:rPr>
              <w:t>P(Hit Pred)</w:t>
            </w:r>
          </w:p>
        </w:tc>
      </w:tr>
      <w:tr>
        <w:tc>
          <w:tcPr>
            <w:tcW w:type="dxa" w:w="1994"/>
          </w:tcPr>
          <w:p>
            <w:pPr>
              <w:jc w:val="center"/>
            </w:pPr>
            <w:r/>
            <w:r>
              <w:rPr>
                <w:rFonts w:ascii="Calibri" w:hAnsi="Calibri"/>
                <w:b/>
                <w:sz w:val="18"/>
              </w:rPr>
              <w:t>Bin 0 (lowest)</w:t>
            </w:r>
          </w:p>
        </w:tc>
        <w:tc>
          <w:tcPr>
            <w:tcW w:type="dxa" w:w="1994"/>
          </w:tcPr>
          <w:p>
            <w:pPr>
              <w:jc w:val="center"/>
            </w:pPr>
            <w:r/>
            <w:r>
              <w:rPr>
                <w:rFonts w:ascii="Calibri" w:hAnsi="Calibri"/>
                <w:sz w:val="18"/>
              </w:rPr>
              <w:t>&lt; -0.56%</w:t>
            </w:r>
          </w:p>
        </w:tc>
        <w:tc>
          <w:tcPr>
            <w:tcW w:type="dxa" w:w="1994"/>
          </w:tcPr>
          <w:p>
            <w:pPr>
              <w:jc w:val="center"/>
            </w:pPr>
            <w:r/>
            <w:r>
              <w:rPr>
                <w:rFonts w:ascii="Calibri" w:hAnsi="Calibri"/>
                <w:sz w:val="18"/>
              </w:rPr>
              <w:t>51.1%</w:t>
            </w:r>
          </w:p>
        </w:tc>
        <w:tc>
          <w:tcPr>
            <w:tcW w:type="dxa" w:w="1994"/>
          </w:tcPr>
          <w:p>
            <w:pPr>
              <w:jc w:val="center"/>
            </w:pPr>
            <w:r/>
            <w:r>
              <w:rPr>
                <w:rFonts w:ascii="Calibri" w:hAnsi="Calibri"/>
                <w:sz w:val="18"/>
              </w:rPr>
              <w:t>-0.27%</w:t>
            </w:r>
          </w:p>
        </w:tc>
        <w:tc>
          <w:tcPr>
            <w:tcW w:type="dxa" w:w="1994"/>
          </w:tcPr>
          <w:p>
            <w:pPr>
              <w:jc w:val="center"/>
            </w:pPr>
            <w:r/>
            <w:r>
              <w:rPr>
                <w:rFonts w:ascii="Calibri" w:hAnsi="Calibri"/>
                <w:sz w:val="18"/>
              </w:rPr>
              <w:t>57.6%</w:t>
            </w:r>
          </w:p>
        </w:tc>
      </w:tr>
      <w:tr>
        <w:tc>
          <w:tcPr>
            <w:tcW w:type="dxa" w:w="1994"/>
          </w:tcPr>
          <w:p>
            <w:pPr>
              <w:jc w:val="center"/>
            </w:pPr>
            <w:r/>
            <w:r>
              <w:rPr>
                <w:rFonts w:ascii="Calibri" w:hAnsi="Calibri"/>
                <w:b/>
                <w:sz w:val="18"/>
              </w:rPr>
              <w:t>Bin 5</w:t>
            </w:r>
          </w:p>
        </w:tc>
        <w:tc>
          <w:tcPr>
            <w:tcW w:type="dxa" w:w="1994"/>
          </w:tcPr>
          <w:p>
            <w:pPr>
              <w:jc w:val="center"/>
            </w:pPr>
            <w:r/>
            <w:r>
              <w:rPr>
                <w:rFonts w:ascii="Calibri" w:hAnsi="Calibri"/>
                <w:sz w:val="18"/>
              </w:rPr>
              <w:t>~0.61-0.72%</w:t>
            </w:r>
          </w:p>
        </w:tc>
        <w:tc>
          <w:tcPr>
            <w:tcW w:type="dxa" w:w="1994"/>
          </w:tcPr>
          <w:p>
            <w:pPr>
              <w:jc w:val="center"/>
            </w:pPr>
            <w:r/>
            <w:r>
              <w:rPr>
                <w:rFonts w:ascii="Calibri" w:hAnsi="Calibri"/>
                <w:sz w:val="18"/>
              </w:rPr>
              <w:t>56.0%</w:t>
            </w:r>
          </w:p>
        </w:tc>
        <w:tc>
          <w:tcPr>
            <w:tcW w:type="dxa" w:w="1994"/>
          </w:tcPr>
          <w:p>
            <w:pPr>
              <w:jc w:val="center"/>
            </w:pPr>
            <w:r/>
            <w:r>
              <w:rPr>
                <w:rFonts w:ascii="Calibri" w:hAnsi="Calibri"/>
                <w:sz w:val="18"/>
              </w:rPr>
              <w:t>0.16%</w:t>
            </w:r>
          </w:p>
        </w:tc>
        <w:tc>
          <w:tcPr>
            <w:tcW w:type="dxa" w:w="1994"/>
          </w:tcPr>
          <w:p>
            <w:pPr>
              <w:jc w:val="center"/>
            </w:pPr>
            <w:r/>
            <w:r>
              <w:rPr>
                <w:rFonts w:ascii="Calibri" w:hAnsi="Calibri"/>
                <w:sz w:val="18"/>
              </w:rPr>
              <w:t>49.4%</w:t>
            </w:r>
          </w:p>
        </w:tc>
      </w:tr>
      <w:tr>
        <w:tc>
          <w:tcPr>
            <w:tcW w:type="dxa" w:w="1994"/>
          </w:tcPr>
          <w:p>
            <w:pPr>
              <w:jc w:val="center"/>
            </w:pPr>
            <w:r/>
            <w:r>
              <w:rPr>
                <w:rFonts w:ascii="Calibri" w:hAnsi="Calibri"/>
                <w:b/>
                <w:sz w:val="18"/>
              </w:rPr>
              <w:t>Bin 10</w:t>
            </w:r>
          </w:p>
        </w:tc>
        <w:tc>
          <w:tcPr>
            <w:tcW w:type="dxa" w:w="1994"/>
          </w:tcPr>
          <w:p>
            <w:pPr>
              <w:jc w:val="center"/>
            </w:pPr>
            <w:r/>
            <w:r>
              <w:rPr>
                <w:rFonts w:ascii="Calibri" w:hAnsi="Calibri"/>
                <w:sz w:val="18"/>
              </w:rPr>
              <w:t>~1.12-1.25%</w:t>
            </w:r>
          </w:p>
        </w:tc>
        <w:tc>
          <w:tcPr>
            <w:tcW w:type="dxa" w:w="1994"/>
          </w:tcPr>
          <w:p>
            <w:pPr>
              <w:jc w:val="center"/>
            </w:pPr>
            <w:r/>
            <w:r>
              <w:rPr>
                <w:rFonts w:ascii="Calibri" w:hAnsi="Calibri"/>
                <w:sz w:val="18"/>
              </w:rPr>
              <w:t>69.2%</w:t>
            </w:r>
          </w:p>
        </w:tc>
        <w:tc>
          <w:tcPr>
            <w:tcW w:type="dxa" w:w="1994"/>
          </w:tcPr>
          <w:p>
            <w:pPr>
              <w:jc w:val="center"/>
            </w:pPr>
            <w:r/>
            <w:r>
              <w:rPr>
                <w:rFonts w:ascii="Calibri" w:hAnsi="Calibri"/>
                <w:sz w:val="18"/>
              </w:rPr>
              <w:t>1.59%</w:t>
            </w:r>
          </w:p>
        </w:tc>
        <w:tc>
          <w:tcPr>
            <w:tcW w:type="dxa" w:w="1994"/>
          </w:tcPr>
          <w:p>
            <w:pPr>
              <w:jc w:val="center"/>
            </w:pPr>
            <w:r/>
            <w:r>
              <w:rPr>
                <w:rFonts w:ascii="Calibri" w:hAnsi="Calibri"/>
                <w:sz w:val="18"/>
              </w:rPr>
              <w:t>57.5%</w:t>
            </w:r>
          </w:p>
        </w:tc>
      </w:tr>
      <w:tr>
        <w:tc>
          <w:tcPr>
            <w:tcW w:type="dxa" w:w="1994"/>
          </w:tcPr>
          <w:p>
            <w:pPr>
              <w:jc w:val="center"/>
            </w:pPr>
            <w:r/>
            <w:r>
              <w:rPr>
                <w:rFonts w:ascii="Calibri" w:hAnsi="Calibri"/>
                <w:b/>
                <w:sz w:val="18"/>
              </w:rPr>
              <w:t>Bin 15</w:t>
            </w:r>
          </w:p>
        </w:tc>
        <w:tc>
          <w:tcPr>
            <w:tcW w:type="dxa" w:w="1994"/>
          </w:tcPr>
          <w:p>
            <w:pPr>
              <w:jc w:val="center"/>
            </w:pPr>
            <w:r/>
            <w:r>
              <w:rPr>
                <w:rFonts w:ascii="Calibri" w:hAnsi="Calibri"/>
                <w:sz w:val="18"/>
              </w:rPr>
              <w:t>~1.92-2.15%</w:t>
            </w:r>
          </w:p>
        </w:tc>
        <w:tc>
          <w:tcPr>
            <w:tcW w:type="dxa" w:w="1994"/>
          </w:tcPr>
          <w:p>
            <w:pPr>
              <w:jc w:val="center"/>
            </w:pPr>
            <w:r/>
            <w:r>
              <w:rPr>
                <w:rFonts w:ascii="Calibri" w:hAnsi="Calibri"/>
                <w:sz w:val="18"/>
              </w:rPr>
              <w:t>76.6%</w:t>
            </w:r>
          </w:p>
        </w:tc>
        <w:tc>
          <w:tcPr>
            <w:tcW w:type="dxa" w:w="1994"/>
          </w:tcPr>
          <w:p>
            <w:pPr>
              <w:jc w:val="center"/>
            </w:pPr>
            <w:r/>
            <w:r>
              <w:rPr>
                <w:rFonts w:ascii="Calibri" w:hAnsi="Calibri"/>
                <w:sz w:val="18"/>
              </w:rPr>
              <w:t>2.94%</w:t>
            </w:r>
          </w:p>
        </w:tc>
        <w:tc>
          <w:tcPr>
            <w:tcW w:type="dxa" w:w="1994"/>
          </w:tcPr>
          <w:p>
            <w:pPr>
              <w:jc w:val="center"/>
            </w:pPr>
            <w:r/>
            <w:r>
              <w:rPr>
                <w:rFonts w:ascii="Calibri" w:hAnsi="Calibri"/>
                <w:sz w:val="18"/>
              </w:rPr>
              <w:t>57.8%</w:t>
            </w:r>
          </w:p>
        </w:tc>
      </w:tr>
      <w:tr>
        <w:tc>
          <w:tcPr>
            <w:tcW w:type="dxa" w:w="1994"/>
          </w:tcPr>
          <w:p>
            <w:pPr>
              <w:jc w:val="center"/>
            </w:pPr>
            <w:r/>
            <w:r>
              <w:rPr>
                <w:rFonts w:ascii="Calibri" w:hAnsi="Calibri"/>
                <w:b/>
                <w:sz w:val="18"/>
              </w:rPr>
              <w:t>Bin 19 (highest)</w:t>
            </w:r>
          </w:p>
        </w:tc>
        <w:tc>
          <w:tcPr>
            <w:tcW w:type="dxa" w:w="1994"/>
          </w:tcPr>
          <w:p>
            <w:pPr>
              <w:jc w:val="center"/>
            </w:pPr>
            <w:r/>
            <w:r>
              <w:rPr>
                <w:rFonts w:ascii="Calibri" w:hAnsi="Calibri"/>
                <w:sz w:val="18"/>
              </w:rPr>
              <w:t>&gt; 3.44%</w:t>
            </w:r>
          </w:p>
        </w:tc>
        <w:tc>
          <w:tcPr>
            <w:tcW w:type="dxa" w:w="1994"/>
          </w:tcPr>
          <w:p>
            <w:pPr>
              <w:jc w:val="center"/>
            </w:pPr>
            <w:r/>
            <w:r>
              <w:rPr>
                <w:rFonts w:ascii="Calibri" w:hAnsi="Calibri"/>
                <w:sz w:val="18"/>
              </w:rPr>
              <w:t>84.5%</w:t>
            </w:r>
          </w:p>
        </w:tc>
        <w:tc>
          <w:tcPr>
            <w:tcW w:type="dxa" w:w="1994"/>
          </w:tcPr>
          <w:p>
            <w:pPr>
              <w:jc w:val="center"/>
            </w:pPr>
            <w:r/>
            <w:r>
              <w:rPr>
                <w:rFonts w:ascii="Calibri" w:hAnsi="Calibri"/>
                <w:sz w:val="18"/>
              </w:rPr>
              <w:t>6.97%</w:t>
            </w:r>
          </w:p>
        </w:tc>
        <w:tc>
          <w:tcPr>
            <w:tcW w:type="dxa" w:w="1994"/>
          </w:tcPr>
          <w:p>
            <w:pPr>
              <w:jc w:val="center"/>
            </w:pPr>
            <w:r/>
            <w:r>
              <w:rPr>
                <w:rFonts w:ascii="Calibri" w:hAnsi="Calibri"/>
                <w:sz w:val="18"/>
              </w:rPr>
              <w:t>60.6%</w:t>
            </w:r>
          </w:p>
        </w:tc>
      </w:tr>
    </w:tbl>
    <w:p/>
    <w:p>
      <w:r>
        <w:t>Win probability calibration is excellent: smooth, monotonic, and usable for production display. P(hit predicted return) is weaker (54-61%), meaning the model's magnitude estimates are noisy. Use predicted return as a ranking signal, not as a precise target.</w:t>
      </w:r>
    </w:p>
    <w:p>
      <w:pPr>
        <w:pStyle w:val="Heading2"/>
      </w:pPr>
      <w:r>
        <w:t>MFE Calibration</w:t>
      </w:r>
    </w:p>
    <w:tbl>
      <w:tblPr>
        <w:tblStyle w:val="MediumShading1-Accent1"/>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Calibri" w:hAnsi="Calibri"/>
                <w:b/>
                <w:sz w:val="18"/>
              </w:rPr>
              <w:t>Prediction Bin</w:t>
            </w:r>
          </w:p>
        </w:tc>
        <w:tc>
          <w:tcPr>
            <w:tcW w:type="dxa" w:w="1994"/>
          </w:tcPr>
          <w:p>
            <w:pPr>
              <w:jc w:val="center"/>
            </w:pPr>
            <w:r/>
            <w:r>
              <w:rPr>
                <w:rFonts w:ascii="Calibri" w:hAnsi="Calibri"/>
                <w:b/>
                <w:sz w:val="18"/>
              </w:rPr>
              <w:t>Pred MFE Range</w:t>
            </w:r>
          </w:p>
        </w:tc>
        <w:tc>
          <w:tcPr>
            <w:tcW w:type="dxa" w:w="1994"/>
          </w:tcPr>
          <w:p>
            <w:pPr>
              <w:jc w:val="center"/>
            </w:pPr>
            <w:r/>
            <w:r>
              <w:rPr>
                <w:rFonts w:ascii="Calibri" w:hAnsi="Calibri"/>
                <w:b/>
                <w:sz w:val="18"/>
              </w:rPr>
              <w:t>Win Prob</w:t>
            </w:r>
          </w:p>
        </w:tc>
        <w:tc>
          <w:tcPr>
            <w:tcW w:type="dxa" w:w="1994"/>
          </w:tcPr>
          <w:p>
            <w:pPr>
              <w:jc w:val="center"/>
            </w:pPr>
            <w:r/>
            <w:r>
              <w:rPr>
                <w:rFonts w:ascii="Calibri" w:hAnsi="Calibri"/>
                <w:b/>
                <w:sz w:val="18"/>
              </w:rPr>
              <w:t>Avg MFE</w:t>
            </w:r>
          </w:p>
        </w:tc>
        <w:tc>
          <w:tcPr>
            <w:tcW w:type="dxa" w:w="1994"/>
          </w:tcPr>
          <w:p>
            <w:pPr>
              <w:jc w:val="center"/>
            </w:pPr>
            <w:r/>
            <w:r>
              <w:rPr>
                <w:rFonts w:ascii="Calibri" w:hAnsi="Calibri"/>
                <w:b/>
                <w:sz w:val="18"/>
              </w:rPr>
              <w:t>P(Hit Pred MFE)</w:t>
            </w:r>
          </w:p>
        </w:tc>
      </w:tr>
      <w:tr>
        <w:tc>
          <w:tcPr>
            <w:tcW w:type="dxa" w:w="1994"/>
          </w:tcPr>
          <w:p>
            <w:pPr>
              <w:jc w:val="center"/>
            </w:pPr>
            <w:r/>
            <w:r>
              <w:rPr>
                <w:rFonts w:ascii="Calibri" w:hAnsi="Calibri"/>
                <w:b/>
                <w:sz w:val="18"/>
              </w:rPr>
              <w:t>Bin 0 (lowest)</w:t>
            </w:r>
          </w:p>
        </w:tc>
        <w:tc>
          <w:tcPr>
            <w:tcW w:type="dxa" w:w="1994"/>
          </w:tcPr>
          <w:p>
            <w:pPr>
              <w:jc w:val="center"/>
            </w:pPr>
            <w:r/>
            <w:r>
              <w:rPr>
                <w:rFonts w:ascii="Calibri" w:hAnsi="Calibri"/>
                <w:sz w:val="18"/>
              </w:rPr>
              <w:t>0.57-2.64%</w:t>
            </w:r>
          </w:p>
        </w:tc>
        <w:tc>
          <w:tcPr>
            <w:tcW w:type="dxa" w:w="1994"/>
          </w:tcPr>
          <w:p>
            <w:pPr>
              <w:jc w:val="center"/>
            </w:pPr>
            <w:r/>
            <w:r>
              <w:rPr>
                <w:rFonts w:ascii="Calibri" w:hAnsi="Calibri"/>
                <w:sz w:val="18"/>
              </w:rPr>
              <w:t>57.2%</w:t>
            </w:r>
          </w:p>
        </w:tc>
        <w:tc>
          <w:tcPr>
            <w:tcW w:type="dxa" w:w="1994"/>
          </w:tcPr>
          <w:p>
            <w:pPr>
              <w:jc w:val="center"/>
            </w:pPr>
            <w:r/>
            <w:r>
              <w:rPr>
                <w:rFonts w:ascii="Calibri" w:hAnsi="Calibri"/>
                <w:sz w:val="18"/>
              </w:rPr>
              <w:t>2.58%</w:t>
            </w:r>
          </w:p>
        </w:tc>
        <w:tc>
          <w:tcPr>
            <w:tcW w:type="dxa" w:w="1994"/>
          </w:tcPr>
          <w:p>
            <w:pPr>
              <w:jc w:val="center"/>
            </w:pPr>
            <w:r/>
            <w:r>
              <w:rPr>
                <w:rFonts w:ascii="Calibri" w:hAnsi="Calibri"/>
                <w:sz w:val="18"/>
              </w:rPr>
              <w:t>46.9%</w:t>
            </w:r>
          </w:p>
        </w:tc>
      </w:tr>
      <w:tr>
        <w:tc>
          <w:tcPr>
            <w:tcW w:type="dxa" w:w="1994"/>
          </w:tcPr>
          <w:p>
            <w:pPr>
              <w:jc w:val="center"/>
            </w:pPr>
            <w:r/>
            <w:r>
              <w:rPr>
                <w:rFonts w:ascii="Calibri" w:hAnsi="Calibri"/>
                <w:b/>
                <w:sz w:val="18"/>
              </w:rPr>
              <w:t>Bin 5</w:t>
            </w:r>
          </w:p>
        </w:tc>
        <w:tc>
          <w:tcPr>
            <w:tcW w:type="dxa" w:w="1994"/>
          </w:tcPr>
          <w:p>
            <w:pPr>
              <w:jc w:val="center"/>
            </w:pPr>
            <w:r/>
            <w:r>
              <w:rPr>
                <w:rFonts w:ascii="Calibri" w:hAnsi="Calibri"/>
                <w:sz w:val="18"/>
              </w:rPr>
              <w:t>3.71-3.93%</w:t>
            </w:r>
          </w:p>
        </w:tc>
        <w:tc>
          <w:tcPr>
            <w:tcW w:type="dxa" w:w="1994"/>
          </w:tcPr>
          <w:p>
            <w:pPr>
              <w:jc w:val="center"/>
            </w:pPr>
            <w:r/>
            <w:r>
              <w:rPr>
                <w:rFonts w:ascii="Calibri" w:hAnsi="Calibri"/>
                <w:sz w:val="18"/>
              </w:rPr>
              <w:t>64.4%</w:t>
            </w:r>
          </w:p>
        </w:tc>
        <w:tc>
          <w:tcPr>
            <w:tcW w:type="dxa" w:w="1994"/>
          </w:tcPr>
          <w:p>
            <w:pPr>
              <w:jc w:val="center"/>
            </w:pPr>
            <w:r/>
            <w:r>
              <w:rPr>
                <w:rFonts w:ascii="Calibri" w:hAnsi="Calibri"/>
                <w:sz w:val="18"/>
              </w:rPr>
              <w:t>4.03%</w:t>
            </w:r>
          </w:p>
        </w:tc>
        <w:tc>
          <w:tcPr>
            <w:tcW w:type="dxa" w:w="1994"/>
          </w:tcPr>
          <w:p>
            <w:pPr>
              <w:jc w:val="center"/>
            </w:pPr>
            <w:r/>
            <w:r>
              <w:rPr>
                <w:rFonts w:ascii="Calibri" w:hAnsi="Calibri"/>
                <w:sz w:val="18"/>
              </w:rPr>
              <w:t>46.1%</w:t>
            </w:r>
          </w:p>
        </w:tc>
      </w:tr>
      <w:tr>
        <w:tc>
          <w:tcPr>
            <w:tcW w:type="dxa" w:w="1994"/>
          </w:tcPr>
          <w:p>
            <w:pPr>
              <w:jc w:val="center"/>
            </w:pPr>
            <w:r/>
            <w:r>
              <w:rPr>
                <w:rFonts w:ascii="Calibri" w:hAnsi="Calibri"/>
                <w:b/>
                <w:sz w:val="18"/>
              </w:rPr>
              <w:t>Bin 10</w:t>
            </w:r>
          </w:p>
        </w:tc>
        <w:tc>
          <w:tcPr>
            <w:tcW w:type="dxa" w:w="1994"/>
          </w:tcPr>
          <w:p>
            <w:pPr>
              <w:jc w:val="center"/>
            </w:pPr>
            <w:r/>
            <w:r>
              <w:rPr>
                <w:rFonts w:ascii="Calibri" w:hAnsi="Calibri"/>
                <w:sz w:val="18"/>
              </w:rPr>
              <w:t>4.82-5.07%</w:t>
            </w:r>
          </w:p>
        </w:tc>
        <w:tc>
          <w:tcPr>
            <w:tcW w:type="dxa" w:w="1994"/>
          </w:tcPr>
          <w:p>
            <w:pPr>
              <w:jc w:val="center"/>
            </w:pPr>
            <w:r/>
            <w:r>
              <w:rPr>
                <w:rFonts w:ascii="Calibri" w:hAnsi="Calibri"/>
                <w:sz w:val="18"/>
              </w:rPr>
              <w:t>67.2%</w:t>
            </w:r>
          </w:p>
        </w:tc>
        <w:tc>
          <w:tcPr>
            <w:tcW w:type="dxa" w:w="1994"/>
          </w:tcPr>
          <w:p>
            <w:pPr>
              <w:jc w:val="center"/>
            </w:pPr>
            <w:r/>
            <w:r>
              <w:rPr>
                <w:rFonts w:ascii="Calibri" w:hAnsi="Calibri"/>
                <w:sz w:val="18"/>
              </w:rPr>
              <w:t>5.14%</w:t>
            </w:r>
          </w:p>
        </w:tc>
        <w:tc>
          <w:tcPr>
            <w:tcW w:type="dxa" w:w="1994"/>
          </w:tcPr>
          <w:p>
            <w:pPr>
              <w:jc w:val="center"/>
            </w:pPr>
            <w:r/>
            <w:r>
              <w:rPr>
                <w:rFonts w:ascii="Calibri" w:hAnsi="Calibri"/>
                <w:sz w:val="18"/>
              </w:rPr>
              <w:t>45.6%</w:t>
            </w:r>
          </w:p>
        </w:tc>
      </w:tr>
      <w:tr>
        <w:tc>
          <w:tcPr>
            <w:tcW w:type="dxa" w:w="1994"/>
          </w:tcPr>
          <w:p>
            <w:pPr>
              <w:jc w:val="center"/>
            </w:pPr>
            <w:r/>
            <w:r>
              <w:rPr>
                <w:rFonts w:ascii="Calibri" w:hAnsi="Calibri"/>
                <w:b/>
                <w:sz w:val="18"/>
              </w:rPr>
              <w:t>Bin 15</w:t>
            </w:r>
          </w:p>
        </w:tc>
        <w:tc>
          <w:tcPr>
            <w:tcW w:type="dxa" w:w="1994"/>
          </w:tcPr>
          <w:p>
            <w:pPr>
              <w:jc w:val="center"/>
            </w:pPr>
            <w:r/>
            <w:r>
              <w:rPr>
                <w:rFonts w:ascii="Calibri" w:hAnsi="Calibri"/>
                <w:sz w:val="18"/>
              </w:rPr>
              <w:t>6.33-6.78%</w:t>
            </w:r>
          </w:p>
        </w:tc>
        <w:tc>
          <w:tcPr>
            <w:tcW w:type="dxa" w:w="1994"/>
          </w:tcPr>
          <w:p>
            <w:pPr>
              <w:jc w:val="center"/>
            </w:pPr>
            <w:r/>
            <w:r>
              <w:rPr>
                <w:rFonts w:ascii="Calibri" w:hAnsi="Calibri"/>
                <w:sz w:val="18"/>
              </w:rPr>
              <w:t>71.7%</w:t>
            </w:r>
          </w:p>
        </w:tc>
        <w:tc>
          <w:tcPr>
            <w:tcW w:type="dxa" w:w="1994"/>
          </w:tcPr>
          <w:p>
            <w:pPr>
              <w:jc w:val="center"/>
            </w:pPr>
            <w:r/>
            <w:r>
              <w:rPr>
                <w:rFonts w:ascii="Calibri" w:hAnsi="Calibri"/>
                <w:sz w:val="18"/>
              </w:rPr>
              <w:t>6.94%</w:t>
            </w:r>
          </w:p>
        </w:tc>
        <w:tc>
          <w:tcPr>
            <w:tcW w:type="dxa" w:w="1994"/>
          </w:tcPr>
          <w:p>
            <w:pPr>
              <w:jc w:val="center"/>
            </w:pPr>
            <w:r/>
            <w:r>
              <w:rPr>
                <w:rFonts w:ascii="Calibri" w:hAnsi="Calibri"/>
                <w:sz w:val="18"/>
              </w:rPr>
              <w:t>47.3%</w:t>
            </w:r>
          </w:p>
        </w:tc>
      </w:tr>
      <w:tr>
        <w:tc>
          <w:tcPr>
            <w:tcW w:type="dxa" w:w="1994"/>
          </w:tcPr>
          <w:p>
            <w:pPr>
              <w:jc w:val="center"/>
            </w:pPr>
            <w:r/>
            <w:r>
              <w:rPr>
                <w:rFonts w:ascii="Calibri" w:hAnsi="Calibri"/>
                <w:b/>
                <w:sz w:val="18"/>
              </w:rPr>
              <w:t>Bin 19 (highest)</w:t>
            </w:r>
          </w:p>
        </w:tc>
        <w:tc>
          <w:tcPr>
            <w:tcW w:type="dxa" w:w="1994"/>
          </w:tcPr>
          <w:p>
            <w:pPr>
              <w:jc w:val="center"/>
            </w:pPr>
            <w:r/>
            <w:r>
              <w:rPr>
                <w:rFonts w:ascii="Calibri" w:hAnsi="Calibri"/>
                <w:sz w:val="18"/>
              </w:rPr>
              <w:t>&gt; 9.48%</w:t>
            </w:r>
          </w:p>
        </w:tc>
        <w:tc>
          <w:tcPr>
            <w:tcW w:type="dxa" w:w="1994"/>
          </w:tcPr>
          <w:p>
            <w:pPr>
              <w:jc w:val="center"/>
            </w:pPr>
            <w:r/>
            <w:r>
              <w:rPr>
                <w:rFonts w:ascii="Calibri" w:hAnsi="Calibri"/>
                <w:sz w:val="18"/>
              </w:rPr>
              <w:t>80.5%</w:t>
            </w:r>
          </w:p>
        </w:tc>
        <w:tc>
          <w:tcPr>
            <w:tcW w:type="dxa" w:w="1994"/>
          </w:tcPr>
          <w:p>
            <w:pPr>
              <w:jc w:val="center"/>
            </w:pPr>
            <w:r/>
            <w:r>
              <w:rPr>
                <w:rFonts w:ascii="Calibri" w:hAnsi="Calibri"/>
                <w:sz w:val="18"/>
              </w:rPr>
              <w:t>13.41%</w:t>
            </w:r>
          </w:p>
        </w:tc>
        <w:tc>
          <w:tcPr>
            <w:tcW w:type="dxa" w:w="1994"/>
          </w:tcPr>
          <w:p>
            <w:pPr>
              <w:jc w:val="center"/>
            </w:pPr>
            <w:r/>
            <w:r>
              <w:rPr>
                <w:rFonts w:ascii="Calibri" w:hAnsi="Calibri"/>
                <w:sz w:val="18"/>
              </w:rPr>
              <w:t>52.4%</w:t>
            </w:r>
          </w:p>
        </w:tc>
      </w:tr>
    </w:tbl>
    <w:p/>
    <w:p>
      <w:r>
        <w:t>The MFE model correctly ranks opportunities by excursion potential (Spearman 0.37 rank correlation) but P(hit predicted MFE) is nearly flat at 46-52%. The model identifies WHICH opportunities have high upside, but the exact predicted MFE level should not be used as a literal profit target.</w:t>
      </w:r>
    </w:p>
    <w:p>
      <w:pPr>
        <w:pStyle w:val="Heading1"/>
      </w:pPr>
      <w:r>
        <w:t>3. Ensemble Value</w:t>
      </w:r>
    </w:p>
    <w:p>
      <w:r>
        <w:t>The 3-model ensemble provides critical insurance against individual model failure. No single model dominates across all years, and any one can fail in a given regime.</w:t>
      </w:r>
    </w:p>
    <w:tbl>
      <w:tblPr>
        <w:tblStyle w:val="MediumShading1-Accent1"/>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Calibri" w:hAnsi="Calibri"/>
                <w:b/>
                <w:sz w:val="18"/>
              </w:rPr>
              <w:t>Year</w:t>
            </w:r>
          </w:p>
        </w:tc>
        <w:tc>
          <w:tcPr>
            <w:tcW w:type="dxa" w:w="1994"/>
          </w:tcPr>
          <w:p>
            <w:pPr>
              <w:jc w:val="center"/>
            </w:pPr>
            <w:r/>
            <w:r>
              <w:rPr>
                <w:rFonts w:ascii="Calibri" w:hAnsi="Calibri"/>
                <w:b/>
                <w:sz w:val="18"/>
              </w:rPr>
              <w:t>LightGBM</w:t>
            </w:r>
          </w:p>
        </w:tc>
        <w:tc>
          <w:tcPr>
            <w:tcW w:type="dxa" w:w="1994"/>
          </w:tcPr>
          <w:p>
            <w:pPr>
              <w:jc w:val="center"/>
            </w:pPr>
            <w:r/>
            <w:r>
              <w:rPr>
                <w:rFonts w:ascii="Calibri" w:hAnsi="Calibri"/>
                <w:b/>
                <w:sz w:val="18"/>
              </w:rPr>
              <w:t>XGBoost</w:t>
            </w:r>
          </w:p>
        </w:tc>
        <w:tc>
          <w:tcPr>
            <w:tcW w:type="dxa" w:w="1994"/>
          </w:tcPr>
          <w:p>
            <w:pPr>
              <w:jc w:val="center"/>
            </w:pPr>
            <w:r/>
            <w:r>
              <w:rPr>
                <w:rFonts w:ascii="Calibri" w:hAnsi="Calibri"/>
                <w:b/>
                <w:sz w:val="18"/>
              </w:rPr>
              <w:t>CatBoost</w:t>
            </w:r>
          </w:p>
        </w:tc>
        <w:tc>
          <w:tcPr>
            <w:tcW w:type="dxa" w:w="1994"/>
          </w:tcPr>
          <w:p>
            <w:pPr>
              <w:jc w:val="center"/>
            </w:pPr>
            <w:r/>
            <w:r>
              <w:rPr>
                <w:rFonts w:ascii="Calibri" w:hAnsi="Calibri"/>
                <w:b/>
                <w:sz w:val="18"/>
              </w:rPr>
              <w:t>Ensemble</w:t>
            </w:r>
          </w:p>
        </w:tc>
      </w:tr>
      <w:tr>
        <w:tc>
          <w:tcPr>
            <w:tcW w:type="dxa" w:w="1994"/>
          </w:tcPr>
          <w:p>
            <w:pPr>
              <w:jc w:val="center"/>
            </w:pPr>
            <w:r/>
            <w:r>
              <w:rPr>
                <w:rFonts w:ascii="Calibri" w:hAnsi="Calibri"/>
                <w:b/>
                <w:sz w:val="18"/>
              </w:rPr>
              <w:t>2018</w:t>
            </w:r>
          </w:p>
        </w:tc>
        <w:tc>
          <w:tcPr>
            <w:tcW w:type="dxa" w:w="1994"/>
          </w:tcPr>
          <w:p>
            <w:pPr>
              <w:jc w:val="center"/>
            </w:pPr>
            <w:r/>
            <w:r>
              <w:rPr>
                <w:rFonts w:ascii="Calibri" w:hAnsi="Calibri"/>
                <w:sz w:val="18"/>
              </w:rPr>
              <w:t>0.618</w:t>
            </w:r>
          </w:p>
        </w:tc>
        <w:tc>
          <w:tcPr>
            <w:tcW w:type="dxa" w:w="1994"/>
          </w:tcPr>
          <w:p>
            <w:pPr>
              <w:jc w:val="center"/>
            </w:pPr>
            <w:r/>
            <w:r>
              <w:rPr>
                <w:rFonts w:ascii="Calibri" w:hAnsi="Calibri"/>
                <w:sz w:val="18"/>
              </w:rPr>
              <w:t>0.601</w:t>
            </w:r>
          </w:p>
        </w:tc>
        <w:tc>
          <w:tcPr>
            <w:tcW w:type="dxa" w:w="1994"/>
          </w:tcPr>
          <w:p>
            <w:pPr>
              <w:jc w:val="center"/>
            </w:pPr>
            <w:r/>
            <w:r>
              <w:rPr>
                <w:rFonts w:ascii="Calibri" w:hAnsi="Calibri"/>
                <w:sz w:val="18"/>
              </w:rPr>
              <w:t>0.615</w:t>
            </w:r>
          </w:p>
        </w:tc>
        <w:tc>
          <w:tcPr>
            <w:tcW w:type="dxa" w:w="1994"/>
          </w:tcPr>
          <w:p>
            <w:pPr>
              <w:jc w:val="center"/>
            </w:pPr>
            <w:r/>
            <w:r>
              <w:rPr>
                <w:rFonts w:ascii="Calibri" w:hAnsi="Calibri"/>
                <w:sz w:val="18"/>
              </w:rPr>
              <w:t>0.614</w:t>
            </w:r>
          </w:p>
        </w:tc>
      </w:tr>
      <w:tr>
        <w:tc>
          <w:tcPr>
            <w:tcW w:type="dxa" w:w="1994"/>
          </w:tcPr>
          <w:p>
            <w:pPr>
              <w:jc w:val="center"/>
            </w:pPr>
            <w:r/>
            <w:r>
              <w:rPr>
                <w:rFonts w:ascii="Calibri" w:hAnsi="Calibri"/>
                <w:b/>
                <w:sz w:val="18"/>
              </w:rPr>
              <w:t>2019</w:t>
            </w:r>
          </w:p>
        </w:tc>
        <w:tc>
          <w:tcPr>
            <w:tcW w:type="dxa" w:w="1994"/>
          </w:tcPr>
          <w:p>
            <w:pPr>
              <w:jc w:val="center"/>
            </w:pPr>
            <w:r/>
            <w:r>
              <w:rPr>
                <w:rFonts w:ascii="Calibri" w:hAnsi="Calibri"/>
                <w:sz w:val="18"/>
              </w:rPr>
              <w:t>0.490 *</w:t>
            </w:r>
          </w:p>
        </w:tc>
        <w:tc>
          <w:tcPr>
            <w:tcW w:type="dxa" w:w="1994"/>
          </w:tcPr>
          <w:p>
            <w:pPr>
              <w:jc w:val="center"/>
            </w:pPr>
            <w:r/>
            <w:r>
              <w:rPr>
                <w:rFonts w:ascii="Calibri" w:hAnsi="Calibri"/>
                <w:sz w:val="18"/>
              </w:rPr>
              <w:t>0.592</w:t>
            </w:r>
          </w:p>
        </w:tc>
        <w:tc>
          <w:tcPr>
            <w:tcW w:type="dxa" w:w="1994"/>
          </w:tcPr>
          <w:p>
            <w:pPr>
              <w:jc w:val="center"/>
            </w:pPr>
            <w:r/>
            <w:r>
              <w:rPr>
                <w:rFonts w:ascii="Calibri" w:hAnsi="Calibri"/>
                <w:sz w:val="18"/>
              </w:rPr>
              <w:t>0.666</w:t>
            </w:r>
          </w:p>
        </w:tc>
        <w:tc>
          <w:tcPr>
            <w:tcW w:type="dxa" w:w="1994"/>
          </w:tcPr>
          <w:p>
            <w:pPr>
              <w:jc w:val="center"/>
            </w:pPr>
            <w:r/>
            <w:r>
              <w:rPr>
                <w:rFonts w:ascii="Calibri" w:hAnsi="Calibri"/>
                <w:sz w:val="18"/>
              </w:rPr>
              <w:t>0.637</w:t>
            </w:r>
          </w:p>
        </w:tc>
      </w:tr>
      <w:tr>
        <w:tc>
          <w:tcPr>
            <w:tcW w:type="dxa" w:w="1994"/>
          </w:tcPr>
          <w:p>
            <w:pPr>
              <w:jc w:val="center"/>
            </w:pPr>
            <w:r/>
            <w:r>
              <w:rPr>
                <w:rFonts w:ascii="Calibri" w:hAnsi="Calibri"/>
                <w:b/>
                <w:sz w:val="18"/>
              </w:rPr>
              <w:t>2020</w:t>
            </w:r>
          </w:p>
        </w:tc>
        <w:tc>
          <w:tcPr>
            <w:tcW w:type="dxa" w:w="1994"/>
          </w:tcPr>
          <w:p>
            <w:pPr>
              <w:jc w:val="center"/>
            </w:pPr>
            <w:r/>
            <w:r>
              <w:rPr>
                <w:rFonts w:ascii="Calibri" w:hAnsi="Calibri"/>
                <w:sz w:val="18"/>
              </w:rPr>
              <w:t>0.663</w:t>
            </w:r>
          </w:p>
        </w:tc>
        <w:tc>
          <w:tcPr>
            <w:tcW w:type="dxa" w:w="1994"/>
          </w:tcPr>
          <w:p>
            <w:pPr>
              <w:jc w:val="center"/>
            </w:pPr>
            <w:r/>
            <w:r>
              <w:rPr>
                <w:rFonts w:ascii="Calibri" w:hAnsi="Calibri"/>
                <w:sz w:val="18"/>
              </w:rPr>
              <w:t>0.641</w:t>
            </w:r>
          </w:p>
        </w:tc>
        <w:tc>
          <w:tcPr>
            <w:tcW w:type="dxa" w:w="1994"/>
          </w:tcPr>
          <w:p>
            <w:pPr>
              <w:jc w:val="center"/>
            </w:pPr>
            <w:r/>
            <w:r>
              <w:rPr>
                <w:rFonts w:ascii="Calibri" w:hAnsi="Calibri"/>
                <w:sz w:val="18"/>
              </w:rPr>
              <w:t>0.618</w:t>
            </w:r>
          </w:p>
        </w:tc>
        <w:tc>
          <w:tcPr>
            <w:tcW w:type="dxa" w:w="1994"/>
          </w:tcPr>
          <w:p>
            <w:pPr>
              <w:jc w:val="center"/>
            </w:pPr>
            <w:r/>
            <w:r>
              <w:rPr>
                <w:rFonts w:ascii="Calibri" w:hAnsi="Calibri"/>
                <w:sz w:val="18"/>
              </w:rPr>
              <w:t>0.651</w:t>
            </w:r>
          </w:p>
        </w:tc>
      </w:tr>
      <w:tr>
        <w:tc>
          <w:tcPr>
            <w:tcW w:type="dxa" w:w="1994"/>
          </w:tcPr>
          <w:p>
            <w:pPr>
              <w:jc w:val="center"/>
            </w:pPr>
            <w:r/>
            <w:r>
              <w:rPr>
                <w:rFonts w:ascii="Calibri" w:hAnsi="Calibri"/>
                <w:b/>
                <w:sz w:val="18"/>
              </w:rPr>
              <w:t>2021</w:t>
            </w:r>
          </w:p>
        </w:tc>
        <w:tc>
          <w:tcPr>
            <w:tcW w:type="dxa" w:w="1994"/>
          </w:tcPr>
          <w:p>
            <w:pPr>
              <w:jc w:val="center"/>
            </w:pPr>
            <w:r/>
            <w:r>
              <w:rPr>
                <w:rFonts w:ascii="Calibri" w:hAnsi="Calibri"/>
                <w:sz w:val="18"/>
              </w:rPr>
              <w:t>0.601</w:t>
            </w:r>
          </w:p>
        </w:tc>
        <w:tc>
          <w:tcPr>
            <w:tcW w:type="dxa" w:w="1994"/>
          </w:tcPr>
          <w:p>
            <w:pPr>
              <w:jc w:val="center"/>
            </w:pPr>
            <w:r/>
            <w:r>
              <w:rPr>
                <w:rFonts w:ascii="Calibri" w:hAnsi="Calibri"/>
                <w:sz w:val="18"/>
              </w:rPr>
              <w:t>0.603</w:t>
            </w:r>
          </w:p>
        </w:tc>
        <w:tc>
          <w:tcPr>
            <w:tcW w:type="dxa" w:w="1994"/>
          </w:tcPr>
          <w:p>
            <w:pPr>
              <w:jc w:val="center"/>
            </w:pPr>
            <w:r/>
            <w:r>
              <w:rPr>
                <w:rFonts w:ascii="Calibri" w:hAnsi="Calibri"/>
                <w:sz w:val="18"/>
              </w:rPr>
              <w:t>0.620</w:t>
            </w:r>
          </w:p>
        </w:tc>
        <w:tc>
          <w:tcPr>
            <w:tcW w:type="dxa" w:w="1994"/>
          </w:tcPr>
          <w:p>
            <w:pPr>
              <w:jc w:val="center"/>
            </w:pPr>
            <w:r/>
            <w:r>
              <w:rPr>
                <w:rFonts w:ascii="Calibri" w:hAnsi="Calibri"/>
                <w:sz w:val="18"/>
              </w:rPr>
              <w:t>0.611</w:t>
            </w:r>
          </w:p>
        </w:tc>
      </w:tr>
      <w:tr>
        <w:tc>
          <w:tcPr>
            <w:tcW w:type="dxa" w:w="1994"/>
          </w:tcPr>
          <w:p>
            <w:pPr>
              <w:jc w:val="center"/>
            </w:pPr>
            <w:r/>
            <w:r>
              <w:rPr>
                <w:rFonts w:ascii="Calibri" w:hAnsi="Calibri"/>
                <w:b/>
                <w:sz w:val="18"/>
              </w:rPr>
              <w:t>2022</w:t>
            </w:r>
          </w:p>
        </w:tc>
        <w:tc>
          <w:tcPr>
            <w:tcW w:type="dxa" w:w="1994"/>
          </w:tcPr>
          <w:p>
            <w:pPr>
              <w:jc w:val="center"/>
            </w:pPr>
            <w:r/>
            <w:r>
              <w:rPr>
                <w:rFonts w:ascii="Calibri" w:hAnsi="Calibri"/>
                <w:sz w:val="18"/>
              </w:rPr>
              <w:t>0.550</w:t>
            </w:r>
          </w:p>
        </w:tc>
        <w:tc>
          <w:tcPr>
            <w:tcW w:type="dxa" w:w="1994"/>
          </w:tcPr>
          <w:p>
            <w:pPr>
              <w:jc w:val="center"/>
            </w:pPr>
            <w:r/>
            <w:r>
              <w:rPr>
                <w:rFonts w:ascii="Calibri" w:hAnsi="Calibri"/>
                <w:sz w:val="18"/>
              </w:rPr>
              <w:t>0.569</w:t>
            </w:r>
          </w:p>
        </w:tc>
        <w:tc>
          <w:tcPr>
            <w:tcW w:type="dxa" w:w="1994"/>
          </w:tcPr>
          <w:p>
            <w:pPr>
              <w:jc w:val="center"/>
            </w:pPr>
            <w:r/>
            <w:r>
              <w:rPr>
                <w:rFonts w:ascii="Calibri" w:hAnsi="Calibri"/>
                <w:sz w:val="18"/>
              </w:rPr>
              <w:t>0.546</w:t>
            </w:r>
          </w:p>
        </w:tc>
        <w:tc>
          <w:tcPr>
            <w:tcW w:type="dxa" w:w="1994"/>
          </w:tcPr>
          <w:p>
            <w:pPr>
              <w:jc w:val="center"/>
            </w:pPr>
            <w:r/>
            <w:r>
              <w:rPr>
                <w:rFonts w:ascii="Calibri" w:hAnsi="Calibri"/>
                <w:sz w:val="18"/>
              </w:rPr>
              <w:t>0.564</w:t>
            </w:r>
          </w:p>
        </w:tc>
      </w:tr>
      <w:tr>
        <w:tc>
          <w:tcPr>
            <w:tcW w:type="dxa" w:w="1994"/>
          </w:tcPr>
          <w:p>
            <w:pPr>
              <w:jc w:val="center"/>
            </w:pPr>
            <w:r/>
            <w:r>
              <w:rPr>
                <w:rFonts w:ascii="Calibri" w:hAnsi="Calibri"/>
                <w:b/>
                <w:sz w:val="18"/>
              </w:rPr>
              <w:t>2023</w:t>
            </w:r>
          </w:p>
        </w:tc>
        <w:tc>
          <w:tcPr>
            <w:tcW w:type="dxa" w:w="1994"/>
          </w:tcPr>
          <w:p>
            <w:pPr>
              <w:jc w:val="center"/>
            </w:pPr>
            <w:r/>
            <w:r>
              <w:rPr>
                <w:rFonts w:ascii="Calibri" w:hAnsi="Calibri"/>
                <w:sz w:val="18"/>
              </w:rPr>
              <w:t>0.616</w:t>
            </w:r>
          </w:p>
        </w:tc>
        <w:tc>
          <w:tcPr>
            <w:tcW w:type="dxa" w:w="1994"/>
          </w:tcPr>
          <w:p>
            <w:pPr>
              <w:jc w:val="center"/>
            </w:pPr>
            <w:r/>
            <w:r>
              <w:rPr>
                <w:rFonts w:ascii="Calibri" w:hAnsi="Calibri"/>
                <w:sz w:val="18"/>
              </w:rPr>
              <w:t>0.630</w:t>
            </w:r>
          </w:p>
        </w:tc>
        <w:tc>
          <w:tcPr>
            <w:tcW w:type="dxa" w:w="1994"/>
          </w:tcPr>
          <w:p>
            <w:pPr>
              <w:jc w:val="center"/>
            </w:pPr>
            <w:r/>
            <w:r>
              <w:rPr>
                <w:rFonts w:ascii="Calibri" w:hAnsi="Calibri"/>
                <w:sz w:val="18"/>
              </w:rPr>
              <w:t>0.645</w:t>
            </w:r>
          </w:p>
        </w:tc>
        <w:tc>
          <w:tcPr>
            <w:tcW w:type="dxa" w:w="1994"/>
          </w:tcPr>
          <w:p>
            <w:pPr>
              <w:jc w:val="center"/>
            </w:pPr>
            <w:r/>
            <w:r>
              <w:rPr>
                <w:rFonts w:ascii="Calibri" w:hAnsi="Calibri"/>
                <w:sz w:val="18"/>
              </w:rPr>
              <w:t>0.644</w:t>
            </w:r>
          </w:p>
        </w:tc>
      </w:tr>
      <w:tr>
        <w:tc>
          <w:tcPr>
            <w:tcW w:type="dxa" w:w="1994"/>
          </w:tcPr>
          <w:p>
            <w:pPr>
              <w:jc w:val="center"/>
            </w:pPr>
            <w:r/>
            <w:r>
              <w:rPr>
                <w:rFonts w:ascii="Calibri" w:hAnsi="Calibri"/>
                <w:b/>
                <w:sz w:val="18"/>
              </w:rPr>
              <w:t>2024</w:t>
            </w:r>
          </w:p>
        </w:tc>
        <w:tc>
          <w:tcPr>
            <w:tcW w:type="dxa" w:w="1994"/>
          </w:tcPr>
          <w:p>
            <w:pPr>
              <w:jc w:val="center"/>
            </w:pPr>
            <w:r/>
            <w:r>
              <w:rPr>
                <w:rFonts w:ascii="Calibri" w:hAnsi="Calibri"/>
                <w:sz w:val="18"/>
              </w:rPr>
              <w:t>0.581</w:t>
            </w:r>
          </w:p>
        </w:tc>
        <w:tc>
          <w:tcPr>
            <w:tcW w:type="dxa" w:w="1994"/>
          </w:tcPr>
          <w:p>
            <w:pPr>
              <w:jc w:val="center"/>
            </w:pPr>
            <w:r/>
            <w:r>
              <w:rPr>
                <w:rFonts w:ascii="Calibri" w:hAnsi="Calibri"/>
                <w:sz w:val="18"/>
              </w:rPr>
              <w:t>0.630</w:t>
            </w:r>
          </w:p>
        </w:tc>
        <w:tc>
          <w:tcPr>
            <w:tcW w:type="dxa" w:w="1994"/>
          </w:tcPr>
          <w:p>
            <w:pPr>
              <w:jc w:val="center"/>
            </w:pPr>
            <w:r/>
            <w:r>
              <w:rPr>
                <w:rFonts w:ascii="Calibri" w:hAnsi="Calibri"/>
                <w:sz w:val="18"/>
              </w:rPr>
              <w:t>0.608</w:t>
            </w:r>
          </w:p>
        </w:tc>
        <w:tc>
          <w:tcPr>
            <w:tcW w:type="dxa" w:w="1994"/>
          </w:tcPr>
          <w:p>
            <w:pPr>
              <w:jc w:val="center"/>
            </w:pPr>
            <w:r/>
            <w:r>
              <w:rPr>
                <w:rFonts w:ascii="Calibri" w:hAnsi="Calibri"/>
                <w:sz w:val="18"/>
              </w:rPr>
              <w:t>0.623</w:t>
            </w:r>
          </w:p>
        </w:tc>
      </w:tr>
      <w:tr>
        <w:tc>
          <w:tcPr>
            <w:tcW w:type="dxa" w:w="1994"/>
          </w:tcPr>
          <w:p>
            <w:pPr>
              <w:jc w:val="center"/>
            </w:pPr>
            <w:r/>
            <w:r>
              <w:rPr>
                <w:rFonts w:ascii="Calibri" w:hAnsi="Calibri"/>
                <w:b/>
                <w:sz w:val="18"/>
              </w:rPr>
              <w:t>2025</w:t>
            </w:r>
          </w:p>
        </w:tc>
        <w:tc>
          <w:tcPr>
            <w:tcW w:type="dxa" w:w="1994"/>
          </w:tcPr>
          <w:p>
            <w:pPr>
              <w:jc w:val="center"/>
            </w:pPr>
            <w:r/>
            <w:r>
              <w:rPr>
                <w:rFonts w:ascii="Calibri" w:hAnsi="Calibri"/>
                <w:sz w:val="18"/>
              </w:rPr>
              <w:t>0.669</w:t>
            </w:r>
          </w:p>
        </w:tc>
        <w:tc>
          <w:tcPr>
            <w:tcW w:type="dxa" w:w="1994"/>
          </w:tcPr>
          <w:p>
            <w:pPr>
              <w:jc w:val="center"/>
            </w:pPr>
            <w:r/>
            <w:r>
              <w:rPr>
                <w:rFonts w:ascii="Calibri" w:hAnsi="Calibri"/>
                <w:sz w:val="18"/>
              </w:rPr>
              <w:t>0.667</w:t>
            </w:r>
          </w:p>
        </w:tc>
        <w:tc>
          <w:tcPr>
            <w:tcW w:type="dxa" w:w="1994"/>
          </w:tcPr>
          <w:p>
            <w:pPr>
              <w:jc w:val="center"/>
            </w:pPr>
            <w:r/>
            <w:r>
              <w:rPr>
                <w:rFonts w:ascii="Calibri" w:hAnsi="Calibri"/>
                <w:sz w:val="18"/>
              </w:rPr>
              <w:t>0.640</w:t>
            </w:r>
          </w:p>
        </w:tc>
        <w:tc>
          <w:tcPr>
            <w:tcW w:type="dxa" w:w="1994"/>
          </w:tcPr>
          <w:p>
            <w:pPr>
              <w:jc w:val="center"/>
            </w:pPr>
            <w:r/>
            <w:r>
              <w:rPr>
                <w:rFonts w:ascii="Calibri" w:hAnsi="Calibri"/>
                <w:sz w:val="18"/>
              </w:rPr>
              <w:t>0.671</w:t>
            </w:r>
          </w:p>
        </w:tc>
      </w:tr>
    </w:tbl>
    <w:p/>
    <w:p>
      <w:r>
        <w:rPr>
          <w:b/>
        </w:rPr>
        <w:t xml:space="preserve">* </w:t>
      </w:r>
      <w:r>
        <w:t>In 2019, LightGBM produced essentially a null model (AUC 0.49, prediction std = 0.05). XGBoost and CatBoost rescued the ensemble. This single example justifies the 3-model architecture.</w:t>
      </w:r>
    </w:p>
    <w:p>
      <w:r>
        <w:t>The ensemble never falls below AUC 0.564, while individual models hit 0.490. No single model is consistently best: LGB leads in 2025, CB saves 2019, XGB leads 2024. The ensemble provides stability.</w:t>
      </w:r>
    </w:p>
    <w:p>
      <w:pPr>
        <w:pStyle w:val="Heading1"/>
      </w:pPr>
      <w:r>
        <w:t>4. Concerns and Risks</w:t>
      </w:r>
    </w:p>
    <w:p>
      <w:pPr>
        <w:pStyle w:val="Heading2"/>
      </w:pPr>
      <w:r>
        <w:t>A. The Model is a Weak Classifier</w:t>
      </w:r>
    </w:p>
    <w:p>
      <w:r>
        <w:t>Average AUC of ~0.62 is above random (0.50) but below the "strong" threshold (0.70+). The model works because: (1) the base rate is already favorable -- seasonal patterns have inherent edge; (2) filtering top 30% amplifies a small signal across huge sample sizes; (3) the model only needs to be directionally right, not precisely calibrated. Do not expect the model to turn a bad pattern into a good one. It separates "good enough" from "don't bother."</w:t>
      </w:r>
    </w:p>
    <w:p>
      <w:pPr>
        <w:pStyle w:val="Heading2"/>
      </w:pPr>
      <w:r>
        <w:t>B. Training Instability</w:t>
      </w:r>
    </w:p>
    <w:p>
      <w:r>
        <w:t>Optimal model complexity varies wildly: best iteration ranges from 2 (2019) to 834 (2025). This means the signal-to-noise ratio changes drastically across market regimes. The ensemble masks this instability, but it indicates that the underlying seasonal signal is regime-dependent.</w:t>
      </w:r>
    </w:p>
    <w:p>
      <w:pPr>
        <w:pStyle w:val="Heading2"/>
      </w:pPr>
      <w:r>
        <w:t>C. Max Drawdown Risk</w:t>
      </w:r>
    </w:p>
    <w:p>
      <w:r>
        <w:t>Multiple years show -100% max drawdown even at ML_70+ thresholds. Individual trades can lose everything. For stock trades this means significant losses; for options this means total premium loss on some positions. Risk management (position sizing, stop losses, sector limits) is non-negotiable for automated trading.</w:t>
      </w:r>
    </w:p>
    <w:p>
      <w:pPr>
        <w:pStyle w:val="Heading2"/>
      </w:pPr>
      <w:r>
        <w:t>D. MFE Model Does Not Help Trade Selection</w:t>
      </w:r>
    </w:p>
    <w:p>
      <w:r>
        <w:t>The MFE model identifies opportunities with high upside potential but should NOT be used for trade entry decisions. Comparison at ML_70:</w:t>
      </w:r>
    </w:p>
    <w:tbl>
      <w:tblPr>
        <w:tblStyle w:val="MediumShading1-Accent1"/>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Calibri" w:hAnsi="Calibri"/>
                <w:b/>
                <w:sz w:val="18"/>
              </w:rPr>
              <w:t>Year</w:t>
            </w:r>
          </w:p>
        </w:tc>
        <w:tc>
          <w:tcPr>
            <w:tcW w:type="dxa" w:w="1994"/>
          </w:tcPr>
          <w:p>
            <w:pPr>
              <w:jc w:val="center"/>
            </w:pPr>
            <w:r/>
            <w:r>
              <w:rPr>
                <w:rFonts w:ascii="Calibri" w:hAnsi="Calibri"/>
                <w:b/>
                <w:sz w:val="18"/>
              </w:rPr>
              <w:t>SR ML_70 WR</w:t>
            </w:r>
          </w:p>
        </w:tc>
        <w:tc>
          <w:tcPr>
            <w:tcW w:type="dxa" w:w="1994"/>
          </w:tcPr>
          <w:p>
            <w:pPr>
              <w:jc w:val="center"/>
            </w:pPr>
            <w:r/>
            <w:r>
              <w:rPr>
                <w:rFonts w:ascii="Calibri" w:hAnsi="Calibri"/>
                <w:b/>
                <w:sz w:val="18"/>
              </w:rPr>
              <w:t>MFE ML_70 WR</w:t>
            </w:r>
          </w:p>
        </w:tc>
        <w:tc>
          <w:tcPr>
            <w:tcW w:type="dxa" w:w="1994"/>
          </w:tcPr>
          <w:p>
            <w:pPr>
              <w:jc w:val="center"/>
            </w:pPr>
            <w:r/>
            <w:r>
              <w:rPr>
                <w:rFonts w:ascii="Calibri" w:hAnsi="Calibri"/>
                <w:b/>
                <w:sz w:val="18"/>
              </w:rPr>
              <w:t>SR ML_70 Sharpe</w:t>
            </w:r>
          </w:p>
        </w:tc>
        <w:tc>
          <w:tcPr>
            <w:tcW w:type="dxa" w:w="1994"/>
          </w:tcPr>
          <w:p>
            <w:pPr>
              <w:jc w:val="center"/>
            </w:pPr>
            <w:r/>
            <w:r>
              <w:rPr>
                <w:rFonts w:ascii="Calibri" w:hAnsi="Calibri"/>
                <w:b/>
                <w:sz w:val="18"/>
              </w:rPr>
              <w:t>MFE ML_70 Sharpe</w:t>
            </w:r>
          </w:p>
        </w:tc>
      </w:tr>
      <w:tr>
        <w:tc>
          <w:tcPr>
            <w:tcW w:type="dxa" w:w="1994"/>
          </w:tcPr>
          <w:p>
            <w:pPr>
              <w:jc w:val="center"/>
            </w:pPr>
            <w:r/>
            <w:r>
              <w:rPr>
                <w:rFonts w:ascii="Calibri" w:hAnsi="Calibri"/>
                <w:b/>
                <w:sz w:val="18"/>
              </w:rPr>
              <w:t>2019</w:t>
            </w:r>
          </w:p>
        </w:tc>
        <w:tc>
          <w:tcPr>
            <w:tcW w:type="dxa" w:w="1994"/>
          </w:tcPr>
          <w:p>
            <w:pPr>
              <w:jc w:val="center"/>
            </w:pPr>
            <w:r/>
            <w:r>
              <w:rPr>
                <w:rFonts w:ascii="Calibri" w:hAnsi="Calibri"/>
                <w:sz w:val="18"/>
              </w:rPr>
              <w:t>77.8%</w:t>
            </w:r>
          </w:p>
        </w:tc>
        <w:tc>
          <w:tcPr>
            <w:tcW w:type="dxa" w:w="1994"/>
          </w:tcPr>
          <w:p>
            <w:pPr>
              <w:jc w:val="center"/>
            </w:pPr>
            <w:r/>
            <w:r>
              <w:rPr>
                <w:rFonts w:ascii="Calibri" w:hAnsi="Calibri"/>
                <w:sz w:val="18"/>
              </w:rPr>
              <w:t>64.4%</w:t>
            </w:r>
          </w:p>
        </w:tc>
        <w:tc>
          <w:tcPr>
            <w:tcW w:type="dxa" w:w="1994"/>
          </w:tcPr>
          <w:p>
            <w:pPr>
              <w:jc w:val="center"/>
            </w:pPr>
            <w:r/>
            <w:r>
              <w:rPr>
                <w:rFonts w:ascii="Calibri" w:hAnsi="Calibri"/>
                <w:sz w:val="18"/>
              </w:rPr>
              <w:t>6.93</w:t>
            </w:r>
          </w:p>
        </w:tc>
        <w:tc>
          <w:tcPr>
            <w:tcW w:type="dxa" w:w="1994"/>
          </w:tcPr>
          <w:p>
            <w:pPr>
              <w:jc w:val="center"/>
            </w:pPr>
            <w:r/>
            <w:r>
              <w:rPr>
                <w:rFonts w:ascii="Calibri" w:hAnsi="Calibri"/>
                <w:sz w:val="18"/>
              </w:rPr>
              <w:t>3.29</w:t>
            </w:r>
          </w:p>
        </w:tc>
      </w:tr>
      <w:tr>
        <w:tc>
          <w:tcPr>
            <w:tcW w:type="dxa" w:w="1994"/>
          </w:tcPr>
          <w:p>
            <w:pPr>
              <w:jc w:val="center"/>
            </w:pPr>
            <w:r/>
            <w:r>
              <w:rPr>
                <w:rFonts w:ascii="Calibri" w:hAnsi="Calibri"/>
                <w:b/>
                <w:sz w:val="18"/>
              </w:rPr>
              <w:t>2020</w:t>
            </w:r>
          </w:p>
        </w:tc>
        <w:tc>
          <w:tcPr>
            <w:tcW w:type="dxa" w:w="1994"/>
          </w:tcPr>
          <w:p>
            <w:pPr>
              <w:jc w:val="center"/>
            </w:pPr>
            <w:r/>
            <w:r>
              <w:rPr>
                <w:rFonts w:ascii="Calibri" w:hAnsi="Calibri"/>
                <w:sz w:val="18"/>
              </w:rPr>
              <w:t>78.2%</w:t>
            </w:r>
          </w:p>
        </w:tc>
        <w:tc>
          <w:tcPr>
            <w:tcW w:type="dxa" w:w="1994"/>
          </w:tcPr>
          <w:p>
            <w:pPr>
              <w:jc w:val="center"/>
            </w:pPr>
            <w:r/>
            <w:r>
              <w:rPr>
                <w:rFonts w:ascii="Calibri" w:hAnsi="Calibri"/>
                <w:sz w:val="18"/>
              </w:rPr>
              <w:t>72.7%</w:t>
            </w:r>
          </w:p>
        </w:tc>
        <w:tc>
          <w:tcPr>
            <w:tcW w:type="dxa" w:w="1994"/>
          </w:tcPr>
          <w:p>
            <w:pPr>
              <w:jc w:val="center"/>
            </w:pPr>
            <w:r/>
            <w:r>
              <w:rPr>
                <w:rFonts w:ascii="Calibri" w:hAnsi="Calibri"/>
                <w:sz w:val="18"/>
              </w:rPr>
              <w:t>8.32</w:t>
            </w:r>
          </w:p>
        </w:tc>
        <w:tc>
          <w:tcPr>
            <w:tcW w:type="dxa" w:w="1994"/>
          </w:tcPr>
          <w:p>
            <w:pPr>
              <w:jc w:val="center"/>
            </w:pPr>
            <w:r/>
            <w:r>
              <w:rPr>
                <w:rFonts w:ascii="Calibri" w:hAnsi="Calibri"/>
                <w:sz w:val="18"/>
              </w:rPr>
              <w:t>6.18</w:t>
            </w:r>
          </w:p>
        </w:tc>
      </w:tr>
      <w:tr>
        <w:tc>
          <w:tcPr>
            <w:tcW w:type="dxa" w:w="1994"/>
          </w:tcPr>
          <w:p>
            <w:pPr>
              <w:jc w:val="center"/>
            </w:pPr>
            <w:r/>
            <w:r>
              <w:rPr>
                <w:rFonts w:ascii="Calibri" w:hAnsi="Calibri"/>
                <w:b/>
                <w:sz w:val="18"/>
              </w:rPr>
              <w:t>2023</w:t>
            </w:r>
          </w:p>
        </w:tc>
        <w:tc>
          <w:tcPr>
            <w:tcW w:type="dxa" w:w="1994"/>
          </w:tcPr>
          <w:p>
            <w:pPr>
              <w:jc w:val="center"/>
            </w:pPr>
            <w:r/>
            <w:r>
              <w:rPr>
                <w:rFonts w:ascii="Calibri" w:hAnsi="Calibri"/>
                <w:sz w:val="18"/>
              </w:rPr>
              <w:t>79.7%</w:t>
            </w:r>
          </w:p>
        </w:tc>
        <w:tc>
          <w:tcPr>
            <w:tcW w:type="dxa" w:w="1994"/>
          </w:tcPr>
          <w:p>
            <w:pPr>
              <w:jc w:val="center"/>
            </w:pPr>
            <w:r/>
            <w:r>
              <w:rPr>
                <w:rFonts w:ascii="Calibri" w:hAnsi="Calibri"/>
                <w:sz w:val="18"/>
              </w:rPr>
              <w:t>73.3%</w:t>
            </w:r>
          </w:p>
        </w:tc>
        <w:tc>
          <w:tcPr>
            <w:tcW w:type="dxa" w:w="1994"/>
          </w:tcPr>
          <w:p>
            <w:pPr>
              <w:jc w:val="center"/>
            </w:pPr>
            <w:r/>
            <w:r>
              <w:rPr>
                <w:rFonts w:ascii="Calibri" w:hAnsi="Calibri"/>
                <w:sz w:val="18"/>
              </w:rPr>
              <w:t>9.00</w:t>
            </w:r>
          </w:p>
        </w:tc>
        <w:tc>
          <w:tcPr>
            <w:tcW w:type="dxa" w:w="1994"/>
          </w:tcPr>
          <w:p>
            <w:pPr>
              <w:jc w:val="center"/>
            </w:pPr>
            <w:r/>
            <w:r>
              <w:rPr>
                <w:rFonts w:ascii="Calibri" w:hAnsi="Calibri"/>
                <w:sz w:val="18"/>
              </w:rPr>
              <w:t>6.92</w:t>
            </w:r>
          </w:p>
        </w:tc>
      </w:tr>
      <w:tr>
        <w:tc>
          <w:tcPr>
            <w:tcW w:type="dxa" w:w="1994"/>
          </w:tcPr>
          <w:p>
            <w:pPr>
              <w:jc w:val="center"/>
            </w:pPr>
            <w:r/>
            <w:r>
              <w:rPr>
                <w:rFonts w:ascii="Calibri" w:hAnsi="Calibri"/>
                <w:b/>
                <w:sz w:val="18"/>
              </w:rPr>
              <w:t>2025</w:t>
            </w:r>
          </w:p>
        </w:tc>
        <w:tc>
          <w:tcPr>
            <w:tcW w:type="dxa" w:w="1994"/>
          </w:tcPr>
          <w:p>
            <w:pPr>
              <w:jc w:val="center"/>
            </w:pPr>
            <w:r/>
            <w:r>
              <w:rPr>
                <w:rFonts w:ascii="Calibri" w:hAnsi="Calibri"/>
                <w:sz w:val="18"/>
              </w:rPr>
              <w:t>78.1%</w:t>
            </w:r>
          </w:p>
        </w:tc>
        <w:tc>
          <w:tcPr>
            <w:tcW w:type="dxa" w:w="1994"/>
          </w:tcPr>
          <w:p>
            <w:pPr>
              <w:jc w:val="center"/>
            </w:pPr>
            <w:r/>
            <w:r>
              <w:rPr>
                <w:rFonts w:ascii="Calibri" w:hAnsi="Calibri"/>
                <w:sz w:val="18"/>
              </w:rPr>
              <w:t>68.2%</w:t>
            </w:r>
          </w:p>
        </w:tc>
        <w:tc>
          <w:tcPr>
            <w:tcW w:type="dxa" w:w="1994"/>
          </w:tcPr>
          <w:p>
            <w:pPr>
              <w:jc w:val="center"/>
            </w:pPr>
            <w:r/>
            <w:r>
              <w:rPr>
                <w:rFonts w:ascii="Calibri" w:hAnsi="Calibri"/>
                <w:sz w:val="18"/>
              </w:rPr>
              <w:t>7.45</w:t>
            </w:r>
          </w:p>
        </w:tc>
        <w:tc>
          <w:tcPr>
            <w:tcW w:type="dxa" w:w="1994"/>
          </w:tcPr>
          <w:p>
            <w:pPr>
              <w:jc w:val="center"/>
            </w:pPr>
            <w:r/>
            <w:r>
              <w:rPr>
                <w:rFonts w:ascii="Calibri" w:hAnsi="Calibri"/>
                <w:sz w:val="18"/>
              </w:rPr>
              <w:t>3.97</w:t>
            </w:r>
          </w:p>
        </w:tc>
      </w:tr>
    </w:tbl>
    <w:p/>
    <w:p>
      <w:r>
        <w:t>SR filtering is dramatically better for trade selection. Use the SR model for go/no-go decisions. Use the MFE model only as supplementary information for profit target guidance.</w:t>
      </w:r>
    </w:p>
    <w:p>
      <w:pPr>
        <w:pStyle w:val="Heading1"/>
      </w:pPr>
      <w:r>
        <w:t>5. Recommendations for TradeWave UI</w:t>
      </w:r>
    </w:p>
    <w:p>
      <w:r>
        <w:t>The model is well-suited for UI integration. Recommended columns:</w:t>
      </w:r>
    </w:p>
    <w:p>
      <w:pPr>
        <w:pStyle w:val="ListBullet"/>
      </w:pPr>
      <w:r>
        <w:rPr>
          <w:b/>
        </w:rPr>
        <w:t xml:space="preserve">ML Score (0-100): </w:t>
      </w:r>
      <w:r>
        <w:t>Predicted return percentile. Color code: green (70+), yellow (50-70), red (&lt;50).</w:t>
      </w:r>
    </w:p>
    <w:p>
      <w:pPr>
        <w:pStyle w:val="ListBullet"/>
      </w:pPr>
      <w:r>
        <w:rPr>
          <w:b/>
        </w:rPr>
        <w:t xml:space="preserve">Win Probability: </w:t>
      </w:r>
      <w:r>
        <w:t>From SR calibration table. Well-calibrated, monotonic. Display as percentage.</w:t>
      </w:r>
    </w:p>
    <w:p>
      <w:pPr>
        <w:pStyle w:val="ListBullet"/>
      </w:pPr>
      <w:r>
        <w:rPr>
          <w:b/>
        </w:rPr>
        <w:t xml:space="preserve">Predicted Return: </w:t>
      </w:r>
      <w:r>
        <w:t>Raw SR model output. Useful for sorting. Display as percentage with one decimal.</w:t>
      </w:r>
    </w:p>
    <w:p>
      <w:pPr>
        <w:pStyle w:val="ListBullet"/>
      </w:pPr>
      <w:r>
        <w:rPr>
          <w:b/>
        </w:rPr>
        <w:t xml:space="preserve">Upside Potential (MFE): </w:t>
      </w:r>
      <w:r>
        <w:t>Raw MFE model output. Shows excursion potential. Display as percentage.</w:t>
      </w:r>
    </w:p>
    <w:p/>
    <w:p>
      <w:r>
        <w:rPr>
          <w:b/>
        </w:rPr>
        <w:t xml:space="preserve">Do NOT display in UI: </w:t>
      </w:r>
      <w:r>
        <w:t>P(hit predicted return) and P(hit predicted MFE). These are useful for internal decision-making but confusing for users -- a "good" opportunity showing only 58% chance of hitting its predicted return is misleading without context.</w:t>
      </w:r>
    </w:p>
    <w:p>
      <w:pPr>
        <w:pStyle w:val="Heading1"/>
      </w:pPr>
      <w:r>
        <w:t>6. Recommendations for Automated Trading</w:t>
      </w:r>
    </w:p>
    <w:p>
      <w:pPr>
        <w:pStyle w:val="Heading2"/>
      </w:pPr>
      <w:r>
        <w:t>Required Safeguards</w:t>
      </w:r>
    </w:p>
    <w:p>
      <w:pPr>
        <w:pStyle w:val="ListBullet"/>
      </w:pPr>
      <w:r>
        <w:rPr>
          <w:b/>
        </w:rPr>
        <w:t xml:space="preserve">Position sizing: </w:t>
      </w:r>
      <w:r>
        <w:t>No single position &gt; 5-10% of capital ($500-1000 on $10K). With ~78% WR and options that can go to zero, small positions are essential.</w:t>
      </w:r>
    </w:p>
    <w:p>
      <w:pPr>
        <w:pStyle w:val="ListBullet"/>
      </w:pPr>
      <w:r>
        <w:rPr>
          <w:b/>
        </w:rPr>
        <w:t xml:space="preserve">Max concurrent positions: </w:t>
      </w:r>
      <w:r>
        <w:t>3-4 as planned. ML_85+ gives ~200K opportunities/year (~800/day). Need secondary sorting (by predicted return, sector diversification) to select best 3-4.</w:t>
      </w:r>
    </w:p>
    <w:p>
      <w:pPr>
        <w:pStyle w:val="ListBullet"/>
      </w:pPr>
      <w:r>
        <w:rPr>
          <w:b/>
        </w:rPr>
        <w:t xml:space="preserve">Stop loss on options: </w:t>
      </w:r>
      <w:r>
        <w:t>40-50% premium loss. The -100% max drawdowns in historical data get amplified in options.</w:t>
      </w:r>
    </w:p>
    <w:p>
      <w:pPr>
        <w:pStyle w:val="ListBullet"/>
      </w:pPr>
      <w:r>
        <w:rPr>
          <w:b/>
        </w:rPr>
        <w:t xml:space="preserve">Sector limits: </w:t>
      </w:r>
      <w:r>
        <w:t>Max 2 per sector. The model does not account for correlated sector risk.</w:t>
      </w:r>
    </w:p>
    <w:p>
      <w:pPr>
        <w:pStyle w:val="ListBullet"/>
      </w:pPr>
      <w:r>
        <w:rPr>
          <w:b/>
        </w:rPr>
        <w:t xml:space="preserve">VIX circuit breaker: </w:t>
      </w:r>
      <w:r>
        <w:t>Do not score when VIX &gt; 35. The model was trained with these samples removed and has no data for panic regimes.</w:t>
      </w:r>
    </w:p>
    <w:p>
      <w:pPr>
        <w:pStyle w:val="Heading2"/>
      </w:pPr>
      <w:r>
        <w:t>Conservative Strategy at ML_85</w:t>
      </w:r>
    </w:p>
    <w:p>
      <w:r>
        <w:t>For $10K starting capital with options, the ML_85 threshold provides the best balance of selectivity and opportunity volume:</w:t>
      </w:r>
    </w:p>
    <w:tbl>
      <w:tblPr>
        <w:tblStyle w:val="MediumShading1-Accent1"/>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Calibri" w:hAnsi="Calibri"/>
                <w:b/>
                <w:sz w:val="18"/>
              </w:rPr>
              <w:t>Year</w:t>
            </w:r>
          </w:p>
        </w:tc>
        <w:tc>
          <w:tcPr>
            <w:tcW w:type="dxa" w:w="1994"/>
          </w:tcPr>
          <w:p>
            <w:pPr>
              <w:jc w:val="center"/>
            </w:pPr>
            <w:r/>
            <w:r>
              <w:rPr>
                <w:rFonts w:ascii="Calibri" w:hAnsi="Calibri"/>
                <w:b/>
                <w:sz w:val="18"/>
              </w:rPr>
              <w:t>ML_85 WR</w:t>
            </w:r>
          </w:p>
        </w:tc>
        <w:tc>
          <w:tcPr>
            <w:tcW w:type="dxa" w:w="1994"/>
          </w:tcPr>
          <w:p>
            <w:pPr>
              <w:jc w:val="center"/>
            </w:pPr>
            <w:r/>
            <w:r>
              <w:rPr>
                <w:rFonts w:ascii="Calibri" w:hAnsi="Calibri"/>
                <w:b/>
                <w:sz w:val="18"/>
              </w:rPr>
              <w:t>ML_85 Avg Return</w:t>
            </w:r>
          </w:p>
        </w:tc>
        <w:tc>
          <w:tcPr>
            <w:tcW w:type="dxa" w:w="1994"/>
          </w:tcPr>
          <w:p>
            <w:pPr>
              <w:jc w:val="center"/>
            </w:pPr>
            <w:r/>
            <w:r>
              <w:rPr>
                <w:rFonts w:ascii="Calibri" w:hAnsi="Calibri"/>
                <w:b/>
                <w:sz w:val="18"/>
              </w:rPr>
              <w:t>ML_85 Sharpe</w:t>
            </w:r>
          </w:p>
        </w:tc>
        <w:tc>
          <w:tcPr>
            <w:tcW w:type="dxa" w:w="1994"/>
          </w:tcPr>
          <w:p>
            <w:pPr>
              <w:jc w:val="center"/>
            </w:pPr>
            <w:r/>
            <w:r>
              <w:rPr>
                <w:rFonts w:ascii="Calibri" w:hAnsi="Calibri"/>
                <w:b/>
                <w:sz w:val="18"/>
              </w:rPr>
              <w:t>Trades Available</w:t>
            </w:r>
          </w:p>
        </w:tc>
      </w:tr>
      <w:tr>
        <w:tc>
          <w:tcPr>
            <w:tcW w:type="dxa" w:w="1994"/>
          </w:tcPr>
          <w:p>
            <w:pPr>
              <w:jc w:val="center"/>
            </w:pPr>
            <w:r/>
            <w:r>
              <w:rPr>
                <w:rFonts w:ascii="Calibri" w:hAnsi="Calibri"/>
                <w:b/>
                <w:sz w:val="18"/>
              </w:rPr>
              <w:t>2018</w:t>
            </w:r>
          </w:p>
        </w:tc>
        <w:tc>
          <w:tcPr>
            <w:tcW w:type="dxa" w:w="1994"/>
          </w:tcPr>
          <w:p>
            <w:pPr>
              <w:jc w:val="center"/>
            </w:pPr>
            <w:r/>
            <w:r>
              <w:rPr>
                <w:rFonts w:ascii="Calibri" w:hAnsi="Calibri"/>
                <w:sz w:val="18"/>
              </w:rPr>
              <w:t>80.2%</w:t>
            </w:r>
          </w:p>
        </w:tc>
        <w:tc>
          <w:tcPr>
            <w:tcW w:type="dxa" w:w="1994"/>
          </w:tcPr>
          <w:p>
            <w:pPr>
              <w:jc w:val="center"/>
            </w:pPr>
            <w:r/>
            <w:r>
              <w:rPr>
                <w:rFonts w:ascii="Calibri" w:hAnsi="Calibri"/>
                <w:sz w:val="18"/>
              </w:rPr>
              <w:t>3.34%</w:t>
            </w:r>
          </w:p>
        </w:tc>
        <w:tc>
          <w:tcPr>
            <w:tcW w:type="dxa" w:w="1994"/>
          </w:tcPr>
          <w:p>
            <w:pPr>
              <w:jc w:val="center"/>
            </w:pPr>
            <w:r/>
            <w:r>
              <w:rPr>
                <w:rFonts w:ascii="Calibri" w:hAnsi="Calibri"/>
                <w:sz w:val="18"/>
              </w:rPr>
              <w:t>8.11</w:t>
            </w:r>
          </w:p>
        </w:tc>
        <w:tc>
          <w:tcPr>
            <w:tcW w:type="dxa" w:w="1994"/>
          </w:tcPr>
          <w:p>
            <w:pPr>
              <w:jc w:val="center"/>
            </w:pPr>
            <w:r/>
            <w:r>
              <w:rPr>
                <w:rFonts w:ascii="Calibri" w:hAnsi="Calibri"/>
                <w:sz w:val="18"/>
              </w:rPr>
              <w:t>210K</w:t>
            </w:r>
          </w:p>
        </w:tc>
      </w:tr>
      <w:tr>
        <w:tc>
          <w:tcPr>
            <w:tcW w:type="dxa" w:w="1994"/>
          </w:tcPr>
          <w:p>
            <w:pPr>
              <w:jc w:val="center"/>
            </w:pPr>
            <w:r/>
            <w:r>
              <w:rPr>
                <w:rFonts w:ascii="Calibri" w:hAnsi="Calibri"/>
                <w:b/>
                <w:sz w:val="18"/>
              </w:rPr>
              <w:t>2019</w:t>
            </w:r>
          </w:p>
        </w:tc>
        <w:tc>
          <w:tcPr>
            <w:tcW w:type="dxa" w:w="1994"/>
          </w:tcPr>
          <w:p>
            <w:pPr>
              <w:jc w:val="center"/>
            </w:pPr>
            <w:r/>
            <w:r>
              <w:rPr>
                <w:rFonts w:ascii="Calibri" w:hAnsi="Calibri"/>
                <w:sz w:val="18"/>
              </w:rPr>
              <w:t>81.6%</w:t>
            </w:r>
          </w:p>
        </w:tc>
        <w:tc>
          <w:tcPr>
            <w:tcW w:type="dxa" w:w="1994"/>
          </w:tcPr>
          <w:p>
            <w:pPr>
              <w:jc w:val="center"/>
            </w:pPr>
            <w:r/>
            <w:r>
              <w:rPr>
                <w:rFonts w:ascii="Calibri" w:hAnsi="Calibri"/>
                <w:sz w:val="18"/>
              </w:rPr>
              <w:t>3.45%</w:t>
            </w:r>
          </w:p>
        </w:tc>
        <w:tc>
          <w:tcPr>
            <w:tcW w:type="dxa" w:w="1994"/>
          </w:tcPr>
          <w:p>
            <w:pPr>
              <w:jc w:val="center"/>
            </w:pPr>
            <w:r/>
            <w:r>
              <w:rPr>
                <w:rFonts w:ascii="Calibri" w:hAnsi="Calibri"/>
                <w:sz w:val="18"/>
              </w:rPr>
              <w:t>7.73</w:t>
            </w:r>
          </w:p>
        </w:tc>
        <w:tc>
          <w:tcPr>
            <w:tcW w:type="dxa" w:w="1994"/>
          </w:tcPr>
          <w:p>
            <w:pPr>
              <w:jc w:val="center"/>
            </w:pPr>
            <w:r/>
            <w:r>
              <w:rPr>
                <w:rFonts w:ascii="Calibri" w:hAnsi="Calibri"/>
                <w:sz w:val="18"/>
              </w:rPr>
              <w:t>213K</w:t>
            </w:r>
          </w:p>
        </w:tc>
      </w:tr>
      <w:tr>
        <w:tc>
          <w:tcPr>
            <w:tcW w:type="dxa" w:w="1994"/>
          </w:tcPr>
          <w:p>
            <w:pPr>
              <w:jc w:val="center"/>
            </w:pPr>
            <w:r/>
            <w:r>
              <w:rPr>
                <w:rFonts w:ascii="Calibri" w:hAnsi="Calibri"/>
                <w:b/>
                <w:sz w:val="18"/>
              </w:rPr>
              <w:t>2020</w:t>
            </w:r>
          </w:p>
        </w:tc>
        <w:tc>
          <w:tcPr>
            <w:tcW w:type="dxa" w:w="1994"/>
          </w:tcPr>
          <w:p>
            <w:pPr>
              <w:jc w:val="center"/>
            </w:pPr>
            <w:r/>
            <w:r>
              <w:rPr>
                <w:rFonts w:ascii="Calibri" w:hAnsi="Calibri"/>
                <w:sz w:val="18"/>
              </w:rPr>
              <w:t>81.8%</w:t>
            </w:r>
          </w:p>
        </w:tc>
        <w:tc>
          <w:tcPr>
            <w:tcW w:type="dxa" w:w="1994"/>
          </w:tcPr>
          <w:p>
            <w:pPr>
              <w:jc w:val="center"/>
            </w:pPr>
            <w:r/>
            <w:r>
              <w:rPr>
                <w:rFonts w:ascii="Calibri" w:hAnsi="Calibri"/>
                <w:sz w:val="18"/>
              </w:rPr>
              <w:t>7.06%</w:t>
            </w:r>
          </w:p>
        </w:tc>
        <w:tc>
          <w:tcPr>
            <w:tcW w:type="dxa" w:w="1994"/>
          </w:tcPr>
          <w:p>
            <w:pPr>
              <w:jc w:val="center"/>
            </w:pPr>
            <w:r/>
            <w:r>
              <w:rPr>
                <w:rFonts w:ascii="Calibri" w:hAnsi="Calibri"/>
                <w:sz w:val="18"/>
              </w:rPr>
              <w:t>10.67</w:t>
            </w:r>
          </w:p>
        </w:tc>
        <w:tc>
          <w:tcPr>
            <w:tcW w:type="dxa" w:w="1994"/>
          </w:tcPr>
          <w:p>
            <w:pPr>
              <w:jc w:val="center"/>
            </w:pPr>
            <w:r/>
            <w:r>
              <w:rPr>
                <w:rFonts w:ascii="Calibri" w:hAnsi="Calibri"/>
                <w:sz w:val="18"/>
              </w:rPr>
              <w:t>173K</w:t>
            </w:r>
          </w:p>
        </w:tc>
      </w:tr>
      <w:tr>
        <w:tc>
          <w:tcPr>
            <w:tcW w:type="dxa" w:w="1994"/>
          </w:tcPr>
          <w:p>
            <w:pPr>
              <w:jc w:val="center"/>
            </w:pPr>
            <w:r/>
            <w:r>
              <w:rPr>
                <w:rFonts w:ascii="Calibri" w:hAnsi="Calibri"/>
                <w:b/>
                <w:sz w:val="18"/>
              </w:rPr>
              <w:t>2021</w:t>
            </w:r>
          </w:p>
        </w:tc>
        <w:tc>
          <w:tcPr>
            <w:tcW w:type="dxa" w:w="1994"/>
          </w:tcPr>
          <w:p>
            <w:pPr>
              <w:jc w:val="center"/>
            </w:pPr>
            <w:r/>
            <w:r>
              <w:rPr>
                <w:rFonts w:ascii="Calibri" w:hAnsi="Calibri"/>
                <w:sz w:val="18"/>
              </w:rPr>
              <w:t>82.1%</w:t>
            </w:r>
          </w:p>
        </w:tc>
        <w:tc>
          <w:tcPr>
            <w:tcW w:type="dxa" w:w="1994"/>
          </w:tcPr>
          <w:p>
            <w:pPr>
              <w:jc w:val="center"/>
            </w:pPr>
            <w:r/>
            <w:r>
              <w:rPr>
                <w:rFonts w:ascii="Calibri" w:hAnsi="Calibri"/>
                <w:sz w:val="18"/>
              </w:rPr>
              <w:t>4.39%</w:t>
            </w:r>
          </w:p>
        </w:tc>
        <w:tc>
          <w:tcPr>
            <w:tcW w:type="dxa" w:w="1994"/>
          </w:tcPr>
          <w:p>
            <w:pPr>
              <w:jc w:val="center"/>
            </w:pPr>
            <w:r/>
            <w:r>
              <w:rPr>
                <w:rFonts w:ascii="Calibri" w:hAnsi="Calibri"/>
                <w:sz w:val="18"/>
              </w:rPr>
              <w:t>9.95</w:t>
            </w:r>
          </w:p>
        </w:tc>
        <w:tc>
          <w:tcPr>
            <w:tcW w:type="dxa" w:w="1994"/>
          </w:tcPr>
          <w:p>
            <w:pPr>
              <w:jc w:val="center"/>
            </w:pPr>
            <w:r/>
            <w:r>
              <w:rPr>
                <w:rFonts w:ascii="Calibri" w:hAnsi="Calibri"/>
                <w:sz w:val="18"/>
              </w:rPr>
              <w:t>212K</w:t>
            </w:r>
          </w:p>
        </w:tc>
      </w:tr>
      <w:tr>
        <w:tc>
          <w:tcPr>
            <w:tcW w:type="dxa" w:w="1994"/>
          </w:tcPr>
          <w:p>
            <w:pPr>
              <w:jc w:val="center"/>
            </w:pPr>
            <w:r/>
            <w:r>
              <w:rPr>
                <w:rFonts w:ascii="Calibri" w:hAnsi="Calibri"/>
                <w:b/>
                <w:sz w:val="18"/>
              </w:rPr>
              <w:t>2022</w:t>
            </w:r>
          </w:p>
        </w:tc>
        <w:tc>
          <w:tcPr>
            <w:tcW w:type="dxa" w:w="1994"/>
          </w:tcPr>
          <w:p>
            <w:pPr>
              <w:jc w:val="center"/>
            </w:pPr>
            <w:r/>
            <w:r>
              <w:rPr>
                <w:rFonts w:ascii="Calibri" w:hAnsi="Calibri"/>
                <w:sz w:val="18"/>
              </w:rPr>
              <w:t>89.2%</w:t>
            </w:r>
          </w:p>
        </w:tc>
        <w:tc>
          <w:tcPr>
            <w:tcW w:type="dxa" w:w="1994"/>
          </w:tcPr>
          <w:p>
            <w:pPr>
              <w:jc w:val="center"/>
            </w:pPr>
            <w:r/>
            <w:r>
              <w:rPr>
                <w:rFonts w:ascii="Calibri" w:hAnsi="Calibri"/>
                <w:sz w:val="18"/>
              </w:rPr>
              <w:t>7.78%</w:t>
            </w:r>
          </w:p>
        </w:tc>
        <w:tc>
          <w:tcPr>
            <w:tcW w:type="dxa" w:w="1994"/>
          </w:tcPr>
          <w:p>
            <w:pPr>
              <w:jc w:val="center"/>
            </w:pPr>
            <w:r/>
            <w:r>
              <w:rPr>
                <w:rFonts w:ascii="Calibri" w:hAnsi="Calibri"/>
                <w:sz w:val="18"/>
              </w:rPr>
              <w:t>14.46</w:t>
            </w:r>
          </w:p>
        </w:tc>
        <w:tc>
          <w:tcPr>
            <w:tcW w:type="dxa" w:w="1994"/>
          </w:tcPr>
          <w:p>
            <w:pPr>
              <w:jc w:val="center"/>
            </w:pPr>
            <w:r/>
            <w:r>
              <w:rPr>
                <w:rFonts w:ascii="Calibri" w:hAnsi="Calibri"/>
                <w:sz w:val="18"/>
              </w:rPr>
              <w:t>210K</w:t>
            </w:r>
          </w:p>
        </w:tc>
      </w:tr>
      <w:tr>
        <w:tc>
          <w:tcPr>
            <w:tcW w:type="dxa" w:w="1994"/>
          </w:tcPr>
          <w:p>
            <w:pPr>
              <w:jc w:val="center"/>
            </w:pPr>
            <w:r/>
            <w:r>
              <w:rPr>
                <w:rFonts w:ascii="Calibri" w:hAnsi="Calibri"/>
                <w:b/>
                <w:sz w:val="18"/>
              </w:rPr>
              <w:t>2023</w:t>
            </w:r>
          </w:p>
        </w:tc>
        <w:tc>
          <w:tcPr>
            <w:tcW w:type="dxa" w:w="1994"/>
          </w:tcPr>
          <w:p>
            <w:pPr>
              <w:jc w:val="center"/>
            </w:pPr>
            <w:r/>
            <w:r>
              <w:rPr>
                <w:rFonts w:ascii="Calibri" w:hAnsi="Calibri"/>
                <w:sz w:val="18"/>
              </w:rPr>
              <w:t>84.4%</w:t>
            </w:r>
          </w:p>
        </w:tc>
        <w:tc>
          <w:tcPr>
            <w:tcW w:type="dxa" w:w="1994"/>
          </w:tcPr>
          <w:p>
            <w:pPr>
              <w:jc w:val="center"/>
            </w:pPr>
            <w:r/>
            <w:r>
              <w:rPr>
                <w:rFonts w:ascii="Calibri" w:hAnsi="Calibri"/>
                <w:sz w:val="18"/>
              </w:rPr>
              <w:t>5.93%</w:t>
            </w:r>
          </w:p>
        </w:tc>
        <w:tc>
          <w:tcPr>
            <w:tcW w:type="dxa" w:w="1994"/>
          </w:tcPr>
          <w:p>
            <w:pPr>
              <w:jc w:val="center"/>
            </w:pPr>
            <w:r/>
            <w:r>
              <w:rPr>
                <w:rFonts w:ascii="Calibri" w:hAnsi="Calibri"/>
                <w:sz w:val="18"/>
              </w:rPr>
              <w:t>11.30</w:t>
            </w:r>
          </w:p>
        </w:tc>
        <w:tc>
          <w:tcPr>
            <w:tcW w:type="dxa" w:w="1994"/>
          </w:tcPr>
          <w:p>
            <w:pPr>
              <w:jc w:val="center"/>
            </w:pPr>
            <w:r/>
            <w:r>
              <w:rPr>
                <w:rFonts w:ascii="Calibri" w:hAnsi="Calibri"/>
                <w:sz w:val="18"/>
              </w:rPr>
              <w:t>212K</w:t>
            </w:r>
          </w:p>
        </w:tc>
      </w:tr>
      <w:tr>
        <w:tc>
          <w:tcPr>
            <w:tcW w:type="dxa" w:w="1994"/>
          </w:tcPr>
          <w:p>
            <w:pPr>
              <w:jc w:val="center"/>
            </w:pPr>
            <w:r/>
            <w:r>
              <w:rPr>
                <w:rFonts w:ascii="Calibri" w:hAnsi="Calibri"/>
                <w:b/>
                <w:sz w:val="18"/>
              </w:rPr>
              <w:t>2024</w:t>
            </w:r>
          </w:p>
        </w:tc>
        <w:tc>
          <w:tcPr>
            <w:tcW w:type="dxa" w:w="1994"/>
          </w:tcPr>
          <w:p>
            <w:pPr>
              <w:jc w:val="center"/>
            </w:pPr>
            <w:r/>
            <w:r>
              <w:rPr>
                <w:rFonts w:ascii="Calibri" w:hAnsi="Calibri"/>
                <w:sz w:val="18"/>
              </w:rPr>
              <w:t>78.3%</w:t>
            </w:r>
          </w:p>
        </w:tc>
        <w:tc>
          <w:tcPr>
            <w:tcW w:type="dxa" w:w="1994"/>
          </w:tcPr>
          <w:p>
            <w:pPr>
              <w:jc w:val="center"/>
            </w:pPr>
            <w:r/>
            <w:r>
              <w:rPr>
                <w:rFonts w:ascii="Calibri" w:hAnsi="Calibri"/>
                <w:sz w:val="18"/>
              </w:rPr>
              <w:t>4.62%</w:t>
            </w:r>
          </w:p>
        </w:tc>
        <w:tc>
          <w:tcPr>
            <w:tcW w:type="dxa" w:w="1994"/>
          </w:tcPr>
          <w:p>
            <w:pPr>
              <w:jc w:val="center"/>
            </w:pPr>
            <w:r/>
            <w:r>
              <w:rPr>
                <w:rFonts w:ascii="Calibri" w:hAnsi="Calibri"/>
                <w:sz w:val="18"/>
              </w:rPr>
              <w:t>8.72</w:t>
            </w:r>
          </w:p>
        </w:tc>
        <w:tc>
          <w:tcPr>
            <w:tcW w:type="dxa" w:w="1994"/>
          </w:tcPr>
          <w:p>
            <w:pPr>
              <w:jc w:val="center"/>
            </w:pPr>
            <w:r/>
            <w:r>
              <w:rPr>
                <w:rFonts w:ascii="Calibri" w:hAnsi="Calibri"/>
                <w:sz w:val="18"/>
              </w:rPr>
              <w:t>212K</w:t>
            </w:r>
          </w:p>
        </w:tc>
      </w:tr>
      <w:tr>
        <w:tc>
          <w:tcPr>
            <w:tcW w:type="dxa" w:w="1994"/>
          </w:tcPr>
          <w:p>
            <w:pPr>
              <w:jc w:val="center"/>
            </w:pPr>
            <w:r/>
            <w:r>
              <w:rPr>
                <w:rFonts w:ascii="Calibri" w:hAnsi="Calibri"/>
                <w:b/>
                <w:sz w:val="18"/>
              </w:rPr>
              <w:t>2025</w:t>
            </w:r>
          </w:p>
        </w:tc>
        <w:tc>
          <w:tcPr>
            <w:tcW w:type="dxa" w:w="1994"/>
          </w:tcPr>
          <w:p>
            <w:pPr>
              <w:jc w:val="center"/>
            </w:pPr>
            <w:r/>
            <w:r>
              <w:rPr>
                <w:rFonts w:ascii="Calibri" w:hAnsi="Calibri"/>
                <w:sz w:val="18"/>
              </w:rPr>
              <w:t>81.7%</w:t>
            </w:r>
          </w:p>
        </w:tc>
        <w:tc>
          <w:tcPr>
            <w:tcW w:type="dxa" w:w="1994"/>
          </w:tcPr>
          <w:p>
            <w:pPr>
              <w:jc w:val="center"/>
            </w:pPr>
            <w:r/>
            <w:r>
              <w:rPr>
                <w:rFonts w:ascii="Calibri" w:hAnsi="Calibri"/>
                <w:sz w:val="18"/>
              </w:rPr>
              <w:t>4.93%</w:t>
            </w:r>
          </w:p>
        </w:tc>
        <w:tc>
          <w:tcPr>
            <w:tcW w:type="dxa" w:w="1994"/>
          </w:tcPr>
          <w:p>
            <w:pPr>
              <w:jc w:val="center"/>
            </w:pPr>
            <w:r/>
            <w:r>
              <w:rPr>
                <w:rFonts w:ascii="Calibri" w:hAnsi="Calibri"/>
                <w:sz w:val="18"/>
              </w:rPr>
              <w:t>9.13</w:t>
            </w:r>
          </w:p>
        </w:tc>
        <w:tc>
          <w:tcPr>
            <w:tcW w:type="dxa" w:w="1994"/>
          </w:tcPr>
          <w:p>
            <w:pPr>
              <w:jc w:val="center"/>
            </w:pPr>
            <w:r/>
            <w:r>
              <w:rPr>
                <w:rFonts w:ascii="Calibri" w:hAnsi="Calibri"/>
                <w:sz w:val="18"/>
              </w:rPr>
              <w:t>209K</w:t>
            </w:r>
          </w:p>
        </w:tc>
      </w:tr>
    </w:tbl>
    <w:p/>
    <w:p>
      <w:r>
        <w:t>ML_85 delivers ~82% average win rate, ~5.2% average return per trade, Sharpe ~10. With 3-4 concurrent positions on 10-30 day patterns, expect roughly 40-80 trades per year. At $500 per position using options, estimated $4K-8K annual return if historical patterns hold. Expect months with drawdowns -- the win rate is not evenly distributed across calendar periods.</w:t>
      </w:r>
    </w:p>
    <w:p>
      <w:pPr>
        <w:pStyle w:val="Heading1"/>
      </w:pPr>
      <w:r>
        <w:t>7. Model Architecture Summary</w:t>
      </w:r>
    </w:p>
    <w:p>
      <w:pPr>
        <w:pStyle w:val="ListBullet"/>
      </w:pPr>
      <w:r>
        <w:rPr>
          <w:b/>
        </w:rPr>
        <w:t xml:space="preserve">Ensemble: </w:t>
      </w:r>
      <w:r>
        <w:t>3 gradient boosting models (LightGBM + XGBoost + CatBoost), predictions averaged</w:t>
      </w:r>
    </w:p>
    <w:p>
      <w:pPr>
        <w:pStyle w:val="ListBullet"/>
      </w:pPr>
      <w:r>
        <w:rPr>
          <w:b/>
        </w:rPr>
        <w:t xml:space="preserve">Two models per tier: </w:t>
      </w:r>
      <w:r>
        <w:t>SR (predicts actual return) and MFE (predicts max favorable excursion)</w:t>
      </w:r>
    </w:p>
    <w:p>
      <w:pPr>
        <w:pStyle w:val="ListBullet"/>
      </w:pPr>
      <w:r>
        <w:rPr>
          <w:b/>
        </w:rPr>
        <w:t xml:space="preserve">Features: </w:t>
      </w:r>
      <w:r>
        <w:t>59 features across 6 groups: pattern intrinsic, technical, market regime, context, calendar, interactions</w:t>
      </w:r>
    </w:p>
    <w:p>
      <w:pPr>
        <w:pStyle w:val="ListBullet"/>
      </w:pPr>
      <w:r>
        <w:rPr>
          <w:b/>
        </w:rPr>
        <w:t xml:space="preserve">Training data: </w:t>
      </w:r>
      <w:r>
        <w:t>34.7 million samples, 475 S&amp;P 500 stocks, 26 years (2000-2025)</w:t>
      </w:r>
    </w:p>
    <w:p>
      <w:pPr>
        <w:pStyle w:val="ListBullet"/>
      </w:pPr>
      <w:r>
        <w:rPr>
          <w:b/>
        </w:rPr>
        <w:t xml:space="preserve">Hyperparameters: </w:t>
      </w:r>
      <w:r>
        <w:t>Optuna-tuned (75 trials per target on 2M sample subset)</w:t>
      </w:r>
    </w:p>
    <w:p>
      <w:pPr>
        <w:pStyle w:val="ListBullet"/>
      </w:pPr>
      <w:r>
        <w:rPr>
          <w:b/>
        </w:rPr>
        <w:t xml:space="preserve">Validation: </w:t>
      </w:r>
      <w:r>
        <w:t>8-year expanding-window walk-forward (train 2000-Y, validate Y+1)</w:t>
      </w:r>
    </w:p>
    <w:p>
      <w:pPr>
        <w:pStyle w:val="ListBullet"/>
      </w:pPr>
      <w:r>
        <w:rPr>
          <w:b/>
        </w:rPr>
        <w:t xml:space="preserve">VIX filter: </w:t>
      </w:r>
      <w:r>
        <w:t>Samples with VIX &gt; 35 removed from training (~4.8% of data)</w:t>
      </w:r>
    </w:p>
    <w:p>
      <w:pPr>
        <w:pStyle w:val="ListBullet"/>
      </w:pPr>
      <w:r>
        <w:rPr>
          <w:b/>
        </w:rPr>
        <w:t xml:space="preserve">Multi-tier: </w:t>
      </w:r>
      <w:r>
        <w:t>Architecture supports multiple day-range tiers (10-30, 31-60, etc.)</w:t>
      </w:r>
    </w:p>
    <w:p>
      <w:pPr>
        <w:pStyle w:val="Heading1"/>
      </w:pPr>
      <w:r>
        <w:t>8. How the Model Adapts to Market Conditions</w:t>
      </w:r>
    </w:p>
    <w:p>
      <w:r>
        <w:t>A common question is whether the model can adapt to different market environments -- bearish regimes, presidential election cycles, or directional trades (longs vs. shorts). The model does not use hard-coded rules for any of these. Instead, it learns the relationships between features and outcomes from 26 years of training data. This section explains how that works in practice.</w:t>
      </w:r>
    </w:p>
    <w:p>
      <w:pPr>
        <w:pStyle w:val="Heading2"/>
      </w:pPr>
      <w:r>
        <w:t>Presidential Election Cycle Awareness</w:t>
      </w:r>
    </w:p>
    <w:p>
      <w:r>
        <w:t>The presidential election (PE) cycle is one of the strongest known seasonal effects in equity markets. Midterm years (PE year 2) tend to have weak summers, while pre-election years (PE year 3) tend to be strong. The model captures this through multiple features working together:</w:t>
      </w:r>
    </w:p>
    <w:p>
      <w:pPr>
        <w:pStyle w:val="ListBullet"/>
      </w:pPr>
      <w:r>
        <w:rPr>
          <w:b/>
        </w:rPr>
        <w:t xml:space="preserve">cal_pe_year: </w:t>
      </w:r>
      <w:r>
        <w:t>Tells the model which phase of the 4-year cycle we are in. The model learned from training data that patterns behave differently in each phase.</w:t>
      </w:r>
    </w:p>
    <w:p>
      <w:pPr>
        <w:pStyle w:val="ListBullet"/>
      </w:pPr>
      <w:r>
        <w:rPr>
          <w:b/>
        </w:rPr>
        <w:t xml:space="preserve">pat_pe_match and pat_pe_deepest: </w:t>
      </w:r>
      <w:r>
        <w:t>These features describe how a specific pattern performs when filtered to only PE-matching years. A pattern that is 30 years deep overall but only 4 years deep in PE-filtered history signals that the pattern does not have a strong track record in the current cycle phase.</w:t>
      </w:r>
    </w:p>
    <w:p>
      <w:pPr>
        <w:pStyle w:val="ListBullet"/>
      </w:pPr>
      <w:r>
        <w:rPr>
          <w:b/>
        </w:rPr>
        <w:t xml:space="preserve">pat_pe_utilization: </w:t>
      </w:r>
      <w:r>
        <w:t>Measures what fraction of available PE-cycle years the pattern passed. Low utilization means the pattern is inconsistent across election cycles.</w:t>
      </w:r>
    </w:p>
    <w:p>
      <w:pPr>
        <w:pStyle w:val="ListBullet"/>
      </w:pPr>
      <w:r>
        <w:rPr>
          <w:b/>
        </w:rPr>
        <w:t xml:space="preserve">mkt_spx_seasonal_wr and mkt_spx_seasonal_ret: </w:t>
      </w:r>
      <w:r>
        <w:t>These are computed from historical S&amp;P 500 returns filtered by PE cycle year. They tell the model whether the broad market itself has a seasonal tendency to rise or fall during this calendar window in this type of election year.</w:t>
      </w:r>
    </w:p>
    <w:p>
      <w:pPr>
        <w:pStyle w:val="ListBullet"/>
      </w:pPr>
      <w:r>
        <w:rPr>
          <w:b/>
        </w:rPr>
        <w:t xml:space="preserve">mkt_spx_seasonal_regime: </w:t>
      </w:r>
      <w:r>
        <w:t>Classifies the SPX seasonal environment as bullish, neutral, or bearish based on the PE-filtered historical win rate. A bearish regime during midterm summer directly suppresses scores for long patterns.</w:t>
      </w:r>
    </w:p>
    <w:p>
      <w:pPr>
        <w:pStyle w:val="Heading2"/>
      </w:pPr>
      <w:r>
        <w:t>Example: A Long Pattern That Fails in Midterm Years</w:t>
      </w:r>
    </w:p>
    <w:p>
      <w:r>
        <w:t>Consider a long pattern on a stock like AAPL with a start date in June, holding 20 days. Suppose this pattern has strong overall history: 25 years deep, 85% win rate across all years, high Sharpe ratio. On the surface, this looks like an excellent opportunity.</w:t>
      </w:r>
    </w:p>
    <w:p>
      <w:r>
        <w:t>However, when filtered to PE year 2 (midterm) years only, suppose the pattern is only 3 years deep out of 6 possible midterm years. That is a 50% win rate in midterm years specifically, compared to 85% overall. The model sees this divergence through several signals:</w:t>
      </w:r>
    </w:p>
    <w:p>
      <w:pPr>
        <w:pStyle w:val="ListBullet"/>
      </w:pPr>
      <w:r>
        <w:t>cal_pe_year = 2, telling the model this is a midterm year.</w:t>
      </w:r>
    </w:p>
    <w:p>
      <w:pPr>
        <w:pStyle w:val="ListBullet"/>
      </w:pPr>
      <w:r>
        <w:t>pat_pe_deepest = 3, showing shallow PE-filtered depth.</w:t>
      </w:r>
    </w:p>
    <w:p>
      <w:pPr>
        <w:pStyle w:val="ListBullet"/>
      </w:pPr>
      <w:r>
        <w:t>pat_pe_utilization is low (~0.50), meaning the pattern passes in only half of available midterm years.</w:t>
      </w:r>
    </w:p>
    <w:p>
      <w:pPr>
        <w:pStyle w:val="ListBullet"/>
      </w:pPr>
      <w:r>
        <w:t>mkt_spx_seasonal_regime is likely bearish, because SPX itself tends to decline in midterm summers.</w:t>
      </w:r>
    </w:p>
    <w:p>
      <w:pPr>
        <w:pStyle w:val="ListBullet"/>
      </w:pPr>
      <w:r>
        <w:t>mkt_spx_dir_alignment = 0, because the long direction conflicts with the bearish SPX seasonal regime.</w:t>
      </w:r>
    </w:p>
    <w:p>
      <w:r>
        <w:t>The model combines all of these signals and produces a lower predicted return, lower win probability, and lower ML score. The same pattern scored in a pre-election year (PE year 3) with strong PE depth would receive a significantly higher score. The model does not need an explicit "reject midterm longs" rule -- it learned this behavior from 26 years of outcomes.</w:t>
      </w:r>
    </w:p>
    <w:p>
      <w:pPr>
        <w:pStyle w:val="Heading2"/>
      </w:pPr>
      <w:r>
        <w:t>Long vs. Short Scoring</w:t>
      </w:r>
    </w:p>
    <w:p>
      <w:r>
        <w:t>The model scores long and short patterns using the same 59 features and the same trained models. It does not have separate models for longs and shorts (this was tested and did not help -- halving the training data hurt more than direction specialization helped). Instead, direction is captured through features:</w:t>
      </w:r>
    </w:p>
    <w:p>
      <w:pPr>
        <w:pStyle w:val="ListBullet"/>
      </w:pPr>
      <w:r>
        <w:rPr>
          <w:b/>
        </w:rPr>
        <w:t xml:space="preserve">pat_direction: </w:t>
      </w:r>
      <w:r>
        <w:t>Binary feature: 1 for long, 0 for short. The model learned different return distributions for each direction across different market regimes.</w:t>
      </w:r>
    </w:p>
    <w:p>
      <w:pPr>
        <w:pStyle w:val="ListBullet"/>
      </w:pPr>
      <w:r>
        <w:rPr>
          <w:b/>
        </w:rPr>
        <w:t xml:space="preserve">mkt_spx_dir_alignment: </w:t>
      </w:r>
      <w:r>
        <w:t>Whether the pattern direction agrees with the SPX seasonal tendency. A short pattern in a bearish SPX seasonal regime gets alignment = 1 (favorable). A long pattern in the same regime gets alignment = 0 (unfavorable).</w:t>
      </w:r>
    </w:p>
    <w:p>
      <w:pPr>
        <w:pStyle w:val="ListBullet"/>
      </w:pPr>
      <w:r>
        <w:rPr>
          <w:b/>
        </w:rPr>
        <w:t xml:space="preserve">pat_dir_x_mkt_trend: </w:t>
      </w:r>
      <w:r>
        <w:t>Interaction feature that combines direction with broad market momentum. When SPY is trending down and the pattern is short, this feature is positive (supportive). When SPY is trending down and the pattern is long, this feature is negative (headwind).</w:t>
      </w:r>
    </w:p>
    <w:p>
      <w:pPr>
        <w:pStyle w:val="ListBullet"/>
      </w:pPr>
      <w:r>
        <w:rPr>
          <w:b/>
        </w:rPr>
        <w:t xml:space="preserve">pat_dir_x_sector_trend: </w:t>
      </w:r>
      <w:r>
        <w:t>Same concept applied to the stock's sector ETF trend. A short on an energy stock when XLE is falling gets a favorable signal.</w:t>
      </w:r>
    </w:p>
    <w:p>
      <w:r>
        <w:t>In practice, this means that during a bearish midterm summer, long patterns will generally receive lower scores while short patterns with strong depth profiles will receive higher scores. The model naturally shifts its recommendations toward the direction that the current environment supports.</w:t>
      </w:r>
    </w:p>
    <w:p>
      <w:pPr>
        <w:pStyle w:val="Heading2"/>
      </w:pPr>
      <w:r>
        <w:t>Real-Time Market Regime Features</w:t>
      </w:r>
    </w:p>
    <w:p>
      <w:r>
        <w:t>Beyond the calendar and PE cycle features, the model also uses 16 real-time market regime features that reflect current conditions at the moment of scoring. These include VIX level and term structure, yield curve slope, credit spreads, S&amp;P 500 momentum and breadth, sector rotation, and federal funds rate. When bearish conditions materialize (rising VIX, inverting yield curve, widening credit spreads, deteriorating breadth), these features compound the penalty on long patterns and support short patterns.</w:t>
      </w:r>
    </w:p>
    <w:p>
      <w:r>
        <w:t>This means the model adapts in two ways simultaneously: (1) calendar-based features encode historical tendencies for this time period and election cycle, and (2) real-time market features capture whether bearish conditions are actually present right now. A midterm summer where the market is surprisingly strong will score better than a midterm summer where the expected weakness has materialized, because the real-time features override the calendar expectation.</w:t>
      </w:r>
    </w:p>
    <w:p>
      <w:pPr>
        <w:pStyle w:val="Heading2"/>
      </w:pPr>
      <w:r>
        <w:t>VIX Hurricane Filter</w:t>
      </w:r>
    </w:p>
    <w:p>
      <w:r>
        <w:t>When VIX exceeds 35, the scoring service refuses to score any opportunity. During market panics, seasonal patterns break down regardless of quality, direction, or historical depth. Approximately 4.8% of training samples had VIX &gt; 35 and were removed from the training data entirely, so the model has no learned behavior for panic regimes. This is a hard safety cutoff, not a model decision.</w:t>
      </w:r>
    </w:p>
    <w:p>
      <w:pPr>
        <w:pStyle w:val="Heading1"/>
      </w:pPr>
      <w:r>
        <w:t>9. Bottom Line</w:t>
      </w:r>
    </w:p>
    <w:p>
      <w:r>
        <w:rPr>
          <w:b/>
        </w:rPr>
        <w:t xml:space="preserve">The model is a legitimate edge, not a crystal ball. </w:t>
      </w:r>
      <w:r>
        <w:t>It takes seasonal patterns that already have a ~65% base win rate and reliably pushes them to ~78-82% by identifying which patterns are most likely to work in current market conditions. The edge is small per trade but consistent across 8 out-of-sample years spanning very different market regimes.</w:t>
      </w:r>
    </w:p>
    <w:p/>
    <w:p>
      <w:r>
        <w:rPr>
          <w:b/>
        </w:rPr>
        <w:t xml:space="preserve">Strongest endorsement: </w:t>
      </w:r>
      <w:r>
        <w:t>The model has never had a losing year at ML_70 or above. Not once in 8 years of true out-of-sample testing.</w:t>
      </w:r>
    </w:p>
    <w:p/>
    <w:p>
      <w:r>
        <w:rPr>
          <w:b/>
        </w:rPr>
        <w:t xml:space="preserve">Biggest risk: </w:t>
      </w:r>
      <w:r>
        <w:t>Individual trade losses can be large (especially with options), and the model cannot prevent them. Risk management is not optional -- it IS the strategy. The model selects; risk management protects.</w:t>
      </w:r>
    </w:p>
    <w:p/>
    <w:p>
      <w:r>
        <w:rPr>
          <w:b/>
        </w:rPr>
        <w:t xml:space="preserve">Production readiness: </w:t>
      </w:r>
      <w:r>
        <w:t>READY for TradeWave UI scoring. READY for automated trading with safeguards.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