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48"/>
        </w:rPr>
        <w:t>TradeWave Data API + MCP Server</w:t>
      </w:r>
    </w:p>
    <w:p>
      <w:r>
        <w:rPr>
          <w:color w:val="1F8A70"/>
          <w:sz w:val="28"/>
        </w:rPr>
        <w:t>Strategy and Design Proposal</w:t>
      </w:r>
    </w:p>
    <w:p>
      <w:r>
        <w:rPr>
          <w:color w:val="595959"/>
          <w:sz w:val="18"/>
        </w:rPr>
        <w:t>Prepared for Afshin Moshrefi    |    2026-05-27    |    Status: Proposal (TW2 v2, post-cutover)</w:t>
      </w:r>
    </w:p>
    <w:p>
      <w:pPr>
        <w:spacing w:after="160"/>
        <w:pBdr>
          <w:bottom w:val="single" w:sz="8" w:space="1" w:color="1F3864"/>
        </w:pBdr>
      </w:pP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/>
        </w:rPr>
        <w:t xml:space="preserve">Thesis: </w:t>
      </w:r>
      <w:r>
        <w:rPr>
          <w:b w:val="0"/>
        </w:rPr>
        <w:t>Do not build another financial-data API. The commodity-data market (prices, fundamentals) is brutally priced (Financial Modeling Prep is $19/mo unlimited) and TradeWave has no edge there - it would be reselling its own EOD input. The defensible product is the computed edge: ranked seasonal opportunities, the ML win-probability layer, and the time-stamped daily-pick track record, delivered over a clean developer API with an MCP server on top. No competitor pairs seasonality with an ML scoring layer, a public track record, and agent-native delivery.</w:t>
      </w:r>
    </w:p>
    <w:p>
      <w:pPr>
        <w:spacing w:after="120"/>
      </w:pPr>
      <w:r>
        <w:rPr>
          <w:b/>
        </w:rPr>
        <w:t xml:space="preserve">Build order: </w:t>
      </w:r>
      <w:r>
        <w:rPr>
          <w:b w:val="0"/>
        </w:rPr>
        <w:t>API first, MCP as a thin wrapper shipped immediately after (days apart, not quarters). The API is roughly 80 percent already built - the appserver is the data engine and the service-account key path (/login/api, users.api_key_hash, HMAC) already exists. This work is TW2 v2 and must wait for the post-cutover stabilization freeze to lift; design now, build on dev during stabilization, ship after.</w:t>
      </w:r>
    </w:p>
    <w:p>
      <w:pPr>
        <w:pStyle w:val="Heading2"/>
      </w:pPr>
      <w:r>
        <w:t>Verdict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1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 there a market?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Yes, for your signals - not for commodity data. Stay out of the price-data API race.</w:t>
            </w:r>
          </w:p>
        </w:tc>
      </w:tr>
      <w:tr>
        <w:tc>
          <w:tcPr>
            <w:tcW w:type="dxa" w:w="57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What to expose?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derived edge: opportunities, ML scores, daily-pick record. Never raw vendor prices.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 then MCP, or skip API?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 first, MCP as a thin wrapper right after. Do not skip the API.</w:t>
            </w:r>
          </w:p>
        </w:tc>
      </w:tr>
      <w:tr>
        <w:tc>
          <w:tcPr>
            <w:tcW w:type="dxa" w:w="57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Same server or two?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Separate process, co-located on the app box, own hostname. Split to its own box later.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Free tier?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Yes - tightly capped, commodity surface only. Never free ML scores.</w:t>
            </w:r>
          </w:p>
        </w:tc>
      </w:tr>
      <w:tr>
        <w:tc>
          <w:tcPr>
            <w:tcW w:type="dxa" w:w="57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WorkOS support?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API-key path already built. WorkOS stays for human login; it can be the OAuth server for remote MCP.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Target market?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Retail / prosumer + independent pros at launch. Defer institutions.</w:t>
            </w:r>
          </w:p>
        </w:tc>
      </w:tr>
      <w:tr>
        <w:tc>
          <w:tcPr>
            <w:tcW w:type="dxa" w:w="57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vs competition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Only real seasonal-API rival is Seasonax ($480/mo, Bloomberg-gated). Win on ML + record + price + agent delivery.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International soon?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Customers: yes, born-global, free win. Coverage expansion: no, defer.</w:t>
            </w:r>
          </w:p>
        </w:tc>
      </w:tr>
    </w:tbl>
    <w:p>
      <w:pPr>
        <w:spacing w:after="40"/>
      </w:pPr>
    </w:p>
    <w:p>
      <w:pPr>
        <w:pStyle w:val="Heading1"/>
      </w:pPr>
      <w:r>
        <w:t>2. Timing and sequencing</w:t>
      </w:r>
    </w:p>
    <w:p>
      <w:pPr>
        <w:spacing w:after="120"/>
      </w:pPr>
      <w:r>
        <w:rPr>
          <w:b/>
        </w:rPr>
        <w:t xml:space="preserve">This is v2, and the timing is already fixed by the roadmap. </w:t>
      </w:r>
      <w:r>
        <w:rPr>
          <w:b w:val="0"/>
        </w:rPr>
        <w:t>The ecosystem doc sequences this as affiliate, then API, then MCP (thin wrapper over the API), then paid-SMN - all after the tradewave.ai cutover (target ~2026-05-31) and the 2 to 4 week stabilization freeze that forbids prod deploys touching auth, billing, or data paths.</w:t>
      </w:r>
    </w:p>
    <w:p>
      <w:pPr>
        <w:spacing w:after="120"/>
      </w:pPr>
      <w:r>
        <w:rPr>
          <w:b w:val="0"/>
        </w:rPr>
        <w:t xml:space="preserve">An API gateway touches auth and data paths by definition, so it cannot ship to prod during the freeze. The plan that respects this: </w:t>
      </w:r>
      <w:r>
        <w:rPr>
          <w:b/>
        </w:rPr>
        <w:t>design now (this document), build on dev during stabilization, deploy to staging then prod once the freeze lifts (roughly July 2026).</w:t>
      </w:r>
    </w:p>
    <w:p>
      <w:pPr>
        <w:pStyle w:val="Heading1"/>
      </w:pPr>
      <w:r>
        <w:t>3. EOD data licensing (managed risk, not a blocker)</w:t>
      </w:r>
    </w:p>
    <w:p>
      <w:pPr>
        <w:spacing w:after="120"/>
      </w:pPr>
      <w:r>
        <w:rPr>
          <w:b/>
        </w:rPr>
        <w:t xml:space="preserve">Vendor confirmed from the codebase: </w:t>
      </w:r>
      <w:r>
        <w:rPr>
          <w:b w:val="0"/>
        </w:rPr>
        <w:t>TradeWave's price data comes from EODHD / EOD Historical Data (eodhd.com, formerly eodhistoricaldata.com) via EOD_TOKEN in data_updater/. So EODHD's terms are the ones that govern.</w:t>
      </w:r>
    </w:p>
    <w:p>
      <w:pPr>
        <w:spacing w:after="120"/>
      </w:pPr>
      <w:r>
        <w:rPr>
          <w:b/>
        </w:rPr>
        <w:t xml:space="preserve">Your instinct is directionally correct, but EODHD's published terms do not explicitly bless derived signals - they are quiet on it and route the question to their team. </w:t>
      </w:r>
      <w:r>
        <w:rPr>
          <w:b w:val="0"/>
        </w:rPr>
        <w:t>Findings from EODHD's Terms and Conditions and their Commercial-vs-Personal license page:</w:t>
      </w:r>
    </w:p>
    <w:p>
      <w:pPr>
        <w:pStyle w:val="ListBullet"/>
        <w:spacing w:after="60"/>
      </w:pPr>
      <w:r>
        <w:rPr>
          <w:b/>
        </w:rPr>
        <w:t xml:space="preserve">Raw redistribution is clearly restricted. </w:t>
      </w:r>
      <w:r>
        <w:rPr>
          <w:b w:val="0"/>
        </w:rPr>
        <w:t>Non-professional users may not sell, resell, retransmit, redistribute, display, or grant access to the data or services, in original or repackaged form. This confirms your assumption: exposing raw EOD prices through a public API or MCP is off-limits.</w:t>
      </w:r>
    </w:p>
    <w:p>
      <w:pPr>
        <w:pStyle w:val="ListBullet"/>
        <w:spacing w:after="60"/>
      </w:pPr>
      <w:r>
        <w:rPr>
          <w:b/>
        </w:rPr>
        <w:t xml:space="preserve">"Repackaged form" needs prior written approval. </w:t>
      </w:r>
      <w:r>
        <w:rPr>
          <w:b w:val="0"/>
        </w:rPr>
        <w:t>Professional / commercial users may request prior written approval to redistribute in a repackaged form. The phrase "repackaged" is ambiguous and could be read to reach heavily-derived outputs, which is the gap between your assumption and the literal terms.</w:t>
      </w:r>
    </w:p>
    <w:p>
      <w:pPr>
        <w:pStyle w:val="ListBullet"/>
        <w:spacing w:after="60"/>
      </w:pPr>
      <w:r>
        <w:rPr>
          <w:b/>
        </w:rPr>
        <w:t xml:space="preserve">Derived-data licensing is a "contact sales" case. </w:t>
      </w:r>
      <w:r>
        <w:rPr>
          <w:b w:val="0"/>
        </w:rPr>
        <w:t>EODHD treats derived-data redistribution as a sales conversation rather than granting it in the public terms - which is exactly why volunteering the question is the wrong move (see posture below).</w:t>
      </w:r>
    </w:p>
    <w:p>
      <w:pPr>
        <w:pStyle w:val="ListBullet"/>
        <w:spacing w:after="60"/>
      </w:pPr>
      <w:r>
        <w:rPr>
          <w:b/>
        </w:rPr>
        <w:t xml:space="preserve">Commercial plans include exchange redistribution rights. </w:t>
      </w:r>
      <w:r>
        <w:rPr>
          <w:b w:val="0"/>
        </w:rPr>
        <w:t>If you are on a commercial plan, it carries the necessary exchange redistribution rights; the internal-use package explicitly forbids sharing data outside the company, so confirm which plan you hold.</w:t>
      </w:r>
    </w:p>
    <w:p>
      <w:pPr>
        <w:spacing w:after="120"/>
      </w:pPr>
      <w:r>
        <w:rPr>
          <w:b/>
        </w:rPr>
        <w:t xml:space="preserve">Where the line actually falls. </w:t>
      </w:r>
      <w:r>
        <w:rPr>
          <w:b w:val="0"/>
        </w:rPr>
        <w:t>A seasonal opportunity record (direction, entry date, hold period, Sharpe, win probability, predicted return) is TradeWave's own statistical output and does not let a recipient reconstruct EOD's price series - that is a strong "derived work, not repackaged data" position. The danger zone is any field that is or reconstructs the raw feed: OHLCV series, last price, point-in-time price-by-date. Those are redistribution and stay internal.</w:t>
      </w:r>
    </w:p>
    <w:p>
      <w:pPr>
        <w:spacing w:after="120"/>
      </w:pPr>
      <w:r>
        <w:rPr>
          <w:b/>
        </w:rPr>
        <w:t xml:space="preserve">Posture (chosen): do not solicit a restriction. </w:t>
      </w:r>
      <w:r>
        <w:rPr>
          <w:b w:val="0"/>
        </w:rPr>
        <w:t>The terms being silent on derived data and routing it to sales is exactly why volunteering the question is a mistake - it invites EODHD to write a restriction that does not exist today. Handle it reactively, only if they ever raise it. The position stands on its own merits:</w:t>
      </w:r>
    </w:p>
    <w:p>
      <w:pPr>
        <w:pStyle w:val="ListBullet"/>
        <w:spacing w:after="60"/>
      </w:pPr>
      <w:r>
        <w:rPr>
          <w:b/>
        </w:rPr>
        <w:t xml:space="preserve">No raw data leaves the product. </w:t>
      </w:r>
      <w:r>
        <w:rPr>
          <w:b w:val="0"/>
        </w:rPr>
        <w:t>TradeWave shows only charts and signals to its own authenticated users; the public API / MCP exposes signals only.</w:t>
      </w:r>
    </w:p>
    <w:p>
      <w:pPr>
        <w:pStyle w:val="ListBullet"/>
        <w:spacing w:after="60"/>
      </w:pPr>
      <w:r>
        <w:rPr>
          <w:b/>
        </w:rPr>
        <w:t xml:space="preserve">Signals are non-reconstructable. </w:t>
      </w:r>
      <w:r>
        <w:rPr>
          <w:b w:val="0"/>
        </w:rPr>
        <w:t>Direction, entry date, hold period, Sharpe, win probability, and percentage return cannot rebuild EOD's price series - so there is no raw-data redistribution to object to.</w:t>
      </w:r>
    </w:p>
    <w:p>
      <w:pPr>
        <w:pStyle w:val="ListBullet"/>
        <w:spacing w:after="60"/>
      </w:pPr>
      <w:r>
        <w:rPr>
          <w:b/>
        </w:rPr>
        <w:t xml:space="preserve">The protection is an engineering invariant, not a conversation. </w:t>
      </w:r>
      <w:r>
        <w:rPr>
          <w:b w:val="0"/>
        </w:rPr>
        <w:t>The public gateway is signals-only: the raw-price endpoints (ChartHistorical2, getStockPriceByDate, StockLastPrice, and the price field in ChartData4) stay internal and are never wired into the public surface. Returns are expressed as percentages, never price levels.</w:t>
      </w:r>
    </w:p>
    <w:p>
      <w:pPr>
        <w:pStyle w:val="ListBullet"/>
        <w:spacing w:after="60"/>
      </w:pPr>
      <w:r>
        <w:rPr>
          <w:b/>
        </w:rPr>
        <w:t xml:space="preserve">No new permission is needed. </w:t>
      </w:r>
      <w:r>
        <w:rPr>
          <w:b w:val="0"/>
        </w:rPr>
        <w:t>TradeWave already displays charts to end users under its current EODHD commercial plan; a signals-only API exposes strictly less of EOD's underlying data than the existing product already does.</w:t>
      </w:r>
    </w:p>
    <w:p>
      <w:pPr>
        <w:pStyle w:val="Heading1"/>
      </w:pPr>
      <w:r>
        <w:t>4. Market opportunity (Q1)</w:t>
      </w:r>
    </w:p>
    <w:p>
      <w:pPr>
        <w:spacing w:after="120"/>
      </w:pPr>
      <w:r>
        <w:rPr>
          <w:b/>
        </w:rPr>
        <w:t>Yes, there is a market - but be deliberate about which of three you enter.</w:t>
      </w:r>
    </w:p>
    <w:p>
      <w:pPr>
        <w:pStyle w:val="ListBullet"/>
        <w:spacing w:after="60"/>
      </w:pPr>
      <w:r>
        <w:rPr>
          <w:b/>
        </w:rPr>
        <w:t xml:space="preserve">Commodity data APIs (avoid). </w:t>
      </w:r>
      <w:r>
        <w:rPr>
          <w:b w:val="0"/>
        </w:rPr>
        <w:t>Polygon, FMP ($19/mo unlimited), Alpha Vantage, Twelve Data, and EOD itself. Near-zero margin, no edge, you would resell your own input.</w:t>
      </w:r>
    </w:p>
    <w:p>
      <w:pPr>
        <w:pStyle w:val="ListBullet"/>
        <w:spacing w:after="60"/>
      </w:pPr>
      <w:r>
        <w:rPr>
          <w:b/>
        </w:rPr>
        <w:t xml:space="preserve">Seasonal / signal data (your market). </w:t>
      </w:r>
      <w:r>
        <w:rPr>
          <w:b w:val="0"/>
        </w:rPr>
        <w:t>Underserved programmatically. Seasonax is the only real seasonal API and it is ~$480/mo and Bloomberg-gated. SentimenTrader offers a $99/mo data API but seasonality is one of ~20k indicators, not ranked tradeable opportunities. Equity Clock and MRCI have no API.</w:t>
      </w:r>
    </w:p>
    <w:p>
      <w:pPr>
        <w:pStyle w:val="ListBullet"/>
        <w:spacing w:after="60"/>
      </w:pPr>
      <w:r>
        <w:rPr>
          <w:b/>
        </w:rPr>
        <w:t xml:space="preserve">AI-agent / MCP signal access (the open greenfield). </w:t>
      </w:r>
      <w:r>
        <w:rPr>
          <w:b w:val="0"/>
        </w:rPr>
        <w:t>Alpha Vantage, FMP, EODHD, Twelve Data, and financial-datasets all shipped MCP servers in 2025-26, but they are raw-data, bring-your-own-key adapters. Almost nobody exposes a differentiated seasonal plus ML alpha signal over MCP. That is the wedge, and it is open now.</w:t>
      </w:r>
    </w:p>
    <w:p>
      <w:pPr>
        <w:pStyle w:val="Heading1"/>
      </w:pPr>
      <w:r>
        <w:t>5. Competitive landscape (Q8)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3168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What they are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Where TradeWave wins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Seasonax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Closest direct rival; pure seasonality, Bloomberg integration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~$480/mo, enterprise API custom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ML win-prob layer, public tracked record, far lower price, agent delivery</w:t>
            </w:r>
          </w:p>
        </w:tc>
      </w:tr>
      <w:tr>
        <w:tc>
          <w:tcPr>
            <w:tcW w:type="dxa" w:w="216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SentimenTrader</w:t>
            </w:r>
          </w:p>
        </w:tc>
        <w:tc>
          <w:tcPr>
            <w:tcW w:type="dxa" w:w="3168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Sentiment + 20k indicators; seasonality is one of many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$59-99/mo; Data API $99/mo; enterprise custom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Opportunity-ranked output vs indicator history; seasonal+ML focus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Equity Clock / MRCI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Free or cheap seasonal charts (EC free; MRCI futures)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Free / ~$60-100/mo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Productized API + MCP, ML scoring, breadth</w:t>
            </w:r>
          </w:p>
        </w:tc>
      </w:tr>
      <w:tr>
        <w:tc>
          <w:tcPr>
            <w:tcW w:type="dxa" w:w="216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Polygon / FMP / Alpha Vantage / EOD</w:t>
            </w:r>
          </w:p>
        </w:tc>
        <w:tc>
          <w:tcPr>
            <w:tcW w:type="dxa" w:w="3168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Commodity price + fundamentals data (your upstream)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$0-19+/mo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Different product: signals, not data. Do not compete here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 xml:space="preserve">Defensible moat = the combination no rival has: </w:t>
      </w:r>
      <w:r>
        <w:rPr>
          <w:b w:val="0"/>
        </w:rPr>
        <w:t>seasonal pattern computation x ML win-probability scoring x a public time-stamped track record (featured_history.json) x 17-market breadth x opportunity-ranked output, delivered over a clean API plus MCP. Own the honest weakness too: the price input is resold EOD and seasonality itself is not unique IP - so lead with the ML layer, the verifiable record, and agent-native delivery, not "we have seasonal data."</w:t>
      </w:r>
    </w:p>
    <w:p>
      <w:pPr>
        <w:pStyle w:val="Heading1"/>
      </w:pPr>
      <w:r>
        <w:t>6. Target market (Q7)</w:t>
      </w:r>
    </w:p>
    <w:p>
      <w:pPr>
        <w:spacing w:after="120"/>
      </w:pPr>
      <w:r>
        <w:rPr>
          <w:b/>
        </w:rPr>
        <w:t>Phase it; do not serve all three at once.</w:t>
      </w:r>
    </w:p>
    <w:p>
      <w:pPr>
        <w:pStyle w:val="ListBullet"/>
        <w:spacing w:after="60"/>
      </w:pPr>
      <w:r>
        <w:rPr>
          <w:b/>
        </w:rPr>
        <w:t xml:space="preserve">Launch: retail / prosumer + independent pros </w:t>
      </w:r>
      <w:r>
        <w:rPr>
          <w:b w:val="0"/>
        </w:rPr>
        <w:t>(RIAs, newsletter writers, small prop and quant shops, backtesters). Self-serve, credit-card, low-touch - and the AI-curious retail trader is exactly who adopts MCP first. This is your existing SaaS audience plus the developer beside them.</w:t>
      </w:r>
    </w:p>
    <w:p>
      <w:pPr>
        <w:pStyle w:val="ListBullet"/>
        <w:spacing w:after="60"/>
      </w:pPr>
      <w:r>
        <w:rPr>
          <w:b/>
        </w:rPr>
        <w:t xml:space="preserve">Defer institutions. </w:t>
      </w:r>
      <w:r>
        <w:rPr>
          <w:b w:val="0"/>
        </w:rPr>
        <w:t>They demand SLAs, point-in-time / no-lookahead guarantees, redistribution licensing, compliance, and a salesperson. You have none of those today and you run solo. Institutional is a 2027 motion that would distort the launch build.</w:t>
      </w:r>
    </w:p>
    <w:p>
      <w:pPr>
        <w:pStyle w:val="Heading1"/>
      </w:pPr>
      <w:r>
        <w:t>7. What data to expose (Q2)</w:t>
      </w:r>
    </w:p>
    <w:p>
      <w:pPr>
        <w:spacing w:after="120"/>
      </w:pPr>
      <w:r>
        <w:rPr>
          <w:b/>
        </w:rPr>
        <w:t>Tier by defensibility and licensing safety, not by what is easy.</w:t>
      </w:r>
    </w:p>
    <w:p>
      <w:pPr>
        <w:pStyle w:val="Heading2"/>
      </w:pPr>
      <w:r>
        <w:t>Expose - the edge (derived, defensible, your own output)</w:t>
      </w:r>
    </w:p>
    <w:p>
      <w:pPr>
        <w:pStyle w:val="ListBullet"/>
        <w:spacing w:after="60"/>
      </w:pPr>
      <w:r>
        <w:rPr>
          <w:b/>
        </w:rPr>
        <w:t xml:space="preserve">Opportunity records </w:t>
      </w:r>
      <w:r>
        <w:rPr>
          <w:b w:val="0"/>
        </w:rPr>
        <w:t>(OppList4 / OppBySymbol): sym, direction (LorS), entry date, daysOut, sharpe_ratio, avg_profit, median_profit, win-rate percentiles. The core product.</w:t>
      </w:r>
    </w:p>
    <w:p>
      <w:pPr>
        <w:pStyle w:val="ListBullet"/>
        <w:spacing w:after="60"/>
      </w:pPr>
      <w:r>
        <w:rPr>
          <w:b/>
        </w:rPr>
        <w:t xml:space="preserve">ML scores </w:t>
      </w:r>
      <w:r>
        <w:rPr>
          <w:b w:val="0"/>
        </w:rPr>
        <w:t>(MLScoreBatch): ml_score, win_prob, pred_return, pred_mfe. Crown jewel, hardest to replicate - already gated internally to level 6/7, which maps cleanly to a Pro / strategist tier.</w:t>
      </w:r>
    </w:p>
    <w:p>
      <w:pPr>
        <w:pStyle w:val="ListBullet"/>
        <w:spacing w:after="60"/>
      </w:pPr>
      <w:r>
        <w:rPr>
          <w:b/>
        </w:rPr>
        <w:t xml:space="preserve">Trend scores </w:t>
      </w:r>
      <w:r>
        <w:rPr>
          <w:b w:val="0"/>
        </w:rPr>
        <w:t>(StockScoreBatch): long / short bias.</w:t>
      </w:r>
    </w:p>
    <w:p>
      <w:pPr>
        <w:pStyle w:val="ListBullet"/>
        <w:spacing w:after="60"/>
      </w:pPr>
      <w:r>
        <w:rPr>
          <w:b/>
        </w:rPr>
        <w:t xml:space="preserve">Seasonal pattern stats </w:t>
      </w:r>
      <w:r>
        <w:rPr>
          <w:b w:val="0"/>
        </w:rPr>
        <w:t>(the ChartData4 stats block): aggregate per-pattern statistics, not the raw yearly price series.</w:t>
      </w:r>
    </w:p>
    <w:p>
      <w:pPr>
        <w:pStyle w:val="ListBullet"/>
        <w:spacing w:after="60"/>
      </w:pPr>
      <w:r>
        <w:rPr>
          <w:b/>
        </w:rPr>
        <w:t xml:space="preserve">Daily pick + tracked record </w:t>
      </w:r>
      <w:r>
        <w:rPr>
          <w:b w:val="0"/>
        </w:rPr>
        <w:t>(featured_history.json): symbol, date, pattern, ML metrics, and realized win / loss. The single best credibility and marketing asset, and ideal for an agent ("today's pick and the historical hit rate").</w:t>
      </w:r>
    </w:p>
    <w:p>
      <w:pPr>
        <w:pStyle w:val="ListBullet"/>
        <w:spacing w:after="60"/>
      </w:pPr>
      <w:r>
        <w:rPr>
          <w:b/>
        </w:rPr>
        <w:t xml:space="preserve">Universe metadata </w:t>
      </w:r>
      <w:r>
        <w:rPr>
          <w:b w:val="0"/>
        </w:rPr>
        <w:t>(getResourcesObj, GetListSymbols, NameFromTicker).</w:t>
      </w:r>
    </w:p>
    <w:p>
      <w:pPr>
        <w:pStyle w:val="Heading2"/>
      </w:pPr>
      <w:r>
        <w:t>Do not expose - raw (licensing + zero differentiation)</w:t>
      </w:r>
    </w:p>
    <w:p>
      <w:pPr>
        <w:pStyle w:val="ListBullet"/>
        <w:spacing w:after="60"/>
      </w:pPr>
      <w:r>
        <w:rPr>
          <w:b/>
        </w:rPr>
        <w:t xml:space="preserve">Raw OHLCV, last price, price-by-date </w:t>
      </w:r>
      <w:r>
        <w:rPr>
          <w:b w:val="0"/>
        </w:rPr>
        <w:t>(ChartHistorical2, getStockPriceByDate, StockLastPrice). This is resold EOD data and commodity - keep internal-only. See section 3.</w:t>
      </w:r>
    </w:p>
    <w:p>
      <w:pPr>
        <w:pStyle w:val="Heading2"/>
      </w:pPr>
      <w:r>
        <w:t>MCP tool design</w:t>
      </w:r>
    </w:p>
    <w:p>
      <w:pPr>
        <w:spacing w:after="120"/>
      </w:pPr>
      <w:r>
        <w:rPr>
          <w:b w:val="0"/>
        </w:rPr>
        <w:t>MCP tools should be opinionated and high-level, not a 1:1 mirror of the 73 REST routes. Agents want answers, not endpoints:</w:t>
      </w:r>
    </w:p>
    <w:p>
      <w:pPr>
        <w:pStyle w:val="ListBullet"/>
        <w:spacing w:after="60"/>
      </w:pPr>
      <w:r>
        <w:rPr>
          <w:b w:val="0"/>
        </w:rPr>
        <w:t>get_seasonal_opportunities(market, date_range, direction, min_winrate)</w:t>
      </w:r>
    </w:p>
    <w:p>
      <w:pPr>
        <w:pStyle w:val="ListBullet"/>
        <w:spacing w:after="60"/>
      </w:pPr>
      <w:r>
        <w:rPr>
          <w:b w:val="0"/>
        </w:rPr>
        <w:t>get_opportunity_for_symbol(symbol, ...)</w:t>
      </w:r>
    </w:p>
    <w:p>
      <w:pPr>
        <w:pStyle w:val="ListBullet"/>
        <w:spacing w:after="60"/>
      </w:pPr>
      <w:r>
        <w:rPr>
          <w:b w:val="0"/>
        </w:rPr>
        <w:t>score_opportunity(symbol, entry_date, days_out, direction)  [top tier]</w:t>
      </w:r>
    </w:p>
    <w:p>
      <w:pPr>
        <w:pStyle w:val="ListBullet"/>
        <w:spacing w:after="60"/>
      </w:pPr>
      <w:r>
        <w:rPr>
          <w:b w:val="0"/>
        </w:rPr>
        <w:t>get_daily_pick()  and  get_pick_track_record()</w:t>
      </w:r>
    </w:p>
    <w:p>
      <w:pPr>
        <w:pStyle w:val="ListBullet"/>
        <w:spacing w:after="60"/>
      </w:pPr>
      <w:r>
        <w:rPr>
          <w:b w:val="0"/>
        </w:rPr>
        <w:t>get_seasonal_pattern(symbol, ...)  /  list_markets()  /  list_symbols(market)</w:t>
      </w:r>
    </w:p>
    <w:p>
      <w:pPr>
        <w:pStyle w:val="Heading1"/>
      </w:pPr>
      <w:r>
        <w:t>8. API first, MCP as a thin wrapper (Q3)</w:t>
      </w:r>
    </w:p>
    <w:p>
      <w:pPr>
        <w:pStyle w:val="ListBullet"/>
        <w:spacing w:after="60"/>
      </w:pPr>
      <w:r>
        <w:rPr>
          <w:b/>
        </w:rPr>
        <w:t xml:space="preserve">MCP needs an authenticated data service underneath. </w:t>
      </w:r>
      <w:r>
        <w:rPr>
          <w:b w:val="0"/>
        </w:rPr>
        <w:t>The appserver already is that, and /login/api/&lt;api_key&gt; already exists. The API is mostly packaging, not greenfield.</w:t>
      </w:r>
    </w:p>
    <w:p>
      <w:pPr>
        <w:pStyle w:val="ListBullet"/>
        <w:spacing w:after="60"/>
      </w:pPr>
      <w:r>
        <w:rPr>
          <w:b/>
        </w:rPr>
        <w:t xml:space="preserve">Bring-your-own-key is the dominant MCP monetization model. </w:t>
      </w:r>
      <w:r>
        <w:rPr>
          <w:b w:val="0"/>
        </w:rPr>
        <w:t>The MCP server authenticates with a key the user already holds - so you need the API plus key issuance regardless. MCP with no API has nothing to wrap.</w:t>
      </w:r>
    </w:p>
    <w:p>
      <w:pPr>
        <w:pStyle w:val="ListBullet"/>
        <w:spacing w:after="60"/>
      </w:pPr>
      <w:r>
        <w:rPr>
          <w:b/>
        </w:rPr>
        <w:t xml:space="preserve">Do not skip the API. </w:t>
      </w:r>
      <w:r>
        <w:rPr>
          <w:b w:val="0"/>
        </w:rPr>
        <w:t>Quants, RIAs, and backtesters will pay for REST and never touch MCP; skipping it leaves that segment on the table.</w:t>
      </w:r>
    </w:p>
    <w:p>
      <w:pPr>
        <w:spacing w:after="120"/>
      </w:pPr>
      <w:r>
        <w:rPr>
          <w:b/>
        </w:rPr>
        <w:t xml:space="preserve">Framing: </w:t>
      </w:r>
      <w:r>
        <w:rPr>
          <w:b w:val="0"/>
        </w:rPr>
        <w:t>not "API project then MCP project." Productize a small clean signal API (the 6-8 calls above) plus API-key management, then ship MCP as a same-repo thin wrapper right after. Resist building a sprawling public REST surface first.</w:t>
      </w:r>
    </w:p>
    <w:p>
      <w:pPr>
        <w:pStyle w:val="Heading1"/>
      </w:pPr>
      <w:r>
        <w:t>9. Architecture: separate process, co-located (Q4)</w:t>
      </w:r>
    </w:p>
    <w:p>
      <w:pPr>
        <w:spacing w:after="120"/>
      </w:pPr>
      <w:r>
        <w:rPr>
          <w:b/>
        </w:rPr>
        <w:t xml:space="preserve">Option A - bolt onto the appserver: rejected. </w:t>
      </w:r>
      <w:r>
        <w:rPr>
          <w:b w:val="0"/>
        </w:rPr>
        <w:t>The appserver is the crown-jewel engine with hard invariants, and the whole site depends on it. Untrusted, abuse-prone public traffic must not share a crash or restart domain with it.</w:t>
      </w:r>
    </w:p>
    <w:p>
      <w:pPr>
        <w:spacing w:after="120"/>
      </w:pPr>
      <w:r>
        <w:rPr>
          <w:b/>
        </w:rPr>
        <w:t xml:space="preserve">Option B - separate box now: rejected for launch. </w:t>
      </w:r>
      <w:r>
        <w:rPr>
          <w:b w:val="0"/>
        </w:rPr>
        <w:t>Another VLAN host, tunnel, deploy target, and cross-box latency for an unproven feature, run by one person. Premature distributed system.</w:t>
      </w:r>
    </w:p>
    <w:p>
      <w:pPr>
        <w:spacing w:after="120"/>
      </w:pPr>
      <w:r>
        <w:rPr>
          <w:b/>
        </w:rPr>
        <w:t xml:space="preserve">Option C - synthesis (take this): </w:t>
      </w:r>
      <w:r>
        <w:rPr>
          <w:b w:val="0"/>
        </w:rPr>
        <w:t>new gunicorn services tradewave-apiserver and tradewave-mcp, deployed on the existing app box (localhost calls to the appserver, no cross-box hop), as distinct processes behind their own Cloudflare tunnel hostnames (api.tradewave.ai / mcp.tradewave.ai). The gateway authenticates end-customer API keys, maps to entitlements, then calls the appserver internally as a privileged service account using the /login/api machinery that already exists.</w:t>
      </w:r>
    </w:p>
    <w:p>
      <w:pPr>
        <w:spacing w:after="120"/>
      </w:pPr>
      <w:r>
        <w:rPr>
          <w:b/>
        </w:rPr>
        <w:t xml:space="preserve">Why this fits TradeWave: </w:t>
      </w:r>
      <w:r>
        <w:rPr>
          <w:b w:val="0"/>
        </w:rPr>
        <w:t>process isolation (separate rate limits, separate crash domain) without a premature box split, and it matches every existing convention - all-tunnel DNS, env-agnostic config, per-service gunicorn units, a multi-service app box. Splitting to a dedicated box later is then trivial: repoint the tunnel and secrets, no re-architecture. The expensive-to-reverse mistake is coupling public traffic into the appserver process; this avoids it.</w:t>
      </w:r>
    </w:p>
    <w:p>
      <w:pPr>
        <w:pStyle w:val="Heading1"/>
      </w:pPr>
      <w:r>
        <w:t>10. Authentication and WorkOS (Q6)</w:t>
      </w:r>
    </w:p>
    <w:p>
      <w:pPr>
        <w:pStyle w:val="ListBullet"/>
        <w:spacing w:after="60"/>
      </w:pPr>
      <w:r>
        <w:rPr>
          <w:b/>
        </w:rPr>
        <w:t xml:space="preserve">Machine / API-key auth: already built - do not redo it in WorkOS. </w:t>
      </w:r>
      <w:r>
        <w:rPr>
          <w:b w:val="0"/>
        </w:rPr>
        <w:t>You have users.api_key_hash + HMAC-SHA256 + /login/api/&lt;api_key&gt;. WorkOS offers no better self-serve customer-API-key product than what exists.</w:t>
      </w:r>
    </w:p>
    <w:p>
      <w:pPr>
        <w:pStyle w:val="ListBullet"/>
        <w:spacing w:after="60"/>
      </w:pPr>
      <w:r>
        <w:rPr>
          <w:b/>
        </w:rPr>
        <w:t xml:space="preserve">Human auth: stays WorkOS. </w:t>
      </w:r>
      <w:r>
        <w:rPr>
          <w:b w:val="0"/>
        </w:rPr>
        <w:t>The human logs into the dashboard (AuthKit) to generate / rotate their key and manage billing. Add a "Generate API key" page that writes api_key_hash.</w:t>
      </w:r>
    </w:p>
    <w:p>
      <w:pPr>
        <w:pStyle w:val="ListBullet"/>
        <w:spacing w:after="60"/>
      </w:pPr>
      <w:r>
        <w:rPr>
          <w:b/>
        </w:rPr>
        <w:t xml:space="preserve">Remote MCP (OAuth): where WorkOS genuinely helps. </w:t>
      </w:r>
      <w:r>
        <w:rPr>
          <w:b w:val="0"/>
        </w:rPr>
        <w:t>The MCP spec moved to OAuth 2.1 for remote servers; WorkOS / AuthKit can act as the OAuth authorization server so a hosted MCP endpoint does consented auth instead of pasted keys. Verify current WorkOS MCP / OAuth support when you reach it; for a bring-your-own-key launch you do not even need it.</w:t>
      </w:r>
    </w:p>
    <w:p>
      <w:pPr>
        <w:pStyle w:val="Heading1"/>
      </w:pPr>
      <w:r>
        <w:t>11. Pricing and free tier (Q5)</w:t>
      </w:r>
    </w:p>
    <w:p>
      <w:pPr>
        <w:spacing w:after="120"/>
      </w:pPr>
      <w:r>
        <w:rPr>
          <w:b/>
        </w:rPr>
        <w:t xml:space="preserve">Yes to a free tier - tightly capped, on the commodity surface only. </w:t>
      </w:r>
      <w:r>
        <w:rPr>
          <w:b w:val="0"/>
        </w:rPr>
        <w:t>MCP discovery and developer funnels both die behind a paywall-at-hello, and every comp (FMP, Polygon, Alpha Vantage, Equity Clock) has a free tier. Free is your top-of-funnel; cap it hard and never give away ML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Approx price</w:t>
            </w:r>
          </w:p>
        </w:tc>
        <w:tc>
          <w:tcPr>
            <w:tcW w:type="dxa" w:w="61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What it gets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Free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$0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Taste: top-3 opportunities, one market, delayed, no ML. Plus daily pick + track record (doubles as marketing). Hard meter.</w:t>
            </w:r>
          </w:p>
        </w:tc>
      </w:tr>
      <w:tr>
        <w:tc>
          <w:tcPr>
            <w:tcW w:type="dxa" w:w="187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Trader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$29-49/mo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Full opportunities, limited markets, no or limited ML.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 / Quant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$149-299/mo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All markets, ML scores, API + MCP, high rate limits.</w:t>
            </w:r>
          </w:p>
        </w:tc>
      </w:tr>
      <w:tr>
        <w:tc>
          <w:tcPr>
            <w:tcW w:type="dxa" w:w="187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Enterprise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Custom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SLA, redistribution, point-in-time. Later.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 xml:space="preserve">Reuse the tier machinery: </w:t>
      </w:r>
      <w:r>
        <w:rPr>
          <w:b w:val="0"/>
        </w:rPr>
        <w:t>add an API / MCP entitlement flag in TIER_FEATURES; do not build a parallel billing system. The internal ML gate is already level 6/7 = strategist, so "ML over API = Pro tier" falls out naturally. Note the open-paywall invariant (all 17 markets free) is a website decision - it need not apply to the API, which can meter freely without touching that invariant.</w:t>
      </w:r>
    </w:p>
    <w:p>
      <w:pPr>
        <w:pStyle w:val="Heading1"/>
      </w:pPr>
      <w:r>
        <w:t>12. International (Q9)</w:t>
      </w:r>
    </w:p>
    <w:p>
      <w:pPr>
        <w:pStyle w:val="ListBullet"/>
        <w:spacing w:after="60"/>
      </w:pPr>
      <w:r>
        <w:rPr>
          <w:b/>
        </w:rPr>
        <w:t xml:space="preserve">Customers: yes, born-global, free win - do it day one. </w:t>
      </w:r>
      <w:r>
        <w:rPr>
          <w:b w:val="0"/>
        </w:rPr>
        <w:t>An API / MCP is born-global; Stripe handles worldwide payments and VAT (Stripe Tax). Do not geo-gate. Caveats: international customers may trigger different redistribution terms (tied to the EOD question) and tax handling.</w:t>
      </w:r>
    </w:p>
    <w:p>
      <w:pPr>
        <w:pStyle w:val="ListBullet"/>
        <w:spacing w:after="60"/>
      </w:pPr>
      <w:r>
        <w:rPr>
          <w:b/>
        </w:rPr>
        <w:t xml:space="preserve">Market-data coverage: no, defer. </w:t>
      </w:r>
      <w:r>
        <w:rPr>
          <w:b w:val="0"/>
        </w:rPr>
        <w:t>You already have London, Toronto, Forex, crypto, and global indices / commodities, but ML scoring is US-only (resource IDs 0-4, 11) and the daily pick is S&amp;P-centric. More exchanges means more EOD licensing cost, more redistribution complexity, and per-market ML retraining. Accept the customer in Frankfurt; do not chase coverage at launch.</w:t>
      </w:r>
    </w:p>
    <w:p>
      <w:pPr>
        <w:pStyle w:val="Heading1"/>
      </w:pPr>
      <w:r>
        <w:t>13. Recommended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73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5328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Work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0 - Design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Now (pre-launch)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This document; freeze the API surface spec and MCP tool schema as a signals-only whitelist (no raw-price endpoints).</w:t>
            </w:r>
          </w:p>
        </w:tc>
      </w:tr>
      <w:tr>
        <w:tc>
          <w:tcPr>
            <w:tcW w:type="dxa" w:w="201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1 - API on dev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During stabilization (dev only)</w:t>
            </w:r>
          </w:p>
        </w:tc>
        <w:tc>
          <w:tcPr>
            <w:tcW w:type="dxa" w:w="5328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apiserver gunicorn service + blueprint; 6-8 productized signal endpoints; API-key issuance page; entitlement flag in TIER_FEATURES.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2 - MCP on dev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During stabilization (dev only)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tradewave-mcp service wrapping the API; the high-level tools; bring-your-own-key auth.</w:t>
            </w:r>
          </w:p>
        </w:tc>
      </w:tr>
      <w:tr>
        <w:tc>
          <w:tcPr>
            <w:tcW w:type="dxa" w:w="201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3 - Ship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After freeze lifts (~July 2026)</w:t>
            </w:r>
          </w:p>
        </w:tc>
        <w:tc>
          <w:tcPr>
            <w:tcW w:type="dxa" w:w="5328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Deploy api. and mcp. tunnels to staging then prod; private beta with a few users; rate limits and metering.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4 - Launch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Following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Public launch; pricing tiers live; listings in MCP directories.</w:t>
            </w:r>
          </w:p>
        </w:tc>
      </w:tr>
      <w:tr>
        <w:tc>
          <w:tcPr>
            <w:tcW w:type="dxa" w:w="201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Later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2027</w:t>
            </w:r>
          </w:p>
        </w:tc>
        <w:tc>
          <w:tcPr>
            <w:tcW w:type="dxa" w:w="5328"/>
            <w:shd w:val="clear" w:color="auto" w:fill="EAF0F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Enterprise / institutional tier (SLA, PIT, redistribution); international coverage.</w:t>
            </w:r>
          </w:p>
        </w:tc>
      </w:tr>
    </w:tbl>
    <w:p>
      <w:pPr>
        <w:spacing w:after="40"/>
      </w:pPr>
    </w:p>
    <w:p>
      <w:pPr>
        <w:pStyle w:val="Heading1"/>
      </w:pPr>
      <w:r>
        <w:t>14. Sources</w:t>
      </w:r>
    </w:p>
    <w:p>
      <w:pPr>
        <w:spacing w:after="40"/>
      </w:pPr>
      <w:r>
        <w:rPr>
          <w:b w:val="0"/>
          <w:color w:val="595959"/>
          <w:sz w:val="18"/>
        </w:rPr>
        <w:t>EODHD Terms and Conditions - eodhd.com/financial-apis/terms-conditions</w:t>
      </w:r>
    </w:p>
    <w:p>
      <w:pPr>
        <w:spacing w:after="40"/>
      </w:pPr>
      <w:r>
        <w:rPr>
          <w:b w:val="0"/>
          <w:color w:val="595959"/>
          <w:sz w:val="18"/>
        </w:rPr>
        <w:t>EODHD Commercial vs Personal license use - eodhd.com/financial-apis/commercial-vs-personal-license-use</w:t>
      </w:r>
    </w:p>
    <w:p>
      <w:pPr>
        <w:spacing w:after="40"/>
      </w:pPr>
      <w:r>
        <w:rPr>
          <w:b w:val="0"/>
          <w:color w:val="595959"/>
          <w:sz w:val="18"/>
        </w:rPr>
        <w:t>Seasonax pricing / B2B - seasonax.com/pricing and /b2b-seasonax-for-businesses</w:t>
      </w:r>
    </w:p>
    <w:p>
      <w:pPr>
        <w:spacing w:after="40"/>
      </w:pPr>
      <w:r>
        <w:rPr>
          <w:b w:val="0"/>
          <w:color w:val="595959"/>
          <w:sz w:val="18"/>
        </w:rPr>
        <w:t>SentimenTrader pricing - sentimentrader.com/pricing</w:t>
      </w:r>
    </w:p>
    <w:p>
      <w:pPr>
        <w:spacing w:after="40"/>
      </w:pPr>
      <w:r>
        <w:rPr>
          <w:b w:val="0"/>
          <w:color w:val="595959"/>
          <w:sz w:val="18"/>
        </w:rPr>
        <w:t>Financial Modeling Prep pricing - site.financialmodelingprep.com/pricing-plans</w:t>
      </w:r>
    </w:p>
    <w:p>
      <w:pPr>
        <w:spacing w:after="40"/>
      </w:pPr>
      <w:r>
        <w:rPr>
          <w:b w:val="0"/>
          <w:color w:val="595959"/>
          <w:sz w:val="18"/>
        </w:rPr>
        <w:t>MCP adoption and monetization 2026 - medium.com/mcp-server</w:t>
      </w:r>
    </w:p>
    <w:p>
      <w:pPr>
        <w:spacing w:after="40"/>
      </w:pPr>
      <w:r>
        <w:rPr>
          <w:b w:val="0"/>
          <w:color w:val="595959"/>
          <w:sz w:val="18"/>
        </w:rPr>
        <w:t>financial-datasets MCP server - github.com/financial-datasets/mcp-server</w:t>
      </w:r>
    </w:p>
    <w:p>
      <w:pPr>
        <w:spacing w:after="40"/>
      </w:pPr>
      <w:r>
        <w:rPr>
          <w:b w:val="0"/>
          <w:color w:val="595959"/>
          <w:sz w:val="18"/>
        </w:rPr>
        <w:t>Alpha Vantage MCP - mcp.alphavantage.co ; EODHD MCP - eodhd.com/financial-apis/mcp-server-for-financial-data-by-eodhd</w:t>
      </w:r>
    </w:p>
    <w:p>
      <w:pPr>
        <w:spacing w:after="40"/>
      </w:pPr>
      <w:r>
        <w:rPr>
          <w:b w:val="0"/>
          <w:color w:val="595959"/>
          <w:sz w:val="18"/>
        </w:rPr>
        <w:t>TradeWave internal: docs/TRADEWAVE_ECOSYSTEM.md; appserver/appserver/appserver.py; config.py; data_updater/ (EOD_TOKEN)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