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4F12EC66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Categorical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3D3FD059" w:rsidR="007A453F" w:rsidRPr="006C6DF1" w:rsidRDefault="007A453F" w:rsidP="006C6DF1">
            <w:pPr>
              <w:rPr>
                <w:rFonts w:ascii="Arial" w:hAnsi="Arial" w:cs="Arial"/>
                <w:b/>
                <w:bCs/>
              </w:rPr>
            </w:pPr>
            <w:r w:rsidRPr="006C6DF1">
              <w:rPr>
                <w:rFonts w:ascii="Arial" w:hAnsi="Arial" w:cs="Arial"/>
                <w:b/>
                <w:bCs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6C6DF1" w:rsidRDefault="007A453F" w:rsidP="006C6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6C6DF1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6C6DF1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6C6DF1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6C6DF1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 xml:space="preserve">ANS: Total Possible </w:t>
      </w:r>
      <w:proofErr w:type="gramStart"/>
      <w:r w:rsidRPr="006C6DF1">
        <w:rPr>
          <w:rFonts w:ascii="Times New Roman" w:hAnsi="Times New Roman" w:cs="Times New Roman"/>
          <w:sz w:val="28"/>
          <w:szCs w:val="28"/>
        </w:rPr>
        <w:t>Events :</w:t>
      </w:r>
      <w:proofErr w:type="gramEnd"/>
      <w:r w:rsidRPr="006C6DF1">
        <w:rPr>
          <w:rFonts w:ascii="Times New Roman" w:hAnsi="Times New Roman" w:cs="Times New Roman"/>
          <w:sz w:val="28"/>
          <w:szCs w:val="28"/>
        </w:rPr>
        <w:t xml:space="preserve"> 8 , No of desired events: 3</w:t>
      </w:r>
    </w:p>
    <w:p w14:paraId="18936D9F" w14:textId="1E3CBF9F" w:rsidR="000B417C" w:rsidRPr="006C6DF1" w:rsidRDefault="007A453F" w:rsidP="007A45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6C6DF1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ANS: a) 0</w:t>
      </w:r>
    </w:p>
    <w:p w14:paraId="7E006125" w14:textId="09FDD870" w:rsidR="007A453F" w:rsidRPr="006C6DF1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ab/>
        <w:t>b) 1/6 = 0.167</w:t>
      </w:r>
    </w:p>
    <w:p w14:paraId="1EC25C10" w14:textId="4BC0B998" w:rsidR="002E0863" w:rsidRPr="006C6DF1" w:rsidRDefault="007A453F" w:rsidP="007A453F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6C6DF1" w:rsidRDefault="007A453F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 w:rsidRPr="006C6DF1">
        <w:rPr>
          <w:rFonts w:ascii="Times New Roman" w:eastAsia="Times New Roman" w:hAnsi="Times New Roman" w:cs="Times New Roman"/>
          <w:sz w:val="28"/>
          <w:szCs w:val="28"/>
        </w:rPr>
        <w:t>ANS: 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6C6DF1" w:rsidRDefault="007A453F" w:rsidP="00F407B7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6C6DF1" w:rsidRDefault="00D76918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 xml:space="preserve">ANS: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041"/>
        <w:gridCol w:w="1336"/>
        <w:gridCol w:w="1041"/>
        <w:gridCol w:w="1227"/>
        <w:gridCol w:w="980"/>
        <w:gridCol w:w="980"/>
      </w:tblGrid>
      <w:tr w:rsidR="00464221" w:rsidRPr="006C6DF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</w:tr>
      <w:tr w:rsidR="00464221" w:rsidRPr="006C6DF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464221" w:rsidRPr="006C6DF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464221" w:rsidRPr="006C6DF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6C6DF1" w:rsidRDefault="00464221" w:rsidP="004642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6C6DF1" w:rsidRDefault="00464221" w:rsidP="000A53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6DF1">
              <w:rPr>
                <w:rFonts w:ascii="Times New Roman" w:hAnsi="Times New Roman" w:cs="Times New Roman"/>
                <w:sz w:val="28"/>
                <w:szCs w:val="28"/>
              </w:rPr>
              <w:t>8.40</w:t>
            </w:r>
          </w:p>
        </w:tc>
      </w:tr>
    </w:tbl>
    <w:p w14:paraId="3BA999CB" w14:textId="50BC2E36" w:rsidR="007A453F" w:rsidRPr="006C6DF1" w:rsidRDefault="007A453F" w:rsidP="00707DE3">
      <w:pPr>
        <w:rPr>
          <w:rFonts w:ascii="Times New Roman" w:hAnsi="Times New Roman" w:cs="Times New Roman"/>
          <w:sz w:val="28"/>
          <w:szCs w:val="28"/>
        </w:rPr>
      </w:pPr>
    </w:p>
    <w:p w14:paraId="5E45A894" w14:textId="3A0A83E6" w:rsidR="00464221" w:rsidRPr="006C6DF1" w:rsidRDefault="007040C1" w:rsidP="007040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No case has the variable Mean = Median = Mode</w:t>
      </w:r>
    </w:p>
    <w:p w14:paraId="03CC7DCC" w14:textId="3EC5C83A" w:rsidR="002C2F5F" w:rsidRPr="006C6DF1" w:rsidRDefault="00DA2EBE" w:rsidP="00424D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6DF1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6C6DF1">
        <w:rPr>
          <w:rFonts w:ascii="Times New Roman" w:hAnsi="Times New Roman" w:cs="Times New Roman"/>
          <w:sz w:val="28"/>
          <w:szCs w:val="28"/>
        </w:rPr>
        <w:t xml:space="preserve"> a</w:t>
      </w:r>
      <w:r w:rsidR="00831471" w:rsidRPr="006C6DF1">
        <w:rPr>
          <w:rFonts w:ascii="Times New Roman" w:hAnsi="Times New Roman" w:cs="Times New Roman"/>
          <w:sz w:val="28"/>
          <w:szCs w:val="28"/>
        </w:rPr>
        <w:t>s seen in the graph d</w:t>
      </w:r>
      <w:r w:rsidR="002E52A5" w:rsidRPr="006C6DF1">
        <w:rPr>
          <w:rFonts w:ascii="Times New Roman" w:hAnsi="Times New Roman" w:cs="Times New Roman"/>
          <w:sz w:val="28"/>
          <w:szCs w:val="28"/>
        </w:rPr>
        <w:t xml:space="preserve">ataset </w:t>
      </w:r>
      <w:r w:rsidR="00831471" w:rsidRPr="006C6DF1">
        <w:rPr>
          <w:rFonts w:ascii="Times New Roman" w:hAnsi="Times New Roman" w:cs="Times New Roman"/>
          <w:sz w:val="28"/>
          <w:szCs w:val="28"/>
        </w:rPr>
        <w:t xml:space="preserve">“score” and “Weigh” </w:t>
      </w:r>
      <w:r w:rsidR="00407035" w:rsidRPr="006C6DF1">
        <w:rPr>
          <w:rFonts w:ascii="Times New Roman" w:hAnsi="Times New Roman" w:cs="Times New Roman"/>
          <w:sz w:val="28"/>
          <w:szCs w:val="28"/>
        </w:rPr>
        <w:t>has outlie</w:t>
      </w:r>
      <w:r w:rsidR="00A647E0" w:rsidRPr="006C6DF1">
        <w:rPr>
          <w:rFonts w:ascii="Times New Roman" w:hAnsi="Times New Roman" w:cs="Times New Roman"/>
          <w:sz w:val="28"/>
          <w:szCs w:val="28"/>
        </w:rPr>
        <w:t>rs</w:t>
      </w:r>
    </w:p>
    <w:p w14:paraId="397175AD" w14:textId="77777777" w:rsidR="00464221" w:rsidRPr="006C6DF1" w:rsidRDefault="00464221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77777777" w:rsidR="00266B62" w:rsidRPr="006C6DF1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Q8</w:t>
      </w:r>
      <w:r w:rsidR="00266B62" w:rsidRPr="006C6DF1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C6DF1">
        <w:rPr>
          <w:rFonts w:ascii="Times New Roman" w:hAnsi="Times New Roman" w:cs="Times New Roman"/>
          <w:sz w:val="28"/>
          <w:szCs w:val="28"/>
        </w:rPr>
        <w:t>The weights (X) of patients at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6C6DF1" w:rsidRDefault="00266B62" w:rsidP="00707DE3">
      <w:pPr>
        <w:ind w:left="72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Assume one of the patients is chosen at random. What is the Expected </w:t>
      </w:r>
      <w:r w:rsidRPr="006C6DF1">
        <w:rPr>
          <w:rFonts w:ascii="Times New Roman" w:hAnsi="Times New Roman" w:cs="Times New Roman"/>
          <w:sz w:val="28"/>
          <w:szCs w:val="28"/>
        </w:rPr>
        <w:t>Value of the Weight of that patient?</w:t>
      </w:r>
    </w:p>
    <w:p w14:paraId="4CBF4A82" w14:textId="7FE479E2" w:rsidR="00BC5748" w:rsidRPr="006C6DF1" w:rsidRDefault="003C5E70" w:rsidP="003C5E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C6DF1">
        <w:rPr>
          <w:rFonts w:ascii="Times New Roman" w:hAnsi="Times New Roman" w:cs="Times New Roman"/>
          <w:sz w:val="28"/>
          <w:szCs w:val="28"/>
        </w:rPr>
        <w:t>ANS :</w:t>
      </w:r>
      <w:proofErr w:type="gramEnd"/>
      <w:r w:rsidRPr="006C6DF1">
        <w:rPr>
          <w:rFonts w:ascii="Times New Roman" w:hAnsi="Times New Roman" w:cs="Times New Roman"/>
          <w:sz w:val="28"/>
          <w:szCs w:val="28"/>
        </w:rPr>
        <w:t xml:space="preserve"> </w:t>
      </w:r>
      <w:r w:rsidR="008743E8" w:rsidRPr="006C6DF1">
        <w:rPr>
          <w:rFonts w:ascii="Times New Roman" w:hAnsi="Times New Roman" w:cs="Times New Roman"/>
          <w:sz w:val="28"/>
          <w:szCs w:val="28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30BFD44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093087D" w14:textId="632F9713" w:rsidR="00246308" w:rsidRPr="006C6DF1" w:rsidRDefault="006C6DF1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3AF4F" wp14:editId="455C87BC">
            <wp:extent cx="2552700" cy="8332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516" cy="8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7121" w14:textId="77777777" w:rsidR="006C6DF1" w:rsidRDefault="008F3CFF" w:rsidP="006C6D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C6DF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C6DF1">
        <w:rPr>
          <w:rFonts w:ascii="Times New Roman" w:hAnsi="Times New Roman" w:cs="Times New Roman"/>
          <w:sz w:val="28"/>
          <w:szCs w:val="28"/>
        </w:rPr>
        <w:t>” is positively skewed where as “speed” is negatively skewed</w:t>
      </w:r>
    </w:p>
    <w:p w14:paraId="1A38A6C0" w14:textId="5EB6B3EB" w:rsidR="006C6DF1" w:rsidRDefault="006D0534" w:rsidP="006C6D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 xml:space="preserve">Both </w:t>
      </w:r>
      <w:proofErr w:type="spellStart"/>
      <w:r w:rsidRPr="006C6DF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C6DF1">
        <w:rPr>
          <w:rFonts w:ascii="Times New Roman" w:hAnsi="Times New Roman" w:cs="Times New Roman"/>
          <w:sz w:val="28"/>
          <w:szCs w:val="28"/>
        </w:rPr>
        <w:t xml:space="preserve"> and speed has positive </w:t>
      </w:r>
      <w:r w:rsidR="002C4DBE" w:rsidRPr="006C6DF1">
        <w:rPr>
          <w:rFonts w:ascii="Times New Roman" w:hAnsi="Times New Roman" w:cs="Times New Roman"/>
          <w:sz w:val="28"/>
          <w:szCs w:val="28"/>
        </w:rPr>
        <w:t>Kurtosis</w:t>
      </w:r>
      <w:r w:rsidR="006C6DF1">
        <w:rPr>
          <w:rFonts w:ascii="Times New Roman" w:hAnsi="Times New Roman" w:cs="Times New Roman"/>
          <w:sz w:val="28"/>
          <w:szCs w:val="28"/>
        </w:rPr>
        <w:t>, which means the data is right side tilted.</w:t>
      </w:r>
    </w:p>
    <w:p w14:paraId="22212507" w14:textId="4107E256" w:rsidR="006C6DF1" w:rsidRPr="006C6DF1" w:rsidRDefault="006C6DF1" w:rsidP="006C6D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C6DF1">
        <w:rPr>
          <w:rFonts w:ascii="Times New Roman" w:hAnsi="Times New Roman" w:cs="Times New Roman"/>
          <w:sz w:val="28"/>
          <w:szCs w:val="28"/>
        </w:rPr>
        <w:t xml:space="preserve">o cover the most </w:t>
      </w:r>
      <w:proofErr w:type="spellStart"/>
      <w:r w:rsidRPr="006C6DF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6C6DF1">
        <w:rPr>
          <w:rFonts w:ascii="Times New Roman" w:hAnsi="Times New Roman" w:cs="Times New Roman"/>
          <w:sz w:val="28"/>
          <w:szCs w:val="28"/>
        </w:rPr>
        <w:t xml:space="preserve"> the speed should be between 9-20.</w:t>
      </w: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57DDBF0C" w:rsidR="00F00259" w:rsidRDefault="00F00259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70F72585" w14:textId="4213C4F3" w:rsidR="006C6DF1" w:rsidRPr="006C6DF1" w:rsidRDefault="006C6DF1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77054" wp14:editId="001CF606">
            <wp:extent cx="206721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066" w14:textId="409D9242" w:rsidR="00441FA5" w:rsidRPr="006C6DF1" w:rsidRDefault="00441FA5" w:rsidP="00441FA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“SP” is positively skewed where as “WT” is negatively skewed</w:t>
      </w:r>
    </w:p>
    <w:p w14:paraId="47340595" w14:textId="3EF6CB33" w:rsidR="005602D7" w:rsidRPr="006C6DF1" w:rsidRDefault="00441FA5" w:rsidP="00441FA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C6DF1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6C6DF1">
        <w:rPr>
          <w:rFonts w:ascii="Times New Roman" w:hAnsi="Times New Roman" w:cs="Times New Roman"/>
          <w:sz w:val="28"/>
          <w:szCs w:val="28"/>
        </w:rPr>
        <w:t xml:space="preserve"> </w:t>
      </w:r>
      <w:r w:rsidR="00BC621C" w:rsidRPr="006C6DF1">
        <w:rPr>
          <w:rFonts w:ascii="Times New Roman" w:hAnsi="Times New Roman" w:cs="Times New Roman"/>
          <w:sz w:val="28"/>
          <w:szCs w:val="28"/>
        </w:rPr>
        <w:t>SP</w:t>
      </w:r>
      <w:r w:rsidRPr="006C6DF1">
        <w:rPr>
          <w:rFonts w:ascii="Times New Roman" w:hAnsi="Times New Roman" w:cs="Times New Roman"/>
          <w:sz w:val="28"/>
          <w:szCs w:val="28"/>
        </w:rPr>
        <w:t xml:space="preserve"> has distribution of data concentrated on the left whereas </w:t>
      </w:r>
      <w:r w:rsidR="00BC621C" w:rsidRPr="006C6DF1">
        <w:rPr>
          <w:rFonts w:ascii="Times New Roman" w:hAnsi="Times New Roman" w:cs="Times New Roman"/>
          <w:sz w:val="28"/>
          <w:szCs w:val="28"/>
        </w:rPr>
        <w:t>WT</w:t>
      </w:r>
      <w:r w:rsidRPr="006C6DF1">
        <w:rPr>
          <w:rFonts w:ascii="Times New Roman" w:hAnsi="Times New Roman" w:cs="Times New Roman"/>
          <w:sz w:val="28"/>
          <w:szCs w:val="28"/>
        </w:rPr>
        <w:t xml:space="preserve"> has distribution on the right. As seen in the graph</w:t>
      </w:r>
    </w:p>
    <w:p w14:paraId="16D3E6A5" w14:textId="225DBC1B" w:rsidR="00BC621C" w:rsidRPr="006C6DF1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Both WT and SP has positive Kurtosis</w:t>
      </w:r>
      <w:r w:rsidR="006C6DF1">
        <w:rPr>
          <w:rFonts w:ascii="Times New Roman" w:hAnsi="Times New Roman" w:cs="Times New Roman"/>
          <w:sz w:val="28"/>
          <w:szCs w:val="28"/>
        </w:rPr>
        <w:t>.</w:t>
      </w:r>
    </w:p>
    <w:p w14:paraId="010614A8" w14:textId="494034B4" w:rsidR="006C6DF1" w:rsidRPr="006C6DF1" w:rsidRDefault="006C6DF1" w:rsidP="006C6D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6C6DF1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0" o:title="histogram"/>
          </v:shape>
        </w:pict>
      </w:r>
    </w:p>
    <w:p w14:paraId="18BC285A" w14:textId="77777777" w:rsidR="003B65B3" w:rsidRPr="006C6DF1" w:rsidRDefault="00D96717" w:rsidP="00707DE3">
      <w:p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ANS :</w:t>
      </w:r>
      <w:r w:rsidR="003B65B3" w:rsidRPr="006C6D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066923" w14:textId="2F19AFBB" w:rsidR="003B65B3" w:rsidRPr="006C6DF1" w:rsidRDefault="002F0F43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 xml:space="preserve">Majority of the Chicks has weight </w:t>
      </w:r>
      <w:r w:rsidR="00BA7233" w:rsidRPr="006C6DF1">
        <w:rPr>
          <w:rFonts w:ascii="Times New Roman" w:hAnsi="Times New Roman" w:cs="Times New Roman"/>
          <w:sz w:val="28"/>
          <w:szCs w:val="28"/>
        </w:rPr>
        <w:t>in range</w:t>
      </w:r>
      <w:r w:rsidRPr="006C6DF1">
        <w:rPr>
          <w:rFonts w:ascii="Times New Roman" w:hAnsi="Times New Roman" w:cs="Times New Roman"/>
          <w:sz w:val="28"/>
          <w:szCs w:val="28"/>
        </w:rPr>
        <w:t xml:space="preserve"> 50 – 100</w:t>
      </w:r>
      <w:r w:rsidR="00BA7233" w:rsidRPr="006C6DF1">
        <w:rPr>
          <w:rFonts w:ascii="Times New Roman" w:hAnsi="Times New Roman" w:cs="Times New Roman"/>
          <w:sz w:val="28"/>
          <w:szCs w:val="28"/>
        </w:rPr>
        <w:t xml:space="preserve">, followed by 100 -150 </w:t>
      </w:r>
      <w:r w:rsidR="003B65B3" w:rsidRPr="006C6DF1">
        <w:rPr>
          <w:rFonts w:ascii="Times New Roman" w:hAnsi="Times New Roman" w:cs="Times New Roman"/>
          <w:sz w:val="28"/>
          <w:szCs w:val="28"/>
        </w:rPr>
        <w:t>and 150 – 200</w:t>
      </w:r>
    </w:p>
    <w:p w14:paraId="07775D6C" w14:textId="4FFD5F47" w:rsidR="003B65B3" w:rsidRPr="006C6DF1" w:rsidRDefault="00A26CF8" w:rsidP="003B65B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The data is positively Skewed</w:t>
      </w:r>
    </w:p>
    <w:p w14:paraId="1A2F96EE" w14:textId="545899B2" w:rsidR="00370249" w:rsidRPr="006C6DF1" w:rsidRDefault="005410D3" w:rsidP="00761B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C6DF1">
        <w:rPr>
          <w:rFonts w:ascii="Times New Roman" w:hAnsi="Times New Roman" w:cs="Times New Roman"/>
          <w:sz w:val="28"/>
          <w:szCs w:val="28"/>
        </w:rPr>
        <w:t>3 Categories can be define (Under weight &gt;50</w:t>
      </w:r>
      <w:r w:rsidR="00370249" w:rsidRPr="006C6DF1">
        <w:rPr>
          <w:rFonts w:ascii="Times New Roman" w:hAnsi="Times New Roman" w:cs="Times New Roman"/>
          <w:sz w:val="28"/>
          <w:szCs w:val="28"/>
        </w:rPr>
        <w:t>; Avg weight</w:t>
      </w:r>
      <w:r w:rsidR="00A44DDE" w:rsidRPr="006C6DF1">
        <w:rPr>
          <w:rFonts w:ascii="Times New Roman" w:hAnsi="Times New Roman" w:cs="Times New Roman"/>
          <w:sz w:val="28"/>
          <w:szCs w:val="28"/>
        </w:rPr>
        <w:t xml:space="preserve"> </w:t>
      </w:r>
      <w:r w:rsidR="00761B5A" w:rsidRPr="006C6DF1">
        <w:rPr>
          <w:rFonts w:ascii="Times New Roman" w:hAnsi="Times New Roman" w:cs="Times New Roman"/>
          <w:sz w:val="28"/>
          <w:szCs w:val="28"/>
        </w:rPr>
        <w:t>51 – 150; Over weight &lt;150)</w:t>
      </w:r>
    </w:p>
    <w:p w14:paraId="2C4F0B65" w14:textId="77777777" w:rsidR="00707DE3" w:rsidRPr="006C6DF1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Default="006C6DF1" w:rsidP="00EB6B5E">
      <w:r w:rsidRPr="006C6DF1">
        <w:rPr>
          <w:rFonts w:ascii="Times New Roman" w:hAnsi="Times New Roman" w:cs="Times New Roman"/>
          <w:sz w:val="28"/>
          <w:szCs w:val="28"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6C6DF1" w:rsidRDefault="00761B5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618052D8" w14:textId="063F1424" w:rsidR="00755B20" w:rsidRPr="006C6DF1" w:rsidRDefault="00755B20" w:rsidP="00755B20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Data has outliers</w:t>
      </w:r>
    </w:p>
    <w:p w14:paraId="3CF45117" w14:textId="3ACAF8E3" w:rsidR="00755B20" w:rsidRPr="006C6DF1" w:rsidRDefault="00755B20" w:rsidP="00755B20">
      <w:pPr>
        <w:pStyle w:val="ListParagraph"/>
        <w:numPr>
          <w:ilvl w:val="0"/>
          <w:numId w:val="14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1032"/>
        <w:gridCol w:w="1032"/>
        <w:gridCol w:w="1032"/>
      </w:tblGrid>
      <w:tr w:rsidR="00A72F23" w:rsidRPr="006C6DF1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6C6DF1" w:rsidRDefault="00A72F23" w:rsidP="00A72F23">
            <w:pPr>
              <w:spacing w:after="0" w:line="240" w:lineRule="auto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A72F23" w:rsidRPr="006C6DF1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6C6DF1" w:rsidRDefault="00A72F23" w:rsidP="00A72F23">
            <w:pPr>
              <w:spacing w:after="0" w:line="240" w:lineRule="auto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201.17</w:t>
            </w:r>
          </w:p>
        </w:tc>
      </w:tr>
      <w:tr w:rsidR="00A72F23" w:rsidRPr="006C6DF1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6C6DF1" w:rsidRDefault="00A72F23" w:rsidP="00A72F23">
            <w:pPr>
              <w:spacing w:after="0" w:line="240" w:lineRule="auto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6C6DF1" w:rsidRDefault="00A72F23" w:rsidP="00A72F23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</w:pPr>
            <w:r w:rsidRPr="006C6DF1">
              <w:rPr>
                <w:rFonts w:ascii="Segoe UI" w:hAnsi="Segoe UI" w:cs="Segoe UI"/>
                <w:color w:val="000000"/>
                <w:sz w:val="28"/>
                <w:szCs w:val="28"/>
                <w:shd w:val="clear" w:color="auto" w:fill="FFFFFF"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6C6DF1" w:rsidRDefault="00BC5748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DD5854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C6DF1" w:rsidRDefault="00396AEA" w:rsidP="00BF683B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34,36,36,38,38,39,39,40,40,41,41,41,41,42,42,45,49,56</w:t>
      </w:r>
    </w:p>
    <w:p w14:paraId="459EEB69" w14:textId="6DCD4BA5" w:rsidR="00BF683B" w:rsidRPr="006C6DF1" w:rsidRDefault="00BF683B" w:rsidP="00BF683B">
      <w:pPr>
        <w:pStyle w:val="ListParagraph"/>
        <w:numPr>
          <w:ilvl w:val="0"/>
          <w:numId w:val="4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 mean,</w:t>
      </w:r>
      <w:r w:rsidR="00396AEA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median,</w:t>
      </w:r>
      <w:r w:rsidR="00396AEA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variance,</w:t>
      </w:r>
      <w:r w:rsidR="00396AEA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deviation</w:t>
      </w:r>
      <w:r w:rsidR="00396AEA"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C6DF1" w:rsidRDefault="006F6666" w:rsidP="006F666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C6DF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86"/>
      </w:tblGrid>
      <w:tr w:rsidR="006F6666" w:rsidRPr="006C6DF1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8E418C" w:rsidRDefault="006F6666" w:rsidP="006F6666">
            <w:pPr>
              <w:spacing w:after="0" w:line="240" w:lineRule="auto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8E418C" w:rsidRDefault="006F6666" w:rsidP="006F6666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41</w:t>
            </w:r>
          </w:p>
        </w:tc>
      </w:tr>
      <w:tr w:rsidR="006F6666" w:rsidRPr="006C6DF1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8E418C" w:rsidRDefault="006F6666" w:rsidP="006F6666">
            <w:pPr>
              <w:spacing w:after="0" w:line="240" w:lineRule="auto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8E418C" w:rsidRDefault="006F6666" w:rsidP="006F6666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40.5</w:t>
            </w:r>
            <w:r w:rsidR="00431301"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6F6666" w:rsidRPr="006C6DF1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8E418C" w:rsidRDefault="006F6666" w:rsidP="006F6666">
            <w:pPr>
              <w:spacing w:after="0" w:line="240" w:lineRule="auto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8E418C" w:rsidRDefault="006F6666" w:rsidP="006F6666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25.5</w:t>
            </w:r>
            <w:r w:rsidR="00431301"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6F6666" w:rsidRPr="006C6DF1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8E418C" w:rsidRDefault="006F6666" w:rsidP="006F6666">
            <w:pPr>
              <w:spacing w:after="0" w:line="240" w:lineRule="auto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8E418C" w:rsidRDefault="006F6666" w:rsidP="006F6666">
            <w:pPr>
              <w:spacing w:after="0" w:line="240" w:lineRule="auto"/>
              <w:jc w:val="right"/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E418C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5.05</w:t>
            </w:r>
          </w:p>
        </w:tc>
      </w:tr>
    </w:tbl>
    <w:p w14:paraId="2A98896A" w14:textId="77777777" w:rsidR="006F6666" w:rsidRPr="006C6DF1" w:rsidRDefault="006F6666" w:rsidP="006F6666">
      <w:pPr>
        <w:pStyle w:val="ListParagrap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8E418C" w:rsidRDefault="00AE19FE" w:rsidP="00AE19FE">
      <w:pPr>
        <w:rPr>
          <w:sz w:val="28"/>
          <w:szCs w:val="28"/>
        </w:rPr>
      </w:pPr>
      <w:r w:rsidRPr="008E418C">
        <w:rPr>
          <w:sz w:val="28"/>
          <w:szCs w:val="28"/>
        </w:rPr>
        <w:t>ANS:</w:t>
      </w:r>
    </w:p>
    <w:p w14:paraId="5378D21B" w14:textId="7451E84B" w:rsidR="006F6666" w:rsidRPr="008E418C" w:rsidRDefault="00831975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E418C">
        <w:rPr>
          <w:sz w:val="28"/>
          <w:szCs w:val="28"/>
        </w:rPr>
        <w:t>Not normally distributed</w:t>
      </w:r>
    </w:p>
    <w:p w14:paraId="05498B39" w14:textId="407E91A9" w:rsidR="00831975" w:rsidRPr="008E418C" w:rsidRDefault="009B3451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E418C">
        <w:rPr>
          <w:sz w:val="28"/>
          <w:szCs w:val="28"/>
        </w:rPr>
        <w:lastRenderedPageBreak/>
        <w:t>Data has outlier</w:t>
      </w:r>
    </w:p>
    <w:p w14:paraId="52A6DA3C" w14:textId="32B2D46D" w:rsidR="00751FF2" w:rsidRPr="008E418C" w:rsidRDefault="00751FF2" w:rsidP="0083197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E418C">
        <w:rPr>
          <w:sz w:val="28"/>
          <w:szCs w:val="28"/>
        </w:rPr>
        <w:t xml:space="preserve">Majority of the students scored between </w:t>
      </w:r>
      <w:r w:rsidR="00660002" w:rsidRPr="008E418C">
        <w:rPr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Pr="008E418C" w:rsidRDefault="002D3AA4" w:rsidP="00CB08A5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  <w:r w:rsidR="00921666" w:rsidRPr="008E418C">
        <w:rPr>
          <w:sz w:val="28"/>
          <w:szCs w:val="28"/>
        </w:rPr>
        <w:t>S</w:t>
      </w:r>
      <w:r w:rsidRPr="008E418C">
        <w:rPr>
          <w:sz w:val="28"/>
          <w:szCs w:val="28"/>
        </w:rPr>
        <w:t xml:space="preserve">kewness = 0. </w:t>
      </w:r>
      <w:r w:rsidR="00C51F6D" w:rsidRPr="008E418C">
        <w:rPr>
          <w:sz w:val="28"/>
          <w:szCs w:val="28"/>
        </w:rPr>
        <w:t>P</w:t>
      </w:r>
      <w:r w:rsidRPr="008E418C">
        <w:rPr>
          <w:sz w:val="28"/>
          <w:szCs w:val="28"/>
        </w:rPr>
        <w:t xml:space="preserve">erfectly symmetric </w:t>
      </w:r>
      <w:proofErr w:type="gramStart"/>
      <w:r w:rsidRPr="008E418C">
        <w:rPr>
          <w:sz w:val="28"/>
          <w:szCs w:val="28"/>
        </w:rPr>
        <w:t>bell shaped</w:t>
      </w:r>
      <w:proofErr w:type="gramEnd"/>
      <w:r w:rsidRPr="008E418C">
        <w:rPr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Pr="008E418C" w:rsidRDefault="005E3322" w:rsidP="00CB08A5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Skewness = </w:t>
      </w:r>
      <w:r w:rsidR="00012683" w:rsidRPr="008E418C">
        <w:rPr>
          <w:sz w:val="28"/>
          <w:szCs w:val="28"/>
        </w:rPr>
        <w:t>Positive</w:t>
      </w:r>
      <w:r w:rsidRPr="008E418C">
        <w:rPr>
          <w:sz w:val="28"/>
          <w:szCs w:val="28"/>
        </w:rPr>
        <w:t xml:space="preserve">. </w:t>
      </w:r>
      <w:r w:rsidR="006E7715" w:rsidRPr="008E418C">
        <w:rPr>
          <w:sz w:val="28"/>
          <w:szCs w:val="28"/>
        </w:rPr>
        <w:t xml:space="preserve">Data is </w:t>
      </w:r>
      <w:r w:rsidR="009153D7" w:rsidRPr="008E418C">
        <w:rPr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Pr="008E418C" w:rsidRDefault="009153D7" w:rsidP="009153D7">
      <w:pPr>
        <w:rPr>
          <w:sz w:val="28"/>
          <w:szCs w:val="28"/>
        </w:rPr>
      </w:pPr>
      <w:r w:rsidRPr="008E418C">
        <w:rPr>
          <w:sz w:val="28"/>
          <w:szCs w:val="28"/>
        </w:rPr>
        <w:t>ANS: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Pr="008E418C" w:rsidRDefault="004F469B" w:rsidP="004F469B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  <w:r w:rsidR="006837B9" w:rsidRPr="008E418C">
        <w:rPr>
          <w:sz w:val="28"/>
          <w:szCs w:val="28"/>
        </w:rPr>
        <w:t xml:space="preserve">High </w:t>
      </w:r>
      <w:r w:rsidR="00991DE2" w:rsidRPr="008E418C">
        <w:rPr>
          <w:sz w:val="28"/>
          <w:szCs w:val="28"/>
        </w:rPr>
        <w:t xml:space="preserve">and narrow </w:t>
      </w:r>
      <w:r w:rsidR="006837B9" w:rsidRPr="008E418C">
        <w:rPr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Pr="008E418C" w:rsidRDefault="006837B9" w:rsidP="006837B9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  <w:r w:rsidR="00991DE2" w:rsidRPr="008E418C">
        <w:rPr>
          <w:sz w:val="28"/>
          <w:szCs w:val="28"/>
        </w:rPr>
        <w:t>wide</w:t>
      </w:r>
      <w:r w:rsidR="00A441D3" w:rsidRPr="008E418C">
        <w:rPr>
          <w:sz w:val="28"/>
          <w:szCs w:val="28"/>
        </w:rPr>
        <w:t>r</w:t>
      </w:r>
      <w:r w:rsidRPr="008E418C">
        <w:rPr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C6D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2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Pr="008E418C" w:rsidRDefault="00214F48" w:rsidP="00CB08A5">
      <w:pPr>
        <w:rPr>
          <w:sz w:val="28"/>
          <w:szCs w:val="28"/>
        </w:rPr>
      </w:pPr>
      <w:proofErr w:type="gramStart"/>
      <w:r w:rsidRPr="008E418C">
        <w:rPr>
          <w:sz w:val="28"/>
          <w:szCs w:val="28"/>
        </w:rPr>
        <w:lastRenderedPageBreak/>
        <w:t>ANS :</w:t>
      </w:r>
      <w:proofErr w:type="gramEnd"/>
      <w:r w:rsidRPr="008E418C">
        <w:rPr>
          <w:sz w:val="28"/>
          <w:szCs w:val="28"/>
        </w:rPr>
        <w:t xml:space="preserve"> The data is not symmetric. Data is </w:t>
      </w:r>
      <w:r w:rsidR="00934B2D" w:rsidRPr="008E418C">
        <w:rPr>
          <w:sz w:val="28"/>
          <w:szCs w:val="28"/>
        </w:rPr>
        <w:t xml:space="preserve">more </w:t>
      </w:r>
      <w:r w:rsidRPr="008E418C">
        <w:rPr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8E418C">
        <w:rPr>
          <w:sz w:val="28"/>
          <w:szCs w:val="28"/>
        </w:rPr>
        <w:t>ANS :</w:t>
      </w:r>
      <w:proofErr w:type="gramEnd"/>
      <w:r w:rsidRPr="008E418C">
        <w:rPr>
          <w:sz w:val="28"/>
          <w:szCs w:val="28"/>
        </w:rPr>
        <w:t xml:space="preserve"> </w:t>
      </w:r>
      <w:r w:rsidR="006444EA" w:rsidRPr="008E418C">
        <w:rPr>
          <w:sz w:val="28"/>
          <w:szCs w:val="28"/>
        </w:rPr>
        <w:t>Skewness = Negative</w:t>
      </w:r>
    </w:p>
    <w:p w14:paraId="310E9FCC" w14:textId="5141B9B4" w:rsidR="004D09A1" w:rsidRPr="008E418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8E418C">
        <w:rPr>
          <w:sz w:val="28"/>
          <w:szCs w:val="28"/>
        </w:rPr>
        <w:t xml:space="preserve">ANS: </w:t>
      </w:r>
      <w:r w:rsidR="009B17C9" w:rsidRPr="008E418C">
        <w:rPr>
          <w:sz w:val="28"/>
          <w:szCs w:val="28"/>
        </w:rPr>
        <w:t xml:space="preserve">IQR data </w:t>
      </w:r>
      <w:r w:rsidR="00D45FAF" w:rsidRPr="008E418C">
        <w:rPr>
          <w:sz w:val="28"/>
          <w:szCs w:val="28"/>
        </w:rPr>
        <w:t>is 8 (</w:t>
      </w:r>
      <w:r w:rsidR="009E24E9" w:rsidRPr="008E418C">
        <w:rPr>
          <w:sz w:val="28"/>
          <w:szCs w:val="28"/>
        </w:rPr>
        <w:t>18-10</w:t>
      </w:r>
      <w:r w:rsidR="00CE01D4" w:rsidRPr="008E418C">
        <w:rPr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C6DF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8E418C" w:rsidRDefault="00B626C8" w:rsidP="00B626C8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</w:p>
    <w:p w14:paraId="0AD66055" w14:textId="075033BF" w:rsidR="00B626C8" w:rsidRPr="008E418C" w:rsidRDefault="00B626C8" w:rsidP="00B626C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E418C">
        <w:rPr>
          <w:sz w:val="28"/>
          <w:szCs w:val="28"/>
        </w:rPr>
        <w:t>Data is Normally Distributed</w:t>
      </w:r>
      <w:r w:rsidR="00BE757E" w:rsidRPr="008E418C">
        <w:rPr>
          <w:sz w:val="28"/>
          <w:szCs w:val="28"/>
        </w:rPr>
        <w:t xml:space="preserve">. No Outliers. Center around </w:t>
      </w:r>
      <w:r w:rsidR="00742206" w:rsidRPr="008E418C">
        <w:rPr>
          <w:sz w:val="28"/>
          <w:szCs w:val="28"/>
        </w:rPr>
        <w:t>262.5</w:t>
      </w:r>
      <w:r w:rsidR="006464FF" w:rsidRPr="008E418C">
        <w:rPr>
          <w:sz w:val="28"/>
          <w:szCs w:val="28"/>
        </w:rPr>
        <w:t xml:space="preserve">. Comparatively, </w:t>
      </w:r>
      <w:r w:rsidR="001C47BF" w:rsidRPr="008E418C">
        <w:rPr>
          <w:sz w:val="28"/>
          <w:szCs w:val="28"/>
        </w:rPr>
        <w:t xml:space="preserve">first graph has </w:t>
      </w:r>
      <w:r w:rsidR="00603C52" w:rsidRPr="008E418C">
        <w:rPr>
          <w:sz w:val="28"/>
          <w:szCs w:val="28"/>
        </w:rPr>
        <w:t>less range</w:t>
      </w:r>
    </w:p>
    <w:p w14:paraId="558A35F2" w14:textId="14AED823" w:rsidR="00742206" w:rsidRPr="008E418C" w:rsidRDefault="00DA107E" w:rsidP="00B626C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8E418C">
        <w:rPr>
          <w:sz w:val="28"/>
          <w:szCs w:val="28"/>
        </w:rPr>
        <w:t>Data is Normally Distributed. No Outliers. Center around 262.5</w:t>
      </w:r>
    </w:p>
    <w:p w14:paraId="12A676C8" w14:textId="4CEEA4D2" w:rsidR="00603C52" w:rsidRPr="008E418C" w:rsidRDefault="00603C52" w:rsidP="00603C52">
      <w:pPr>
        <w:pStyle w:val="ListParagraph"/>
        <w:rPr>
          <w:sz w:val="28"/>
          <w:szCs w:val="28"/>
        </w:rPr>
      </w:pPr>
      <w:r w:rsidRPr="008E418C">
        <w:rPr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8E418C" w:rsidRDefault="00B16531" w:rsidP="00B16531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  <w:r w:rsidR="007645C6" w:rsidRPr="008E418C">
        <w:rPr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8E418C">
        <w:rPr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8E418C" w:rsidRDefault="007645C6" w:rsidP="007645C6">
      <w:pPr>
        <w:pStyle w:val="ListParagraph"/>
        <w:ind w:left="1440"/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  <w:r w:rsidR="00553E64" w:rsidRPr="008E418C">
        <w:rPr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8E418C">
        <w:rPr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8E418C">
        <w:rPr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8E418C" w:rsidRDefault="0008609D" w:rsidP="00EB518A">
      <w:pPr>
        <w:rPr>
          <w:sz w:val="28"/>
          <w:szCs w:val="28"/>
        </w:rPr>
      </w:pPr>
      <w:r w:rsidRPr="008E418C">
        <w:rPr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8E418C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8E418C" w:rsidRDefault="0008609D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8E418C" w:rsidRDefault="00F70943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 xml:space="preserve">± </w:t>
            </w:r>
            <w:r w:rsidR="0008609D" w:rsidRPr="008E418C">
              <w:rPr>
                <w:sz w:val="28"/>
                <w:szCs w:val="28"/>
              </w:rPr>
              <w:t>1.711</w:t>
            </w:r>
          </w:p>
        </w:tc>
      </w:tr>
      <w:tr w:rsidR="00F70943" w:rsidRPr="008E418C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8E418C" w:rsidRDefault="0008609D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8E418C" w:rsidRDefault="00F70943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 xml:space="preserve">± </w:t>
            </w:r>
            <w:r w:rsidR="0008609D" w:rsidRPr="008E418C">
              <w:rPr>
                <w:sz w:val="28"/>
                <w:szCs w:val="28"/>
              </w:rPr>
              <w:t>1.828</w:t>
            </w:r>
          </w:p>
        </w:tc>
      </w:tr>
      <w:tr w:rsidR="00F70943" w:rsidRPr="008E418C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8E418C" w:rsidRDefault="0008609D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8E418C" w:rsidRDefault="00F70943" w:rsidP="0008609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 xml:space="preserve">± </w:t>
            </w:r>
            <w:r w:rsidR="0008609D" w:rsidRPr="008E418C">
              <w:rPr>
                <w:sz w:val="28"/>
                <w:szCs w:val="28"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8E418C" w:rsidRDefault="00F70943" w:rsidP="00CB08A5">
      <w:pPr>
        <w:rPr>
          <w:sz w:val="28"/>
          <w:szCs w:val="28"/>
        </w:rPr>
      </w:pPr>
      <w:r w:rsidRPr="008E418C">
        <w:rPr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8E418C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 xml:space="preserve"> ± 2.060</w:t>
            </w:r>
          </w:p>
        </w:tc>
      </w:tr>
      <w:tr w:rsidR="007C4A14" w:rsidRPr="008E418C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± 2.167</w:t>
            </w:r>
          </w:p>
        </w:tc>
      </w:tr>
      <w:tr w:rsidR="007C4A14" w:rsidRPr="008E418C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8E418C" w:rsidRDefault="007C4A14" w:rsidP="007C4A14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8E418C">
              <w:rPr>
                <w:sz w:val="28"/>
                <w:szCs w:val="28"/>
              </w:rPr>
              <w:t>± 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8E418C" w:rsidRDefault="00D201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8E418C" w:rsidRDefault="00D20148" w:rsidP="00D2014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t-score = -0.4714,</w:t>
      </w:r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 xml:space="preserve">Degree of freedom = 17 </w:t>
      </w:r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  <w:t>P(</w:t>
      </w:r>
      <w:proofErr w:type="gramStart"/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t)   </w:t>
      </w:r>
      <w:proofErr w:type="gramEnd"/>
      <w:r w:rsidRPr="008E41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C6DF1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E418C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Aftab Naik</cp:lastModifiedBy>
  <cp:revision>94</cp:revision>
  <dcterms:created xsi:type="dcterms:W3CDTF">2020-05-30T10:58:00Z</dcterms:created>
  <dcterms:modified xsi:type="dcterms:W3CDTF">2023-10-27T10:17:00Z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