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46D" w:rsidRDefault="00C4546D" w:rsidP="00C4546D">
      <w:pPr>
        <w:pStyle w:val="Heading2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P2. Feasibility Study</w:t>
      </w:r>
    </w:p>
    <w:p w:rsidR="00C4546D" w:rsidRDefault="00C4546D" w:rsidP="00C4546D">
      <w:pPr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Before starting the requirements work, we looked at feasibility from five angles.</w:t>
      </w:r>
    </w:p>
    <w:p w:rsidR="00C4546D" w:rsidRDefault="00C4546D" w:rsidP="00C4546D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Table 3: Feasibility assessment</w:t>
      </w:r>
    </w:p>
    <w:tbl>
      <w:tblPr>
        <w:tblW w:w="9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6235"/>
        <w:gridCol w:w="1474"/>
      </w:tblGrid>
      <w:tr w:rsidR="00C4546D" w:rsidTr="00C4546D">
        <w:trPr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Dimension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Assessment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Verdict</w:t>
            </w:r>
          </w:p>
        </w:tc>
      </w:tr>
      <w:tr w:rsidR="00C4546D" w:rsidTr="00C4546D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Technical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Java Swing, JDBC and MySQL are mature, well documented and already part of the course. No new technology is needed. Clash detection reduces to interval-overlap checks on (day, start, end), and seat control to transactional updates.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Feasible</w:t>
            </w:r>
          </w:p>
        </w:tc>
      </w:tr>
      <w:tr w:rsidR="00C4546D" w:rsidTr="00C4546D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Economic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All tools are free or open source (see P4.3), so there are no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licence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costs. The only cost is team effort of about 462 person-hours. Benefits are less manual work, fewer errors and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centralised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data.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Feasible</w:t>
            </w:r>
          </w:p>
        </w:tc>
      </w:tr>
      <w:tr w:rsidR="00C4546D" w:rsidTr="00C4546D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Operational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Users are administrators and students with basic computer skills. The desktop application runs on standard Windows machines and follows familiar form-and-table patterns. A user manual and in-app help support adoption.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Feasible</w:t>
            </w:r>
          </w:p>
        </w:tc>
      </w:tr>
      <w:tr w:rsidR="00C4546D" w:rsidTr="00C4546D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Schedule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462 hours over 14 weeks is about 16.5 hours per member per week. This is achievable with three increments, a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prioritised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scope (High requirements first) and a 15% reserve.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Feasible with risk (see R5)</w:t>
            </w:r>
          </w:p>
        </w:tc>
      </w:tr>
      <w:tr w:rsidR="00C4546D" w:rsidTr="00C4546D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Legal and ethical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The system stores student personal data. It must follow the university data policy, store passwords only as hashes, restrict access by role and log administrative changes.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546D" w:rsidRDefault="00C4546D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Feasible</w:t>
            </w:r>
          </w:p>
        </w:tc>
      </w:tr>
    </w:tbl>
    <w:p w:rsidR="00C4546D" w:rsidRDefault="00C4546D" w:rsidP="00C4546D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C4546D" w:rsidRDefault="00C4546D" w:rsidP="00C4546D">
      <w:pPr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color w:val="000000" w:themeColor="text1"/>
        </w:rPr>
        <w:t xml:space="preserve">Conclusion: </w:t>
      </w:r>
      <w:r>
        <w:rPr>
          <w:rFonts w:asciiTheme="majorBidi" w:hAnsiTheme="majorBidi" w:cstheme="majorBidi"/>
          <w:color w:val="000000" w:themeColor="text1"/>
        </w:rPr>
        <w:t>the project is feasible within our constraints, so we can move on to requirements analysis.</w:t>
      </w:r>
    </w:p>
    <w:p w:rsidR="00013B4C" w:rsidRDefault="00013B4C">
      <w:pPr>
        <w:rPr>
          <w:rFonts w:asciiTheme="majorBidi" w:hAnsiTheme="majorBidi" w:cstheme="majorBidi"/>
          <w:color w:val="000000" w:themeColor="text1"/>
        </w:rPr>
      </w:pPr>
      <w:bookmarkStart w:id="0" w:name="_GoBack"/>
      <w:bookmarkEnd w:id="0"/>
    </w:p>
    <w:p w:rsidR="00C4546D" w:rsidRDefault="00C4546D"/>
    <w:sectPr w:rsidR="00C45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46D"/>
    <w:rsid w:val="00013B4C"/>
    <w:rsid w:val="00C4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D299A-2B24-40AE-8518-561A35FC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46D"/>
    <w:pPr>
      <w:spacing w:after="120" w:line="268" w:lineRule="auto"/>
    </w:pPr>
    <w:rPr>
      <w:rFonts w:ascii="Calibri" w:eastAsia="Calibri" w:hAnsi="Calibri" w:cs="Calibri"/>
      <w:sz w:val="21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6D"/>
    <w:pPr>
      <w:keepNext/>
      <w:keepLines/>
      <w:spacing w:before="320"/>
      <w:outlineLvl w:val="1"/>
    </w:pPr>
    <w:rPr>
      <w:b/>
      <w:bCs/>
      <w:color w:val="1F3A5F"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4546D"/>
    <w:rPr>
      <w:rFonts w:ascii="Calibri" w:eastAsia="Calibri" w:hAnsi="Calibri" w:cs="Calibri"/>
      <w:b/>
      <w:bCs/>
      <w:color w:val="1F3A5F"/>
      <w:sz w:val="30"/>
      <w:szCs w:val="26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546D"/>
    <w:pPr>
      <w:spacing w:after="200" w:line="240" w:lineRule="auto"/>
    </w:pPr>
    <w:rPr>
      <w:bCs/>
      <w:i/>
      <w:color w:val="5B677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2026-10-28T16:15:00Z</dcterms:created>
  <dcterms:modified xsi:type="dcterms:W3CDTF">2026-10-28T16:17:00Z</dcterms:modified>
</cp:coreProperties>
</file>