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E532E">
      <w:pPr>
        <w:pStyle w:val="2"/>
        <w:keepNext/>
        <w:spacing w:before="360" w:after="160" w:line="312" w:lineRule="auto"/>
        <w:jc w:val="center"/>
      </w:pPr>
      <w:bookmarkStart w:id="0" w:name="_Toc100000"/>
      <w:r>
        <w:rPr>
          <w:rFonts w:ascii="Times New Roman" w:eastAsia="黑体"/>
          <w:b/>
          <w:bCs/>
          <w:color w:val="000000"/>
          <w:sz w:val="32"/>
          <w:szCs w:val="32"/>
        </w:rPr>
        <w:t>1  课题概述</w:t>
      </w:r>
      <w:bookmarkEnd w:id="0"/>
    </w:p>
    <w:p w14:paraId="2C1EDD12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本课题面向教室空气质量这一贴近校园日常的现实问题，设计并制作一套基于TinyML的室内CO₂浓度预测与风扇控制系统。系统以ESP32-S3为边缘主控，实时读取SCD41 CO₂与温湿度数据，利用部署在单片机上的轻量化量化模型预测未来5分钟和15分钟的CO₂变化趋势，并根据预测结果管理独立的12V四线PWM风扇原型。</w:t>
      </w:r>
    </w:p>
    <w:p w14:paraId="29794934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课题成果将形成三部分相互支撑的材料：可实地运行的原型装置、带有完整实验数据的研究论文，以及开源的代码与数据集。</w:t>
      </w:r>
    </w:p>
    <w:p w14:paraId="78C7728E">
      <w:pPr>
        <w:spacing w:after="60" w:line="312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eastAsia="宋体"/>
          <w:b/>
          <w:bCs/>
          <w:color w:val="000000"/>
          <w:sz w:val="24"/>
          <w:szCs w:val="24"/>
        </w:rPr>
        <w:t>课题名称确定为《基于TinyML的室内CO₂浓度预测与风扇控制系统设计》。</w:t>
      </w:r>
      <w:r>
        <w:rPr>
          <w:rFonts w:ascii="Times New Roman" w:eastAsia="宋体"/>
          <w:b w:val="0"/>
          <w:bCs/>
          <w:color w:val="000000"/>
          <w:sz w:val="24"/>
          <w:szCs w:val="24"/>
        </w:rPr>
        <w:t>命名包含方法、对象和内容三要素：方法为TinyML，即部署于单片机、可离线运行的轻量化机器学习技术；对象为室内CO₂浓度预测；内容为风扇控制系统设计。研究以教室环境数据为主要数据来源，以独立低压风扇作为控制执行器。 在教室实测之外，增设透明通风箱作为可控实验平台，用于静态高浓度响应与动态持续释放演示；箱体结果不直接代表真实教室通风效果。</w:t>
      </w:r>
    </w:p>
    <w:p w14:paraId="03177ED9">
      <w:pPr>
        <w:pStyle w:val="2"/>
        <w:keepNext/>
        <w:spacing w:before="360" w:after="160" w:line="312" w:lineRule="auto"/>
        <w:jc w:val="center"/>
      </w:pPr>
      <w:bookmarkStart w:id="1" w:name="_Toc100001"/>
      <w:r>
        <w:rPr>
          <w:rFonts w:ascii="Times New Roman" w:eastAsia="黑体"/>
          <w:b/>
          <w:bCs/>
          <w:color w:val="000000"/>
          <w:sz w:val="32"/>
          <w:szCs w:val="32"/>
        </w:rPr>
        <w:t>2  选题背景与研究意义</w:t>
      </w:r>
      <w:bookmarkEnd w:id="1"/>
    </w:p>
    <w:p w14:paraId="34A89EB0">
      <w:pPr>
        <w:pStyle w:val="3"/>
        <w:keepNext/>
        <w:spacing w:before="240" w:after="120" w:line="312" w:lineRule="auto"/>
      </w:pPr>
      <w:r>
        <w:t>2.1 现实背景：教室二氧化碳随人员活动和通风条件变化</w:t>
      </w:r>
    </w:p>
    <w:p w14:paraId="435E5376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教室人员密集，CO₂浓度随人数、门窗开闭和新风运行状态变化，可作为研究通风条件的一个观测指标。</w:t>
      </w:r>
    </w:p>
    <w:p w14:paraId="59297DBF">
      <w:pPr>
        <w:pStyle w:val="3"/>
        <w:keepNext/>
        <w:spacing w:before="240" w:after="120" w:line="312" w:lineRule="auto"/>
      </w:pPr>
      <w:bookmarkStart w:id="3" w:name="_Toc100003"/>
      <w:r>
        <w:rPr>
          <w:rFonts w:ascii="Times New Roman" w:eastAsia="黑体"/>
          <w:b/>
          <w:bCs/>
          <w:color w:val="000000"/>
          <w:sz w:val="28"/>
          <w:szCs w:val="28"/>
        </w:rPr>
        <w:t>2.2  技术现状与缺口：被动反应式通风存在滞后</w:t>
      </w:r>
      <w:bookmarkEnd w:id="3"/>
    </w:p>
    <w:p w14:paraId="2B309B8A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阈值控制依据当前浓度触发动作，预测式控制利用历史信息估计未来浓度，两者适合进行方法比较。本项目的研究重点是：在有限教室数据下评估短时预测的有效性，验证量化模型能否在ESP32-S3离线运行，并检验预测结果是否能够稳定驱动风扇。</w:t>
      </w:r>
    </w:p>
    <w:p w14:paraId="07D2125A">
      <w:pPr>
        <w:pStyle w:val="3"/>
        <w:keepNext/>
        <w:spacing w:before="240" w:after="120" w:line="312" w:lineRule="auto"/>
      </w:pPr>
      <w:bookmarkStart w:id="4" w:name="_Toc100004"/>
      <w:r>
        <w:rPr>
          <w:rFonts w:ascii="Times New Roman" w:eastAsia="黑体"/>
          <w:b/>
          <w:bCs/>
          <w:color w:val="000000"/>
          <w:sz w:val="28"/>
          <w:szCs w:val="28"/>
        </w:rPr>
        <w:t>2.3  研究意义</w:t>
      </w:r>
      <w:bookmarkEnd w:id="4"/>
    </w:p>
    <w:p w14:paraId="6F9A81C9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工程意义：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验证百元级低成本传感器与开源软硬件方案在教室场景的可行性，为学校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等人员密集场所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改善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室内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空气质量提供可复制、可推广的参考方案。</w:t>
      </w:r>
    </w:p>
    <w:p w14:paraId="156CDC42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科学意义：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获得可追溯的室内环境数据，比较预测模型与基线方法，并在相同输入下验证不同风扇控制逻辑；以实测结果而非预期优势形成结论。</w:t>
      </w:r>
    </w:p>
    <w:p w14:paraId="550D87D5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教育意义：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完整经历需求分析、方案设计、硬件搭建、数据采集、模型训练、边缘部署、实验验证、论文撰写的全链条，是人工智能与嵌入式系统交叉方向的系统性科研实践。</w:t>
      </w:r>
    </w:p>
    <w:p w14:paraId="04977C6F">
      <w:pPr>
        <w:pStyle w:val="2"/>
        <w:keepNext/>
        <w:spacing w:before="360" w:after="160" w:line="312" w:lineRule="auto"/>
        <w:jc w:val="center"/>
      </w:pPr>
      <w:bookmarkStart w:id="5" w:name="_Toc100005"/>
      <w:r>
        <w:rPr>
          <w:rFonts w:ascii="Times New Roman" w:eastAsia="黑体"/>
          <w:b/>
          <w:bCs/>
          <w:color w:val="000000"/>
          <w:sz w:val="32"/>
          <w:szCs w:val="32"/>
        </w:rPr>
        <w:t>3  研究目标与研究内容</w:t>
      </w:r>
      <w:bookmarkEnd w:id="5"/>
    </w:p>
    <w:p w14:paraId="3BE47E04">
      <w:pPr>
        <w:pStyle w:val="3"/>
        <w:keepNext/>
        <w:spacing w:before="240" w:after="120" w:line="312" w:lineRule="auto"/>
      </w:pPr>
      <w:bookmarkStart w:id="6" w:name="_Toc100006"/>
      <w:r>
        <w:rPr>
          <w:rFonts w:ascii="Times New Roman" w:eastAsia="黑体"/>
          <w:b/>
          <w:bCs/>
          <w:color w:val="000000"/>
          <w:sz w:val="28"/>
          <w:szCs w:val="28"/>
        </w:rPr>
        <w:t>3.1  研究目标</w:t>
      </w:r>
      <w:bookmarkEnd w:id="6"/>
    </w:p>
    <w:p w14:paraId="71596C1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建成一套可持续运行的室内环境数据采集与风扇控制原型，累计获得不少于两周、覆盖不同通风场景的有效CO₂数据。</w:t>
      </w:r>
    </w:p>
    <w:p w14:paraId="1CD97512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训练一个CO₂浓度短时预测模型，与持续性预测、线性回归等基线进行对比，并在模型规模、量化误差、推理时延和内存占用均可接受的前提下部署到ESP32-S3离线运行。</w:t>
      </w:r>
    </w:p>
    <w:p w14:paraId="6D57429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完成本地量化模型与风扇管理联调。核心控制策略为阈值控制与预测式触发，使用相同测试序列进行回放和实机验证。 增加通风箱静态与动态实验，观察预测触发、风扇执行和箱内浓度变化。</w:t>
      </w:r>
    </w:p>
    <w:p w14:paraId="4EB78A2E">
      <w:pPr>
        <w:pStyle w:val="3"/>
        <w:keepNext/>
        <w:spacing w:before="240" w:after="120" w:line="312" w:lineRule="auto"/>
      </w:pPr>
      <w:bookmarkStart w:id="7" w:name="_Toc100007"/>
      <w:r>
        <w:rPr>
          <w:rFonts w:ascii="Times New Roman" w:eastAsia="黑体"/>
          <w:b/>
          <w:bCs/>
          <w:color w:val="000000"/>
          <w:sz w:val="28"/>
          <w:szCs w:val="28"/>
        </w:rPr>
        <w:t>3.2  主要研究内容</w:t>
      </w:r>
      <w:bookmarkEnd w:id="7"/>
    </w:p>
    <w:p w14:paraId="719EA4E4">
      <w:pPr>
        <w:spacing w:after="6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研究内容按系统四层架构展开：</w:t>
      </w:r>
    </w:p>
    <w:p w14:paraId="2C60018A">
      <w:pPr>
        <w:spacing w:after="6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一是感知层建设，完成SCD41 CO₂与温湿度数据采集及校准；</w:t>
      </w:r>
    </w:p>
    <w:p w14:paraId="2211B36C">
      <w:pPr>
        <w:spacing w:after="6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二是数据与模型层建设，完成特征工程、预测模型训练、量化和基线对比；</w:t>
      </w:r>
    </w:p>
    <w:p w14:paraId="2CF5621F">
      <w:pPr>
        <w:spacing w:after="6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三是控制层建设，完成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单片机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ESP32-S3对独立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的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12V四线PWM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调速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风扇的开关或分档控制；</w:t>
      </w:r>
    </w:p>
    <w:p w14:paraId="5F15E34B">
      <w:pPr>
        <w:spacing w:after="60" w:line="312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四是显示与记录层建设，利用2.4英寸TFT显示实时值、预测值和风扇状态。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</w:r>
    </w:p>
    <w:p w14:paraId="641923FE">
      <w:pPr>
        <w:pStyle w:val="3"/>
        <w:keepNext/>
        <w:spacing w:before="240" w:after="120" w:line="312" w:lineRule="auto"/>
      </w:pPr>
      <w:bookmarkStart w:id="8" w:name="_Toc100008"/>
      <w:r>
        <w:rPr>
          <w:rFonts w:ascii="Times New Roman" w:eastAsia="黑体"/>
          <w:b/>
          <w:bCs/>
          <w:color w:val="000000"/>
          <w:sz w:val="28"/>
          <w:szCs w:val="28"/>
        </w:rPr>
        <w:t>3.3  拟解决的关键问题</w:t>
      </w:r>
      <w:bookmarkEnd w:id="8"/>
    </w:p>
    <w:p w14:paraId="35DD5CE4">
      <w:pPr>
        <w:pStyle w:val="19"/>
        <w:numPr>
          <w:ilvl w:val="0"/>
          <w:numId w:val="2"/>
        </w:numPr>
        <w:spacing w:after="40" w:line="312" w:lineRule="auto"/>
        <w:jc w:val="both"/>
        <w:rPr>
          <w:b w:val="0"/>
          <w:bCs w:val="0"/>
        </w:rPr>
      </w:pPr>
      <w:r>
        <w:rPr>
          <w:rFonts w:ascii="Times New Roman" w:eastAsia="宋体"/>
          <w:b/>
          <w:bCs/>
          <w:color w:val="000000"/>
          <w:sz w:val="24"/>
          <w:szCs w:val="24"/>
        </w:rPr>
        <w:t>传感器误差问题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：SCD41采用光声NDIR原理。ASC按厂家规定的暴露条件配置，记录启用状态与校准历史；温湿度受自热与外壳影响，记录安装位置和温度补偿。 通风箱若不能满足ASC参考暴露条件，按厂家要求停用或调整ASC并记录；60秒为CO₂响应时间的典型τ63%，不是每分钟记录即可消除滞后。</w:t>
      </w:r>
    </w:p>
    <w:p w14:paraId="0392D7C1">
      <w:pPr>
        <w:pStyle w:val="19"/>
        <w:numPr>
          <w:ilvl w:val="0"/>
          <w:numId w:val="2"/>
        </w:numPr>
        <w:spacing w:after="40" w:line="312" w:lineRule="auto"/>
        <w:jc w:val="both"/>
        <w:rPr>
          <w:b w:val="0"/>
          <w:bCs w:val="0"/>
        </w:rPr>
      </w:pPr>
      <w:r>
        <w:rPr>
          <w:rFonts w:ascii="Times New Roman" w:eastAsia="宋体"/>
          <w:b/>
          <w:bCs/>
          <w:color w:val="000000"/>
          <w:sz w:val="24"/>
          <w:szCs w:val="24"/>
        </w:rPr>
        <w:t>小样本建模问题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：单教室、数周采集条件下预测模型的选型、特征工程和过拟合控制；门窗状态、人员活动仅在取得稳定数据后作为可选输入。</w:t>
      </w:r>
    </w:p>
    <w:p w14:paraId="08A8C88D">
      <w:pPr>
        <w:pStyle w:val="19"/>
        <w:numPr>
          <w:ilvl w:val="0"/>
          <w:numId w:val="2"/>
        </w:numPr>
        <w:spacing w:after="40" w:line="312" w:lineRule="auto"/>
        <w:jc w:val="both"/>
        <w:rPr>
          <w:b w:val="0"/>
          <w:bCs w:val="0"/>
        </w:rPr>
      </w:pPr>
      <w:r>
        <w:rPr>
          <w:rFonts w:ascii="Times New Roman" w:eastAsia="宋体"/>
          <w:b/>
          <w:bCs/>
          <w:color w:val="000000"/>
          <w:sz w:val="24"/>
          <w:szCs w:val="24"/>
        </w:rPr>
        <w:t>边缘部署问题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：本地量化模型是本课题核心验收项。记录量化前后误差、模型文件大小、张量区占用、板端推理时延及持续运行情况；优先缩小网络并使用支持的算子。</w:t>
      </w:r>
    </w:p>
    <w:p w14:paraId="7F8AC34C">
      <w:pPr>
        <w:pStyle w:val="19"/>
        <w:numPr>
          <w:ilvl w:val="0"/>
          <w:numId w:val="2"/>
        </w:numPr>
        <w:spacing w:after="40" w:line="312" w:lineRule="auto"/>
        <w:jc w:val="both"/>
        <w:rPr>
          <w:b w:val="0"/>
          <w:bCs w:val="0"/>
        </w:rPr>
      </w:pPr>
      <w:r>
        <w:rPr>
          <w:rFonts w:ascii="Times New Roman" w:eastAsia="宋体"/>
          <w:b/>
          <w:bCs/>
          <w:color w:val="000000"/>
          <w:sz w:val="24"/>
          <w:szCs w:val="24"/>
        </w:rPr>
        <w:t>实验可比性问题</w:t>
      </w:r>
      <w:r>
        <w:rPr>
          <w:rFonts w:ascii="Times New Roman" w:eastAsia="宋体"/>
          <w:b w:val="0"/>
          <w:bCs/>
          <w:color w:val="000000"/>
          <w:sz w:val="24"/>
          <w:szCs w:val="24"/>
        </w:rPr>
        <w:t>：教室测量用于预测评估；风扇策略使用同一冻结数据序列回放，统一阈值、回差、最短启停时间和采样周期。通风箱实验固定箱体、开孔、传感器位置与释放操作，重复观察静态响应和动态提前通风；不将不同投料条件下的单次演示视为策略优劣证据。</w:t>
      </w:r>
    </w:p>
    <w:p w14:paraId="27AC44C0">
      <w:pPr>
        <w:pStyle w:val="2"/>
        <w:keepNext/>
        <w:spacing w:before="360" w:after="160" w:line="312" w:lineRule="auto"/>
        <w:jc w:val="center"/>
      </w:pPr>
      <w:bookmarkStart w:id="9" w:name="_Toc100009"/>
      <w:r>
        <w:rPr>
          <w:rFonts w:ascii="Times New Roman" w:eastAsia="黑体"/>
          <w:b/>
          <w:bCs/>
          <w:color w:val="000000"/>
          <w:sz w:val="32"/>
          <w:szCs w:val="32"/>
        </w:rPr>
        <w:t>4  系统方案与技术路线</w:t>
      </w:r>
      <w:bookmarkEnd w:id="9"/>
    </w:p>
    <w:p w14:paraId="6607913B">
      <w:pPr>
        <w:pStyle w:val="3"/>
        <w:keepNext/>
        <w:spacing w:before="240" w:after="120" w:line="312" w:lineRule="auto"/>
      </w:pPr>
      <w:bookmarkStart w:id="10" w:name="_Toc100010"/>
      <w:r>
        <w:rPr>
          <w:rFonts w:ascii="Times New Roman" w:eastAsia="黑体"/>
          <w:b/>
          <w:bCs/>
          <w:color w:val="000000"/>
          <w:sz w:val="28"/>
          <w:szCs w:val="28"/>
        </w:rPr>
        <w:t>4.1  系统总体架构</w:t>
      </w:r>
      <w:bookmarkEnd w:id="10"/>
    </w:p>
    <w:p w14:paraId="65D251BE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系统采用四层架构，各层接口解耦，便于分工开发与逐层验证，见表1。</w:t>
      </w:r>
    </w:p>
    <w:p w14:paraId="65F84CE5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表1  系统四层架构</w:t>
      </w:r>
    </w:p>
    <w:tbl>
      <w:tblPr>
        <w:tblStyle w:val="14"/>
        <w:tblW w:w="5319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6"/>
        <w:gridCol w:w="4017"/>
        <w:gridCol w:w="4477"/>
      </w:tblGrid>
      <w:tr w14:paraId="32E50353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FFC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14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74F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主要组成</w:t>
            </w:r>
          </w:p>
        </w:tc>
        <w:tc>
          <w:tcPr>
            <w:tcW w:w="239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9E7C2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3C2B5F9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828A1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感知层</w:t>
            </w:r>
          </w:p>
        </w:tc>
        <w:tc>
          <w:tcPr>
            <w:tcW w:w="214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15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SCD41 CO₂与温湿度模块、TFT显示屏</w:t>
            </w:r>
          </w:p>
        </w:tc>
        <w:tc>
          <w:tcPr>
            <w:tcW w:w="239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701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采集室内CO₂与温湿度，并显示实时状态</w:t>
            </w:r>
          </w:p>
        </w:tc>
      </w:tr>
      <w:tr w14:paraId="727920BB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47074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智能层</w:t>
            </w:r>
          </w:p>
        </w:tc>
        <w:tc>
          <w:tcPr>
            <w:tcW w:w="214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582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ESP32-S3-N16R8开发板</w:t>
            </w:r>
          </w:p>
        </w:tc>
        <w:tc>
          <w:tcPr>
            <w:tcW w:w="239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E24E6">
            <w:pPr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sz w:val="20"/>
                <w:szCs w:val="20"/>
              </w:rPr>
              <w:t>数据预处理、运行量化模型，输出预测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结果</w:t>
            </w:r>
          </w:p>
        </w:tc>
      </w:tr>
      <w:tr w14:paraId="2E9619E8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D68A2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控制层</w:t>
            </w:r>
          </w:p>
        </w:tc>
        <w:tc>
          <w:tcPr>
            <w:tcW w:w="214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125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四线PWM风扇及匹配驱动接口</w:t>
            </w:r>
          </w:p>
        </w:tc>
        <w:tc>
          <w:tcPr>
            <w:tcW w:w="239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CDB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执行阈值控制和预测式前瞻控制</w:t>
            </w:r>
          </w:p>
        </w:tc>
      </w:tr>
      <w:tr w14:paraId="69A8DBF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B521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应用层</w:t>
            </w:r>
          </w:p>
        </w:tc>
        <w:tc>
          <w:tcPr>
            <w:tcW w:w="214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7A8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本地数据文件、串口导出与电脑端分析</w:t>
            </w:r>
          </w:p>
        </w:tc>
        <w:tc>
          <w:tcPr>
            <w:tcW w:w="239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EC0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保存原始数据、显示模型输出并支撑实验分析</w:t>
            </w:r>
          </w:p>
        </w:tc>
      </w:tr>
    </w:tbl>
    <w:p w14:paraId="0AE2686E">
      <w:pPr>
        <w:spacing w:after="12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</w:p>
    <w:p w14:paraId="2ABA1339">
      <w:pPr>
        <w:spacing w:after="120" w:line="312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总体技术路线为：需求分析、教室基线实测；完成SCD41采集、TFT显示和PWM风扇控制；连续采集课堂环境数据；特征工程与基线模型训练；量化部署与联调；控制策略对照实验。 通风箱制作与短周期实验可在联调阶段并行开展，先完成定性演示，再根据重复性决定是否增加定量对照。</w:t>
      </w:r>
    </w:p>
    <w:p w14:paraId="7A23E322">
      <w:pPr>
        <w:pStyle w:val="3"/>
        <w:keepNext/>
        <w:spacing w:before="240" w:after="120" w:line="312" w:lineRule="auto"/>
      </w:pPr>
      <w:bookmarkStart w:id="11" w:name="_Toc100011"/>
      <w:r>
        <w:rPr>
          <w:rFonts w:ascii="Times New Roman" w:eastAsia="黑体"/>
          <w:b/>
          <w:bCs/>
          <w:color w:val="000000"/>
          <w:sz w:val="28"/>
          <w:szCs w:val="28"/>
        </w:rPr>
        <w:t>4.2  关键技术选型</w:t>
      </w:r>
      <w:bookmarkEnd w:id="11"/>
    </w:p>
    <w:p w14:paraId="0EFBD19C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表2  主控芯片选型对比（Arduino UNO与ESP32-S3）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2988"/>
        <w:gridCol w:w="3691"/>
      </w:tblGrid>
      <w:tr w14:paraId="6F9FD2F7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CF61">
            <w:pPr>
              <w:spacing w:line="276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对比项</w:t>
            </w:r>
          </w:p>
        </w:tc>
        <w:tc>
          <w:tcPr>
            <w:tcW w:w="1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8A63E">
            <w:pPr>
              <w:spacing w:line="276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Arduino UNO</w:t>
            </w:r>
          </w:p>
        </w:tc>
        <w:tc>
          <w:tcPr>
            <w:tcW w:w="2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20C70">
            <w:pPr>
              <w:spacing w:line="276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ESP32-S3</w:t>
            </w:r>
          </w:p>
        </w:tc>
      </w:tr>
      <w:tr w14:paraId="0B43D00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9B46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主控架构</w:t>
            </w:r>
          </w:p>
        </w:tc>
        <w:tc>
          <w:tcPr>
            <w:tcW w:w="1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EBB8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8位，16MHz</w:t>
            </w:r>
          </w:p>
        </w:tc>
        <w:tc>
          <w:tcPr>
            <w:tcW w:w="2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DA6D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32位双核，最高240MHz</w:t>
            </w:r>
          </w:p>
        </w:tc>
      </w:tr>
      <w:tr w14:paraId="5F68A5EB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108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内存</w:t>
            </w:r>
          </w:p>
        </w:tc>
        <w:tc>
          <w:tcPr>
            <w:tcW w:w="1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414B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2KB RAM</w:t>
            </w:r>
          </w:p>
        </w:tc>
        <w:tc>
          <w:tcPr>
            <w:tcW w:w="2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2A27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512KB RAM，可扩展至8MB PSRAM</w:t>
            </w:r>
          </w:p>
        </w:tc>
      </w:tr>
      <w:tr w14:paraId="079ED074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7D50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无线连接</w:t>
            </w:r>
          </w:p>
        </w:tc>
        <w:tc>
          <w:tcPr>
            <w:tcW w:w="1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8507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无，需外接模块</w:t>
            </w:r>
          </w:p>
        </w:tc>
        <w:tc>
          <w:tcPr>
            <w:tcW w:w="2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D5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自带WiFi与蓝牙</w:t>
            </w:r>
          </w:p>
        </w:tc>
      </w:tr>
      <w:tr w14:paraId="7E8641A6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DB8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端侧AI支持</w:t>
            </w:r>
          </w:p>
        </w:tc>
        <w:tc>
          <w:tcPr>
            <w:tcW w:w="1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56F2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难以承载当前60→32→16→2模型与显示记录功能</w:t>
            </w:r>
          </w:p>
        </w:tc>
        <w:tc>
          <w:tcPr>
            <w:tcW w:w="2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乐鑫官方支持 TFLite Micro；ESP-DL 作为后续可选方案</w:t>
            </w:r>
          </w:p>
        </w:tc>
      </w:tr>
      <w:tr w14:paraId="332190D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F58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对本课题的意义</w:t>
            </w:r>
          </w:p>
        </w:tc>
        <w:tc>
          <w:tcPr>
            <w:tcW w:w="1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CBA8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仅能实现阈值控制原型</w:t>
            </w:r>
          </w:p>
        </w:tc>
        <w:tc>
          <w:tcPr>
            <w:tcW w:w="2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7A41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支撑模型离线推理、本地显示和数据记录；网络上报为可选扩展</w:t>
            </w:r>
          </w:p>
        </w:tc>
      </w:tr>
    </w:tbl>
    <w:p w14:paraId="54EBDEC3">
      <w:pPr>
        <w:spacing w:after="6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</w:p>
    <w:p w14:paraId="278E8169">
      <w:pPr>
        <w:spacing w:after="6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CO₂传感器选用SCD41：采用NDIR真实CO₂浓度测量，量程覆盖教室常见浓度区间；模块通过I2C与ESP32-S3连接，并优先使用3.3V供电和3.3V逻辑。SCD41同时提供温湿度数据，可减少传感器数量。传感器必须保持进气通道畅通；仅在已知稳定参考浓度下按厂家条件进行强制校准，无参考条件时记录稳定性与同点一致性，不默认室外空气为400 ppm。</w:t>
      </w:r>
    </w:p>
    <w:p w14:paraId="10DCA788">
      <w:pPr>
        <w:spacing w:after="60" w:line="312" w:lineRule="auto"/>
        <w:ind w:firstLine="480"/>
        <w:jc w:val="both"/>
        <w:rPr>
          <w:b w:val="0"/>
          <w:bCs w:val="0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主控具体版本选择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ESP32-S3开发板选用明确标注ESP32-S3-WROOM-1-N16R8、16MB Flash、8MB PSRAM、USB-C的兼容开发板。</w:t>
      </w:r>
    </w:p>
    <w:p w14:paraId="040B7E78">
      <w:pPr>
        <w:pStyle w:val="3"/>
        <w:keepNext/>
        <w:spacing w:before="240" w:after="120" w:line="312" w:lineRule="auto"/>
      </w:pPr>
      <w:bookmarkStart w:id="12" w:name="_Toc100012"/>
      <w:r>
        <w:rPr>
          <w:rFonts w:ascii="Times New Roman" w:eastAsia="黑体"/>
          <w:b/>
          <w:bCs/>
          <w:color w:val="000000"/>
          <w:sz w:val="28"/>
          <w:szCs w:val="28"/>
        </w:rPr>
        <w:t>4.3  数据采集与AI建模方案</w:t>
      </w:r>
      <w:bookmarkEnd w:id="12"/>
    </w:p>
    <w:p w14:paraId="2B042F78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每分钟记录一条CO₂、温度和湿度数据，以连续20条每分钟记录（t−19至t，含当前时刻）为输入，分别预测采样时刻之后5分钟和15分钟的CO₂单点浓度，量化使用仅从训练数据抽取的代表性样本，比较浮点与int8结果。 两个时距对应未来单点预测目标，不等于过去20分钟的输入窗口。通风箱按真实时间采集，先检查浓度变化是否为分钟级，避免将加速回放当作真实提前通风。</w:t>
      </w:r>
    </w:p>
    <w:p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实施状态说明：本次将研究设计调整为5分钟和15分钟预测。当前已训练模型与固件仍使用15分钟和30分钟输出；新时距须重新生成标签、训练、量化和板端验证后启用，本次文档更新不代表软件已完成切换。 当前界面使用已验证显示链路的2.4英寸240×320屏幕，尚未接入SCD41或风扇输出；公开办公室回放不代表教室或箱体实测。</w:t>
      </w:r>
    </w:p>
    <w:p w14:paraId="2ADCD38D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4.4  控制策略与通风箱实验设计</w:t>
      </w:r>
    </w:p>
    <w:p w14:paraId="6E9A67C1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实验包括教室实测评价、同输入控制回放和通风箱验证。教室连续测量保持原有新风与教学安排，评价5分钟与15分钟预测准确度；冻结测试序列逐条回放用于比较阈值与预测触发逻辑。透明通风箱提供可控CO₂扰动，先开展定性静态、动态实验，检验控制动作与实际空气交换是否发生。</w:t>
      </w:r>
    </w:p>
    <w:p w14:paraId="620A83C0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表3  核心控制策略与可选扩展</w:t>
      </w:r>
    </w:p>
    <w:tbl>
      <w:tblPr>
        <w:tblStyle w:val="14"/>
        <w:tblW w:w="5351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4511"/>
        <w:gridCol w:w="3782"/>
      </w:tblGrid>
      <w:tr w14:paraId="13E93E2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4F36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239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45B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控制逻辑</w:t>
            </w:r>
          </w:p>
        </w:tc>
        <w:tc>
          <w:tcPr>
            <w:tcW w:w="201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5F13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预期特点</w:t>
            </w:r>
          </w:p>
        </w:tc>
      </w:tr>
      <w:tr w14:paraId="743EBB2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C53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阈值控制</w:t>
            </w:r>
          </w:p>
        </w:tc>
        <w:tc>
          <w:tcPr>
            <w:tcW w:w="239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AD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CO₂超过阈值时启动风扇，低于关闭阈值时停止，并设置回差带</w:t>
            </w:r>
          </w:p>
        </w:tc>
        <w:tc>
          <w:tcPr>
            <w:tcW w:w="201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FAF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规则简单、易复现，作为控制基线</w:t>
            </w:r>
          </w:p>
        </w:tc>
      </w:tr>
      <w:tr w14:paraId="5811B1E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2B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预测触发</w:t>
            </w:r>
          </w:p>
        </w:tc>
        <w:tc>
          <w:tcPr>
            <w:tcW w:w="239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88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依据5/15分钟预测值触发风扇，并配置回差与最短启停时间</w:t>
            </w:r>
          </w:p>
        </w:tc>
        <w:tc>
          <w:tcPr>
            <w:tcW w:w="201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144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比较提前量、误触发与执行稳定性；通风箱先做定性验证，不预设效果优势</w:t>
            </w:r>
          </w:p>
        </w:tc>
      </w:tr>
      <w:tr w14:paraId="3DA87EF4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483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分档调速</w:t>
            </w:r>
          </w:p>
        </w:tc>
        <w:tc>
          <w:tcPr>
            <w:tcW w:w="239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44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确认外部PWM接口后按预测值分档；PID仅在换气路径和响应辨识完成后考虑</w:t>
            </w:r>
          </w:p>
        </w:tc>
        <w:tc>
          <w:tcPr>
            <w:tcW w:w="201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6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通风箱具备对外换气路径后验证响应；PID不列为当前核心任务</w:t>
            </w:r>
          </w:p>
        </w:tc>
      </w:tr>
    </w:tbl>
    <w:p w14:paraId="2AF5AAB1">
      <w:pPr>
        <w:spacing w:after="6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</w:p>
    <w:p w14:paraId="48D090AE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预测评价报告两个时距的MAE、RMSE、有效预测比例及超过实验阈值的识别结果；有效预测比例为能够产生合规预测的时刻数占应预测时刻数的比例。</w:t>
      </w:r>
    </w:p>
    <w:p>
      <w:pPr>
        <w:pStyle w:val="4"/>
        <w:keepNext/>
        <w:spacing w:after="60" w:line="312" w:lineRule="auto"/>
        <w:ind w:firstLine="480"/>
        <w:jc w:val="both"/>
      </w:pPr>
      <w:r>
        <w:rPr>
          <w:color w:val="000000"/>
        </w:rPr>
        <w:t>通风箱结构</w:t>
      </w:r>
    </w:p>
    <w:p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计划选用约40至60 L透明带盖收纳箱，以实际内部尺寸满足设备、反应容器和托盘布置为准，最终容积经预试验确定。箱体不追求气密，一侧安装向外排风的风扇，对侧设置可调进气口；用滑动挡板或可更换盖片调整开孔面积，保持可靠的排气通路。透明箱壁用于展示，不大面积挖空侧面。风扇周边固定并减少绕流，确保有明确的进气与排气路径。</w:t>
      </w:r>
    </w:p>
    <w:p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设备在实验前固定于箱内；传感器避开反应杯上方、进气口和风扇直吹，与发热部件拉开距离。反应容器采用敞口杯与独立托盘，与电路隔开。必要时使用独立的小混合风扇，区分混合作用与对外排气作用；仅在箱内循环吹风不构成CO₂去除。</w:t>
      </w:r>
    </w:p>
    <w:p>
      <w:pPr>
        <w:pStyle w:val="4"/>
        <w:keepNext/>
        <w:spacing w:after="60" w:line="312" w:lineRule="auto"/>
        <w:ind w:firstLine="480"/>
        <w:jc w:val="both"/>
      </w:pPr>
      <w:r>
        <w:rPr>
          <w:color w:val="000000"/>
        </w:rPr>
        <w:t>静态高浓度响应实验</w:t>
      </w:r>
    </w:p>
    <w:p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先放入设备并记录背景浓度，暂不启用排气控制；通过少量化学制气升高箱内浓度。待反应基本停止、读数变化放缓，再启用控制，记录浓度、风扇目标档位及转速反馈（接口可用时），观察风扇响应与浓度恢复。避免制气后开盖再放设备，以减少换气和传感器响应延迟对初始状态的影响。该实验验证已有高浓度下的响应，不单独证明提前预测能力。</w:t>
      </w:r>
    </w:p>
    <w:p>
      <w:pPr>
        <w:pStyle w:val="4"/>
        <w:keepNext/>
        <w:spacing w:after="60" w:line="312" w:lineRule="auto"/>
        <w:ind w:firstLine="480"/>
        <w:jc w:val="both"/>
      </w:pPr>
      <w:r>
        <w:rPr>
          <w:color w:val="000000"/>
        </w:rPr>
        <w:t>动态持续释放实验</w:t>
      </w:r>
    </w:p>
    <w:p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设备提前放入箱内，在记录背景后，通过分次少量加入反应物形成持续的CO₂扰动；可使用小苏打与白醋，具体用量和频次经预试验确定。一次混合不视为恒定流量气源，记录每次加入时间与大致用量。观察5分钟与15分钟预测值、首次预测触发时刻、当时实测浓度及随后风扇动作，检验是否在实测达到设定阈值前启动通风。持续释放不保证预测值单调升高，实际变化还受自然泄漏、排气和模型误差影响。</w:t>
      </w:r>
    </w:p>
    <w:p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先调整开孔与释放节奏，使关闭排气风扇时浓度能够缓慢上升，开启后上升减缓或下降。SCD41的CO₂响应时间约为60秒，应保留足够历史并设计分钟级变化；初步以1000至3000 ppm作为箱内目标区间，具体阈值在预试验后固定，避免超出400至5000 ppm的指定测量范围。目标区间用于装置实验，不作为人员暴露标准。</w:t>
      </w:r>
    </w:p>
    <w:p>
      <w:pPr>
        <w:pStyle w:val="4"/>
        <w:keepNext/>
        <w:spacing w:after="60" w:line="312" w:lineRule="auto"/>
        <w:ind w:firstLine="480"/>
        <w:jc w:val="both"/>
      </w:pPr>
      <w:r>
        <w:rPr>
          <w:color w:val="000000"/>
        </w:rPr>
        <w:t>记录与结论边界</w:t>
      </w:r>
    </w:p>
    <w:p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初期按定性实验实施，不要求准确的化学投料量或产气流量；至少记录场次、箱体容积、开孔状态、设备位置、反应物及大致用量、加入时间、实测浓度、预测值和风扇状态。释放过程不够一致时，仅报告功能是否执行及典型曲线，不据单次演示宣称预测策略优于阈值策略、节能或教室通风改善。进一步比较策略时需固定操作流程并重复实验；提前启动后的浓度曲线已受控制动作影响，不直接作为未干预预测的准确度标签。</w:t>
      </w:r>
    </w:p>
    <w:p w14:paraId="58839DE6">
      <w:pPr>
        <w:pStyle w:val="2"/>
        <w:keepNext/>
        <w:spacing w:before="360" w:after="160" w:line="312" w:lineRule="auto"/>
        <w:jc w:val="center"/>
      </w:pPr>
      <w:bookmarkStart w:id="14" w:name="_Toc100014"/>
      <w:r>
        <w:rPr>
          <w:rFonts w:ascii="Times New Roman" w:eastAsia="黑体"/>
          <w:b/>
          <w:bCs/>
          <w:color w:val="000000"/>
          <w:sz w:val="32"/>
          <w:szCs w:val="32"/>
        </w:rPr>
        <w:t>5  研究阶段与时间安排</w:t>
      </w:r>
      <w:bookmarkEnd w:id="14"/>
    </w:p>
    <w:p w14:paraId="3D1B86AC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表4  研究阶段与时间安排</w:t>
      </w:r>
    </w:p>
    <w:tbl>
      <w:tblPr>
        <w:tblStyle w:val="14"/>
        <w:tblW w:w="512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2"/>
        <w:gridCol w:w="1914"/>
        <w:gridCol w:w="5203"/>
      </w:tblGrid>
      <w:tr w14:paraId="21C325E0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4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6803D">
            <w:pPr>
              <w:spacing w:line="276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10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5FD4A">
            <w:pPr>
              <w:spacing w:line="276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时间</w:t>
            </w:r>
          </w:p>
        </w:tc>
        <w:tc>
          <w:tcPr>
            <w:tcW w:w="28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DBD78">
            <w:pPr>
              <w:spacing w:line="276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1"/>
                <w:szCs w:val="21"/>
              </w:rPr>
              <w:t>主要任务</w:t>
            </w:r>
          </w:p>
        </w:tc>
      </w:tr>
      <w:tr w14:paraId="0EC7B916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2FDE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文献调研与开题</w:t>
            </w:r>
          </w:p>
        </w:tc>
        <w:tc>
          <w:tcPr>
            <w:tcW w:w="10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4F79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第1至2周</w:t>
            </w:r>
          </w:p>
        </w:tc>
        <w:tc>
          <w:tcPr>
            <w:tcW w:w="28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C382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检索文献与专利；确定系统方案与器件清单；完成教室基线实测方案设计与报备</w:t>
            </w:r>
          </w:p>
        </w:tc>
      </w:tr>
      <w:tr w14:paraId="5B6F9E92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4AF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硬件搭建与联调</w:t>
            </w:r>
          </w:p>
        </w:tc>
        <w:tc>
          <w:tcPr>
            <w:tcW w:w="10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820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第3至4周</w:t>
            </w:r>
          </w:p>
        </w:tc>
        <w:tc>
          <w:tcPr>
            <w:tcW w:w="28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3DC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采集、彩屏和风扇接口联调；制作透明通风箱并预试验开孔与释放节奏</w:t>
            </w:r>
          </w:p>
        </w:tc>
      </w:tr>
      <w:tr w14:paraId="799721F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0F02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教室数据采集</w:t>
            </w:r>
          </w:p>
        </w:tc>
        <w:tc>
          <w:tcPr>
            <w:tcW w:w="10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58B0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第5至8周</w:t>
            </w:r>
          </w:p>
        </w:tc>
        <w:tc>
          <w:tcPr>
            <w:tcW w:w="28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AF9D6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连续采集不少于两周课堂数据，覆盖开窗/关窗、考试/课间等场景；每日数据质量检查</w:t>
            </w:r>
          </w:p>
        </w:tc>
      </w:tr>
      <w:tr w14:paraId="7F73E93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578C4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模型训练与部署</w:t>
            </w:r>
          </w:p>
        </w:tc>
        <w:tc>
          <w:tcPr>
            <w:tcW w:w="10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674F4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第9至10周</w:t>
            </w:r>
          </w:p>
        </w:tc>
        <w:tc>
          <w:tcPr>
            <w:tcW w:w="28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11951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特征工程；基线与预测模型训练对比；int8量化与单片机部署调试</w:t>
            </w:r>
          </w:p>
        </w:tc>
      </w:tr>
      <w:tr>
        <w:trPr>
          <w:cantSplit/>
        </w:trPr>
        <w:tc>
          <w:tcPr>
            <w:tcW w:w="104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策略与箱体验证、成果整理</w:t>
            </w:r>
          </w:p>
        </w:tc>
        <w:tc>
          <w:tcPr>
            <w:tcW w:w="10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第11至12周</w:t>
            </w:r>
          </w:p>
        </w:tc>
        <w:tc>
          <w:tcPr>
            <w:tcW w:w="289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冻结模型与控制配置；重复静态/动态箱体实验并完成误差分析、论文、PPT与材料归档</w:t>
            </w:r>
          </w:p>
        </w:tc>
      </w:tr>
    </w:tbl>
    <w:p w14:paraId="64C14125">
      <w:pPr>
        <w:pStyle w:val="2"/>
        <w:keepNext/>
        <w:spacing w:before="360" w:after="160" w:line="312" w:lineRule="auto"/>
        <w:jc w:val="center"/>
      </w:pPr>
      <w:bookmarkStart w:id="15" w:name="_Toc100015"/>
      <w:r>
        <w:rPr>
          <w:rFonts w:ascii="Times New Roman" w:eastAsia="黑体"/>
          <w:b/>
          <w:bCs/>
          <w:color w:val="000000"/>
          <w:sz w:val="32"/>
          <w:szCs w:val="32"/>
        </w:rPr>
        <w:t>6  具体研究任务与操作步骤</w:t>
      </w:r>
      <w:bookmarkEnd w:id="15"/>
    </w:p>
    <w:p w14:paraId="0E273B23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表5  各阶段具体任务与输出物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5"/>
        <w:gridCol w:w="5208"/>
        <w:gridCol w:w="2285"/>
      </w:tblGrid>
      <w:tr w14:paraId="597BADB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3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4A1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9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8EA7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具体动作（按先后排序）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ECA7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本步输出物</w:t>
            </w:r>
          </w:p>
        </w:tc>
      </w:tr>
      <w:tr w14:paraId="3715E780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3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98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阶段一</w:t>
            </w:r>
          </w:p>
        </w:tc>
        <w:tc>
          <w:tcPr>
            <w:tcW w:w="29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7B3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核对文献、学校报备与已有新风条件；借用参考仪器做初测；建立模拟数据格式和软件框架；记录实测条件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50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文献摘记；报备记录；基线初测或待测计划；软件框架</w:t>
            </w:r>
          </w:p>
        </w:tc>
      </w:tr>
      <w:tr w14:paraId="4842AABB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3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42EA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阶段二</w:t>
            </w:r>
          </w:p>
        </w:tc>
        <w:tc>
          <w:tcPr>
            <w:tcW w:w="29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4C8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①按表9清单采购并逐件验收、记录实价；②分步搭建：先烧录ESP32，再读取SCD41，再点亮TFT，最后接12V四线PWM风扇；③实现1分钟采集、屏幕显示和本地数据导出；④完成模型输入格式和风扇控制接口联调；⑤进行传感器同点比对与供电测试；⑥制作可调开孔通风箱并进行静态、动态预试验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17F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采购台账；接线图；各模块测试记录；采集固件v1；显示与风扇控制演示；标定记录①</w:t>
            </w:r>
          </w:p>
        </w:tc>
      </w:tr>
      <w:tr w14:paraId="2D13670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3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79F1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阶段三</w:t>
            </w:r>
          </w:p>
        </w:tc>
        <w:tc>
          <w:tcPr>
            <w:tcW w:w="29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0C5D7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①装置固定安装到报备位置并拍照留存；②启动连续采集，按轮值表执行：每天开学前查状态、放学前查数据；③每日填写室外气象与开窗行为记录表；④每周组会做数据质检；⑤第8周末冻结数据集（只读归档）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86E7F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安装照片；采集日志；行为记录表；周质检记录；数据集v1（不少于2周有效）</w:t>
            </w:r>
          </w:p>
        </w:tc>
      </w:tr>
      <w:tr w14:paraId="53A90E17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3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65E4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阶段四</w:t>
            </w:r>
          </w:p>
        </w:tc>
        <w:tc>
          <w:tcPr>
            <w:tcW w:w="29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①用 NumPy 清洗数据并构造特征；②训练持续性预测、岭回归与小型全连接网络并记录评估结果；③选定模型 int8 量化后部署上板，实测推理时延与内存占用；④若部署受阻启动退路方案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74DC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特征数据集；模型评估表；固件v2（含模型）；退路方案记录（如适用）</w:t>
            </w:r>
          </w:p>
        </w:tc>
      </w:tr>
      <w:tr w14:paraId="594DDB7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3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85E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阶段五</w:t>
            </w:r>
          </w:p>
        </w:tc>
        <w:tc>
          <w:tcPr>
            <w:tcW w:w="296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8E3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冻结模型和控制配置；配对回放测试；进行通风箱静态高浓度响应与动态持续释放实验，记录浓度、预测和风扇动作；定性结果与定量比较分开报告；汇总论文与归档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185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配对回放日志；通风箱场次记录、曲线与演示视频；误差与局限；论文和PPT</w:t>
            </w:r>
          </w:p>
        </w:tc>
      </w:tr>
    </w:tbl>
    <w:p w14:paraId="26694650">
      <w:pPr>
        <w:spacing w:after="60" w:line="312" w:lineRule="auto"/>
        <w:jc w:val="both"/>
        <w:rPr>
          <w:rFonts w:ascii="Times New Roman" w:eastAsia="宋体"/>
          <w:b/>
          <w:bCs/>
          <w:color w:val="000000"/>
          <w:sz w:val="24"/>
          <w:szCs w:val="24"/>
        </w:rPr>
      </w:pPr>
    </w:p>
    <w:p w14:paraId="6AC5C8F7">
      <w:pPr>
        <w:keepNext/>
        <w:spacing w:after="60" w:line="312" w:lineRule="auto"/>
        <w:ind w:firstLine="480"/>
        <w:jc w:val="both"/>
        <w:rPr>
          <w:rFonts w:hint="eastAsia" w:asci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两个执行要点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：</w:t>
      </w:r>
    </w:p>
    <w:p w14:paraId="0D987157">
      <w:pPr>
        <w:spacing w:after="60" w:line="312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其一，硬件搭建采用分步验证：先验证ESP32烧录，再验证SCD41读取，再验证TFT显示，最后验证12V风扇及PWM控制；每一步保留接线图、测试日志和照片。</w:t>
      </w:r>
    </w:p>
    <w:p w14:paraId="269ACCB8">
      <w:pPr>
        <w:spacing w:after="60" w:line="312" w:lineRule="auto"/>
        <w:ind w:firstLine="480"/>
        <w:jc w:val="both"/>
        <w:rPr>
          <w:b w:val="0"/>
          <w:bCs w:val="0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其二，数据采集阶段不可用少量数据替代；有效数据不足时延长采集期，不带着明显缺失和未解释异常进入建模。</w:t>
      </w:r>
    </w:p>
    <w:p w14:paraId="49DB5FA8">
      <w:pPr>
        <w:pStyle w:val="2"/>
        <w:keepNext/>
        <w:spacing w:before="360" w:after="160" w:line="312" w:lineRule="auto"/>
        <w:jc w:val="center"/>
      </w:pPr>
      <w:bookmarkStart w:id="16" w:name="_Toc100016"/>
      <w:r>
        <w:rPr>
          <w:rFonts w:ascii="Times New Roman" w:eastAsia="黑体"/>
          <w:b/>
          <w:bCs/>
          <w:color w:val="000000"/>
          <w:sz w:val="32"/>
          <w:szCs w:val="32"/>
        </w:rPr>
        <w:t>7  数据收集方案与可行性评估</w:t>
      </w:r>
      <w:bookmarkEnd w:id="16"/>
    </w:p>
    <w:p w14:paraId="5F0250B9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章回答“收集什么数据、用什么方式收集、以现有能力能否完成”。核心数据包括CO₂、温度、湿度、风扇状态、模型输出和实验环境记录；门窗、人员活动等为可选扩展。自动记录为主，人工记录用于补充通风行为和实验条件。 通风箱数据另行标记来源与实验场次，不与教室数据或公共数据回放混作同一环境；静态和动态实验分别记录。</w:t>
      </w:r>
    </w:p>
    <w:p w14:paraId="69FC2D3C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表6  数据收集方案与可行性评估</w:t>
      </w:r>
    </w:p>
    <w:tbl>
      <w:tblPr>
        <w:tblStyle w:val="14"/>
        <w:tblW w:w="4866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1"/>
        <w:gridCol w:w="2566"/>
        <w:gridCol w:w="1454"/>
        <w:gridCol w:w="1625"/>
        <w:gridCol w:w="1796"/>
      </w:tblGrid>
      <w:tr w14:paraId="2ED2800B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EF514"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数据项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1C87"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采集工具与方式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051CC"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频率与时段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0198B"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主要用途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CD1C"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可行性评估</w:t>
            </w:r>
          </w:p>
        </w:tc>
      </w:tr>
      <w:tr w14:paraId="169D71CD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C2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CO₂浓度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6C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SCD41经ESP32每1分钟自动记录1条；通过串口或本地文件导出，MQTT为可选扩展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B1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连续，重点覆盖上课时段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78E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建模主变量；实验阈值超限时长统计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6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全自动；每日检查完整性即可（易）</w:t>
            </w:r>
          </w:p>
        </w:tc>
      </w:tr>
      <w:tr w14:paraId="298C9559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8A3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温度、湿度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D6D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SCD41同步记录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1E0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连续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B7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建模特征；记录环境变化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42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全自动（易）</w:t>
            </w:r>
          </w:p>
        </w:tc>
      </w:tr>
      <w:tr w14:paraId="6AC9836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2AB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风扇状态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13C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系统记录启停、PWM档位和转速反馈（若接口提供）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52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自动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05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控制策略评价；运行时间统计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EB7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全自动（易）</w:t>
            </w:r>
          </w:p>
        </w:tc>
      </w:tr>
      <w:tr w14:paraId="4743FA82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D8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模型输出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481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ESP32记录5分钟和15分钟预测值及模型版本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D32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每次采样同步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CFC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比较预测与实测；追溯部署结果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EC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自动记录（中等）</w:t>
            </w:r>
          </w:p>
        </w:tc>
      </w:tr>
      <w:tr w14:paraId="4DEAF5D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49A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室内环境条件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827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记录上课、课间、人数变化和教室使用状态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824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每日人工补充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EBF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解释浓度变化；划分实验时段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D99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人工记录（易）</w:t>
            </w:r>
          </w:p>
        </w:tc>
      </w:tr>
      <w:tr w14:paraId="56C65E9D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70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室外气象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5AE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天气应用记录气温和天气现象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A22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每日1次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E0E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对照实验控制变量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D63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人工记录（易）</w:t>
            </w:r>
          </w:p>
        </w:tc>
      </w:tr>
      <w:tr w14:paraId="442DE77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E81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传感器参考检查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C41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已知稳定参考浓度才做强制校准；第二传感器只作一致性比较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65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采集前后，异常时复查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C00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稳定性和误差分析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2A0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参考条件不足时如实说明</w:t>
            </w:r>
          </w:p>
        </w:tc>
      </w:tr>
      <w:tr w14:paraId="442DE77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E81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通风箱实验条件</w:t>
            </w:r>
          </w:p>
        </w:tc>
        <w:tc>
          <w:tcPr>
            <w:tcW w:w="14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C41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人工记录场次、容积、开孔、位置、反应物大致用量及加入时间</w:t>
            </w:r>
          </w:p>
        </w:tc>
        <w:tc>
          <w:tcPr>
            <w:tcW w:w="8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65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每场实验及条件变化时</w:t>
            </w:r>
          </w:p>
        </w:tc>
        <w:tc>
          <w:tcPr>
            <w:tcW w:w="95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C00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解释静态响应与动态触发；区分数据来源</w:t>
            </w:r>
          </w:p>
        </w:tc>
        <w:tc>
          <w:tcPr>
            <w:tcW w:w="10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2A0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初期定性记录，预试验后固定流程</w:t>
            </w:r>
          </w:p>
        </w:tc>
      </w:tr>
    </w:tbl>
    <w:p w14:paraId="3A2C3B44">
      <w:pPr>
        <w:spacing w:after="60" w:line="312" w:lineRule="auto"/>
        <w:ind w:firstLine="480"/>
        <w:jc w:val="both"/>
        <w:rPr>
          <w:rFonts w:ascii="Times New Roman" w:eastAsia="宋体"/>
          <w:b/>
          <w:bCs/>
          <w:color w:val="000000"/>
          <w:sz w:val="24"/>
          <w:szCs w:val="24"/>
        </w:rPr>
      </w:pPr>
    </w:p>
    <w:p w14:paraId="0CD0EC36">
      <w:pPr>
        <w:pStyle w:val="2"/>
        <w:keepNext/>
        <w:spacing w:before="360" w:after="160" w:line="312" w:lineRule="auto"/>
        <w:jc w:val="center"/>
      </w:pPr>
      <w:bookmarkStart w:id="17" w:name="_Toc100017"/>
      <w:r>
        <w:rPr>
          <w:rFonts w:ascii="Times New Roman" w:eastAsia="黑体"/>
          <w:b/>
          <w:bCs/>
          <w:color w:val="000000"/>
          <w:sz w:val="32"/>
          <w:szCs w:val="32"/>
        </w:rPr>
        <w:t>8  数据统计与分析方法</w:t>
      </w:r>
      <w:bookmarkEnd w:id="17"/>
    </w:p>
    <w:p w14:paraId="7DC4D74F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当前模型链路在Python（NumPy、TensorFlow、Matplotlib）中实现；pandas、scikit-learn仅在后续分析确需时采用，训练脚本、参数和数据版本可追溯；ESP32端只保留必要的预处理、量化推理、显示和控制逻辑。</w:t>
      </w:r>
    </w:p>
    <w:p w14:paraId="21585A91">
      <w:pPr>
        <w:pStyle w:val="3"/>
        <w:keepNext/>
        <w:spacing w:before="240" w:after="120" w:line="312" w:lineRule="auto"/>
      </w:pPr>
      <w:bookmarkStart w:id="18" w:name="_Toc100018"/>
      <w:r>
        <w:rPr>
          <w:rFonts w:ascii="Times New Roman" w:eastAsia="黑体"/>
          <w:b/>
          <w:bCs/>
          <w:color w:val="000000"/>
          <w:sz w:val="28"/>
          <w:szCs w:val="28"/>
        </w:rPr>
        <w:t>8.1  数据清洗与整理</w:t>
      </w:r>
      <w:bookmarkEnd w:id="18"/>
    </w:p>
    <w:p w14:paraId="278D4B9D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原始数据只增不改，保存设备编号、时间戳、序号、固件版本与状态码。异常先标记，再按可复现规则处理，不仅因为低于400 ppm就删除数据。缺失、重启和长间隔两侧不得拼接成连续窗口；无法获得完整20分钟历史或未来目标值的样本不参与相应预测评估。标准化、缺失处理和特征选择只在训练集拟合，处理日志与原始文件一起归档。</w:t>
      </w:r>
    </w:p>
    <w:p w14:paraId="0A5B6158">
      <w:pPr>
        <w:pStyle w:val="3"/>
        <w:keepNext/>
        <w:spacing w:before="240" w:after="120" w:line="312" w:lineRule="auto"/>
      </w:pPr>
      <w:bookmarkStart w:id="19" w:name="_Toc100019"/>
      <w:r>
        <w:rPr>
          <w:rFonts w:ascii="Times New Roman" w:eastAsia="黑体"/>
          <w:b/>
          <w:bCs/>
          <w:color w:val="000000"/>
          <w:sz w:val="28"/>
          <w:szCs w:val="28"/>
        </w:rPr>
        <w:t>8.2  描述统计与图表</w:t>
      </w:r>
      <w:bookmarkEnd w:id="19"/>
    </w:p>
    <w:p w14:paraId="23F3A5B8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常规统计产出四类图表：每日浓度曲线、不同时段浓度分布箱线图、实验阈值超限时长日统计表（超过预先固定阈值的累计分钟数及占比，当前公开模型评估阈值为1500 ppm）、风扇控制状态与浓度变化的叠加图。核心指标包括日峰值、日均值、实验阈值超限时长占比与风扇启动后的浓度变化趋势。 该阈值仅作实验比较，不作为法规超标判定或人员暴露标准。</w:t>
      </w:r>
    </w:p>
    <w:p w14:paraId="694DFB49">
      <w:pPr>
        <w:pStyle w:val="3"/>
        <w:keepNext/>
        <w:spacing w:before="240" w:after="120" w:line="312" w:lineRule="auto"/>
      </w:pPr>
      <w:bookmarkStart w:id="20" w:name="_Toc100020"/>
      <w:r>
        <w:rPr>
          <w:rFonts w:ascii="Times New Roman" w:eastAsia="黑体"/>
          <w:b/>
          <w:bCs/>
          <w:color w:val="000000"/>
          <w:sz w:val="28"/>
          <w:szCs w:val="28"/>
        </w:rPr>
        <w:t>8.3  模型训练与评估</w:t>
      </w:r>
      <w:bookmarkEnd w:id="20"/>
    </w:p>
    <w:p w14:paraId="075287A3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先按完整日期顺序划分训练、验证、测试数据，再构造窗口。报告各段日期、有效样本数、两个时距的误差，以及量化前后和板端输出的差异。 通风箱数据按独立实验场次分组划分，再构造窗口；相邻片段和同一场次不得分入不同集合，箱体训练结果不能替代教室泛化评价。</w:t>
      </w:r>
    </w:p>
    <w:p w14:paraId="491715BC">
      <w:pPr>
        <w:pStyle w:val="3"/>
        <w:keepNext/>
        <w:spacing w:before="240" w:after="120" w:line="312" w:lineRule="auto"/>
      </w:pPr>
      <w:bookmarkStart w:id="21" w:name="_Toc100021"/>
      <w:r>
        <w:rPr>
          <w:rFonts w:ascii="Times New Roman" w:eastAsia="黑体"/>
          <w:b/>
          <w:bCs/>
          <w:color w:val="000000"/>
          <w:sz w:val="28"/>
          <w:szCs w:val="28"/>
        </w:rPr>
        <w:t>8.4  对照实验统计</w:t>
      </w:r>
      <w:bookmarkEnd w:id="21"/>
    </w:p>
    <w:p w14:paraId="4F635319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表7  统计分析任务一览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933"/>
        <w:gridCol w:w="3164"/>
        <w:gridCol w:w="2285"/>
      </w:tblGrid>
      <w:tr w14:paraId="42181E9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2D4D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分析任务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09931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数据来源</w:t>
            </w:r>
          </w:p>
        </w:tc>
        <w:tc>
          <w:tcPr>
            <w:tcW w:w="1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9B7B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方法与指标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9BA54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输出成果</w:t>
            </w:r>
          </w:p>
        </w:tc>
      </w:tr>
      <w:tr w14:paraId="4F24E933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264D7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数据清洗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3E5B0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原始采集库</w:t>
            </w:r>
          </w:p>
        </w:tc>
        <w:tc>
          <w:tcPr>
            <w:tcW w:w="1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3BCE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时间戳对齐；缺失与突跳剔除规则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819E2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清洗后数据集与处理日志</w:t>
            </w:r>
          </w:p>
        </w:tc>
      </w:tr>
      <w:tr w14:paraId="3975A42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AA5A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描述统计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E0514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清洗后数据</w:t>
            </w:r>
          </w:p>
        </w:tc>
        <w:tc>
          <w:tcPr>
            <w:tcW w:w="1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CB60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日峰值、日均值、实验阈值超限时长占比、下降速率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44AA1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四类图表与统计表</w:t>
            </w:r>
          </w:p>
        </w:tc>
      </w:tr>
      <w:tr w14:paraId="124112FD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54BAC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模型评估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0A10C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特征数据集</w:t>
            </w:r>
          </w:p>
        </w:tc>
        <w:tc>
          <w:tcPr>
            <w:tcW w:w="1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73773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MAE、RMSE、预测可用率；与基线对比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A85A8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模型评估表</w:t>
            </w:r>
          </w:p>
        </w:tc>
      </w:tr>
      <w:tr w14:paraId="554092D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DB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策略验证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1A3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冻结回放序列、风扇日志及独立通风箱场次</w:t>
            </w:r>
          </w:p>
        </w:tc>
        <w:tc>
          <w:tcPr>
            <w:tcW w:w="1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3AA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回放比较提前量、误触发和启停；箱体观察响应及提前触发，条件一致后再比较峰值与超限时间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510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执行比较表、静态与动态曲线、定性结论和研究边界</w:t>
            </w:r>
          </w:p>
        </w:tc>
      </w:tr>
      <w:tr w14:paraId="3623F166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640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误差分析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3BD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参考检查和量化对比记录</w:t>
            </w:r>
          </w:p>
        </w:tc>
        <w:tc>
          <w:tcPr>
            <w:tcW w:w="18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E41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一致性、参考条件、量化误差、板端数值差异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D2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误差分析与局限性</w:t>
            </w:r>
          </w:p>
        </w:tc>
      </w:tr>
    </w:tbl>
    <w:p w14:paraId="0D76FDD6">
      <w:pPr>
        <w:pStyle w:val="2"/>
        <w:keepNext/>
        <w:spacing w:before="360" w:after="160" w:line="312" w:lineRule="auto"/>
        <w:jc w:val="center"/>
      </w:pPr>
      <w:bookmarkStart w:id="22" w:name="_Toc100022"/>
      <w:r>
        <w:rPr>
          <w:rFonts w:ascii="Times New Roman" w:eastAsia="黑体"/>
          <w:b/>
          <w:bCs/>
          <w:color w:val="000000"/>
          <w:sz w:val="32"/>
          <w:szCs w:val="32"/>
        </w:rPr>
        <w:t>9  课题活动记录规划</w:t>
      </w:r>
      <w:bookmarkEnd w:id="22"/>
    </w:p>
    <w:p w14:paraId="45FFC32F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表8  六次活动记录规划</w:t>
      </w:r>
    </w:p>
    <w:tbl>
      <w:tblPr>
        <w:tblStyle w:val="14"/>
        <w:tblW w:w="501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3"/>
        <w:gridCol w:w="2159"/>
        <w:gridCol w:w="4975"/>
        <w:gridCol w:w="1019"/>
      </w:tblGrid>
      <w:tr w14:paraId="14A1ECB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7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A6FF2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次序</w:t>
            </w:r>
          </w:p>
        </w:tc>
        <w:tc>
          <w:tcPr>
            <w:tcW w:w="12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0B0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活动主题</w:t>
            </w:r>
          </w:p>
        </w:tc>
        <w:tc>
          <w:tcPr>
            <w:tcW w:w="28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60B2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  <w:tc>
          <w:tcPr>
            <w:tcW w:w="57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25BA2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</w:tr>
      <w:tr w14:paraId="2948390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7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EAB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一</w:t>
            </w:r>
          </w:p>
        </w:tc>
        <w:tc>
          <w:tcPr>
            <w:tcW w:w="12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E58C4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开题论证</w:t>
            </w:r>
          </w:p>
        </w:tc>
        <w:tc>
          <w:tcPr>
            <w:tcW w:w="28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EC372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确定分工；讨论基线实测方案</w:t>
            </w:r>
          </w:p>
        </w:tc>
        <w:tc>
          <w:tcPr>
            <w:tcW w:w="57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4C41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阶段一</w:t>
            </w:r>
          </w:p>
        </w:tc>
      </w:tr>
      <w:tr w14:paraId="1645E22F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7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533A7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二</w:t>
            </w:r>
          </w:p>
        </w:tc>
        <w:tc>
          <w:tcPr>
            <w:tcW w:w="12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C2580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硬件搭建与调试</w:t>
            </w:r>
          </w:p>
        </w:tc>
        <w:tc>
          <w:tcPr>
            <w:tcW w:w="28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CDDEE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器件验收；搭建电路与固件烧录；排查问题</w:t>
            </w:r>
          </w:p>
        </w:tc>
        <w:tc>
          <w:tcPr>
            <w:tcW w:w="57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C395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阶段二</w:t>
            </w:r>
          </w:p>
        </w:tc>
      </w:tr>
      <w:tr w14:paraId="719780E6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7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1B32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三</w:t>
            </w:r>
          </w:p>
        </w:tc>
        <w:tc>
          <w:tcPr>
            <w:tcW w:w="12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4CAF4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采集系统上线检查</w:t>
            </w:r>
          </w:p>
        </w:tc>
        <w:tc>
          <w:tcPr>
            <w:tcW w:w="28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416A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检查数据完整性与传感器漂移；讨论异常数据成因</w:t>
            </w:r>
          </w:p>
        </w:tc>
        <w:tc>
          <w:tcPr>
            <w:tcW w:w="57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CFD2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阶段三</w:t>
            </w:r>
          </w:p>
        </w:tc>
      </w:tr>
      <w:tr w14:paraId="67BCB999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7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A5AF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四</w:t>
            </w:r>
          </w:p>
        </w:tc>
        <w:tc>
          <w:tcPr>
            <w:tcW w:w="12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00E5C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模型训练与部署攻坚</w:t>
            </w:r>
          </w:p>
        </w:tc>
        <w:tc>
          <w:tcPr>
            <w:tcW w:w="28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1819D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对比基线与预测模型指标；量化部署与推理速度测试</w:t>
            </w:r>
          </w:p>
        </w:tc>
        <w:tc>
          <w:tcPr>
            <w:tcW w:w="57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4471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阶段四</w:t>
            </w:r>
          </w:p>
        </w:tc>
      </w:tr>
      <w:tr w14:paraId="0B1BC15D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7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90D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五</w:t>
            </w:r>
          </w:p>
        </w:tc>
        <w:tc>
          <w:tcPr>
            <w:tcW w:w="12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F5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策略与实机验证</w:t>
            </w:r>
          </w:p>
        </w:tc>
        <w:tc>
          <w:tcPr>
            <w:tcW w:w="28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1D5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检查PWM接口、转速与连续运行；核对统计口径</w:t>
            </w:r>
          </w:p>
        </w:tc>
        <w:tc>
          <w:tcPr>
            <w:tcW w:w="57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797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阶段五</w:t>
            </w:r>
          </w:p>
        </w:tc>
      </w:tr>
      <w:tr w14:paraId="4AFEE32F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7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4C19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六</w:t>
            </w:r>
          </w:p>
        </w:tc>
        <w:tc>
          <w:tcPr>
            <w:tcW w:w="12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40113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论文定稿与答辩预演</w:t>
            </w:r>
          </w:p>
        </w:tc>
        <w:tc>
          <w:tcPr>
            <w:tcW w:w="282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C464F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完成误差分析与结论；形成论文与PPT；模拟答辩</w:t>
            </w:r>
          </w:p>
        </w:tc>
        <w:tc>
          <w:tcPr>
            <w:tcW w:w="57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DB3B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阶段五</w:t>
            </w:r>
          </w:p>
        </w:tc>
      </w:tr>
    </w:tbl>
    <w:p w14:paraId="076AE6E4">
      <w:pPr>
        <w:pStyle w:val="2"/>
        <w:keepNext/>
        <w:spacing w:before="360" w:after="160" w:line="312" w:lineRule="auto"/>
        <w:jc w:val="center"/>
      </w:pPr>
      <w:bookmarkStart w:id="23" w:name="_Toc100023"/>
      <w:r>
        <w:rPr>
          <w:rFonts w:ascii="Times New Roman" w:eastAsia="黑体"/>
          <w:b/>
          <w:bCs/>
          <w:color w:val="000000"/>
          <w:sz w:val="32"/>
          <w:szCs w:val="32"/>
        </w:rPr>
        <w:t>10  资源需求</w:t>
      </w:r>
      <w:bookmarkEnd w:id="23"/>
    </w:p>
    <w:p w14:paraId="0653A8F4">
      <w:pPr>
        <w:pStyle w:val="3"/>
        <w:keepNext/>
        <w:spacing w:before="240" w:after="120" w:line="312" w:lineRule="auto"/>
      </w:pPr>
      <w:bookmarkStart w:id="24" w:name="_Toc100024"/>
      <w:r>
        <w:rPr>
          <w:rFonts w:ascii="Times New Roman" w:eastAsia="黑体"/>
          <w:b/>
          <w:bCs/>
          <w:color w:val="000000"/>
          <w:sz w:val="28"/>
          <w:szCs w:val="28"/>
        </w:rPr>
        <w:t>10.1  硬件清单</w:t>
      </w:r>
      <w:bookmarkEnd w:id="24"/>
    </w:p>
    <w:p w14:paraId="4F537E67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表9  硬件清单（表内价格为预算占位，非本次市场核价；按实际采购记录更新）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2812"/>
        <w:gridCol w:w="733"/>
        <w:gridCol w:w="1200"/>
        <w:gridCol w:w="2285"/>
      </w:tblGrid>
      <w:tr w14:paraId="4FF996E6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8172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品名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542A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规格要点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51F9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317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参考单价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4BAF7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48AAD519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C7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ESP32-S3开发板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386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ESP32-S3-WROOM-1-N16R8兼容板；16MB Flash、8MB PSRAM、USB-C、已焊排针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D31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0C7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约70至120元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C90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主控、量化推理、显示和控制</w:t>
            </w:r>
          </w:p>
        </w:tc>
      </w:tr>
      <w:tr w14:paraId="6EF2B636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0CC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SCD41模块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8C9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SCD41蓝板；I2C接口；优先3.3V供电与3.3V逻辑；引脚为GND/VDD/SCL/SDA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114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25E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约80至150元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5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CO₂、温度、湿度采集</w:t>
            </w:r>
          </w:p>
        </w:tc>
      </w:tr>
      <w:tr w14:paraId="482B880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D82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2.4英寸TFT屏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A7E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SPI接口；确认ILI9341或实际驱动型号；确认3.3V逻辑兼容；建议240×320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101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6CE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约25至60元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D82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显示实时值、预测值、曲线和风扇状态</w:t>
            </w:r>
          </w:p>
        </w:tc>
      </w:tr>
      <w:tr w14:paraId="08CF7B09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66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12V四线PWM风扇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ABE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40×40×10mm原型风扇；确认标准4线定义和PWM接口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19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824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约15至40元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D02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控制执行器原型</w:t>
            </w:r>
          </w:p>
        </w:tc>
      </w:tr>
      <w:tr w14:paraId="5D8BAFE6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2B1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PWM风扇接口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3FF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现有5V升12V调速器须查外部控制输入；无GPIO控制接口则另配开漏PWM接口，不并联两路风扇供电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D24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7AB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约15至40元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A2F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风扇控制；转速读取另行确认</w:t>
            </w:r>
          </w:p>
        </w:tc>
      </w:tr>
      <w:tr w14:paraId="5C4A16A2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8BE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12V电源适配器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FC6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输出12V、3A；5.5×2.1mm接口；不要使用不明确的12/24V输出版本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6FA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068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约25至50元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3F7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风扇和降压模块供电</w:t>
            </w:r>
          </w:p>
        </w:tc>
      </w:tr>
      <w:tr w14:paraId="2F6E5470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539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12V转5V降压模块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243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输入7至35V，输出5V、3A，带USB或螺丝端子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69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CC5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约10至25元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8C6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为需5V的低压模块供电；风扇由12V适配器独立供电，不经调速器重复升压</w:t>
            </w:r>
          </w:p>
        </w:tc>
      </w:tr>
      <w:tr w14:paraId="21AF40F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D4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面包板与杜邦线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133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830孔面包板；公对公、公对母、母对母线材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2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1套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814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约25至40元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DC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原型搭建</w:t>
            </w:r>
          </w:p>
        </w:tc>
      </w:tr>
      <w:tr w14:paraId="75DDA22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93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接线与安全件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05E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CH-3接线端子、风扇延长线、保险或限流件、绝缘外壳和防护网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63A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1套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F7B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约30至80元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73B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电源分配和安全固定</w:t>
            </w:r>
          </w:p>
        </w:tc>
      </w:tr>
      <w:tr w14:paraId="15D3A29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DF7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参考设备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292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借用已校准仪器优先；低成本第二传感器仅作一致性比较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1DE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50A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约90至300元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65C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参考检查与误差分析</w:t>
            </w:r>
          </w:p>
        </w:tc>
      </w:tr>
      <w:tr w14:paraId="0B804487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002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功率测量工具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98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按被测支路选择直流功率计；USB功率计仅测USB支路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3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13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约20至100元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9EC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记录计量支路与整机电压、电流和时间；USB支路读数不能代替12V风扇能耗</w:t>
            </w:r>
          </w:p>
        </w:tc>
      </w:tr>
      <w:tr w14:paraId="0B804487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002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透明通风箱材料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98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约40至60 L透明带盖收纳箱；对侧可调进气口、排气风扇安装孔、挡板及固定件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3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1套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13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按实际选型记录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9EC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静态与动态实验；容积与开孔经预试验确定</w:t>
            </w:r>
          </w:p>
        </w:tc>
      </w:tr>
      <w:tr w14:paraId="0B804487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002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化学制气与防护材料</w:t>
            </w:r>
          </w:p>
        </w:tc>
        <w:tc>
          <w:tcPr>
            <w:tcW w:w="159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98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小苏打、白醋、敞口反应杯、托盘、护目镜；与电子设备隔离</w:t>
            </w:r>
          </w:p>
        </w:tc>
        <w:tc>
          <w:tcPr>
            <w:tcW w:w="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3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1套</w:t>
            </w:r>
          </w:p>
        </w:tc>
        <w:tc>
          <w:tcPr>
            <w:tcW w:w="68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13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按实际用量记录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9EC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提供少量CO₂扰动；初期不作为定量流量气源</w:t>
            </w:r>
          </w:p>
        </w:tc>
      </w:tr>
    </w:tbl>
    <w:p w14:paraId="0B67A086">
      <w:pPr>
        <w:pStyle w:val="3"/>
        <w:keepNext/>
        <w:spacing w:before="240" w:after="120" w:line="312" w:lineRule="auto"/>
      </w:pPr>
      <w:bookmarkStart w:id="25" w:name="_Toc100025"/>
      <w:r>
        <w:rPr>
          <w:rFonts w:ascii="Times New Roman" w:eastAsia="黑体"/>
          <w:b/>
          <w:bCs/>
          <w:color w:val="000000"/>
          <w:sz w:val="28"/>
          <w:szCs w:val="28"/>
        </w:rPr>
        <w:t>10.2  软件与开发环境</w:t>
      </w:r>
      <w:bookmarkEnd w:id="25"/>
    </w:p>
    <w:p w14:paraId="64F7FFFB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表10  软件与开发环境</w:t>
      </w:r>
    </w:p>
    <w:tbl>
      <w:tblPr>
        <w:tblStyle w:val="14"/>
        <w:tblW w:w="5002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1"/>
        <w:gridCol w:w="5921"/>
      </w:tblGrid>
      <w:tr w14:paraId="73C29C10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163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E632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336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5D4C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632E20B4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4E7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Arduino IDE 2 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sz w:val="20"/>
                <w:szCs w:val="20"/>
              </w:rPr>
              <w:t>ESP32支持包</w:t>
            </w:r>
          </w:p>
        </w:tc>
        <w:tc>
          <w:tcPr>
            <w:tcW w:w="336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60A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固件编译、烧录、串口调试和TFT显示开发</w:t>
            </w:r>
          </w:p>
        </w:tc>
      </w:tr>
      <w:tr w14:paraId="457ABE8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CE2F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NumPy TensorFlow Matplotlib；Pandas/Scikit-learn可选</w:t>
            </w:r>
            <w:r>
              <w:rPr>
                <w:sz w:val="20"/>
                <w:szCs w:val="20"/>
              </w:rPr>
            </w:r>
            <w:r>
              <w:rPr>
                <w:rFonts w:hint="eastAsia"/>
                <w:sz w:val="20"/>
                <w:szCs w:val="20"/>
                <w:lang w:val="en-US" w:eastAsia="zh-CN"/>
              </w:rPr>
            </w:r>
            <w:r>
              <w:rPr>
                <w:sz w:val="20"/>
                <w:szCs w:val="20"/>
              </w:rPr>
            </w:r>
            <w:r>
              <w:rPr>
                <w:rFonts w:hint="eastAsia"/>
                <w:sz w:val="20"/>
                <w:szCs w:val="20"/>
                <w:lang w:val="en-US" w:eastAsia="zh-CN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336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317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数据清洗、基线训练、评估和绘图</w:t>
            </w:r>
          </w:p>
        </w:tc>
      </w:tr>
      <w:tr w14:paraId="03A83B9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214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量化部署工具</w:t>
            </w:r>
          </w:p>
        </w:tc>
        <w:tc>
          <w:tcPr>
            <w:tcW w:w="336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E6E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当前为TensorFlow Lite int8导出与Arduino Chirale_TensorFLowLite 2.0.0（TFLite Micro）；ESP-DL仅作后续备选</w:t>
            </w:r>
          </w:p>
        </w:tc>
      </w:tr>
      <w:tr w14:paraId="4EE733D9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66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336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E8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代码、模型、数据处理脚本和实验记录版本管理</w:t>
            </w:r>
          </w:p>
        </w:tc>
      </w:tr>
      <w:tr w14:paraId="2EB4F2D4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56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串口工具</w:t>
            </w:r>
          </w:p>
        </w:tc>
        <w:tc>
          <w:tcPr>
            <w:tcW w:w="336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3FA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可使用Arduino IDE串口监视器；用于查看采集日志</w:t>
            </w:r>
          </w:p>
        </w:tc>
      </w:tr>
    </w:tbl>
    <w:p w14:paraId="31BDEFFA">
      <w:pPr>
        <w:pStyle w:val="3"/>
        <w:keepNext/>
        <w:spacing w:before="240" w:after="120" w:line="312" w:lineRule="auto"/>
      </w:pPr>
      <w:bookmarkStart w:id="26" w:name="_Toc100026"/>
      <w:r>
        <w:rPr>
          <w:rFonts w:ascii="Times New Roman" w:eastAsia="黑体"/>
          <w:b/>
          <w:bCs/>
          <w:color w:val="000000"/>
          <w:sz w:val="28"/>
          <w:szCs w:val="28"/>
        </w:rPr>
        <w:t>10.3  人员分工</w:t>
      </w:r>
      <w:bookmarkEnd w:id="26"/>
    </w:p>
    <w:p w14:paraId="136F085B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课题负责人【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】负责整体统筹、嵌入式开发与算法建模；组员【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2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】负责数据记录、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打印建模、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设备维护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、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学校报备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。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全体成员参与数据分析讨论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等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。</w:t>
      </w:r>
    </w:p>
    <w:p w14:paraId="7D8C9A70">
      <w:pPr>
        <w:pStyle w:val="3"/>
        <w:keepNext/>
        <w:spacing w:before="240" w:after="120" w:line="312" w:lineRule="auto"/>
      </w:pPr>
      <w:bookmarkStart w:id="27" w:name="_Toc100027"/>
      <w:r>
        <w:rPr>
          <w:rFonts w:ascii="Times New Roman" w:eastAsia="黑体"/>
          <w:b/>
          <w:bCs/>
          <w:color w:val="000000"/>
          <w:sz w:val="28"/>
          <w:szCs w:val="28"/>
        </w:rPr>
        <w:t>10.4  场地与安全注意事项</w:t>
      </w:r>
      <w:bookmarkEnd w:id="27"/>
    </w:p>
    <w:p w14:paraId="59D9C82D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使用成品12V 3A适配器，避免USB与外部5V相互回灌，风扇加防护网，电源线使用匹配端子和绝缘固定，调试后撤除松动的面包板连接。</w:t>
      </w:r>
    </w:p>
    <w:p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通风箱化学制气在通风场所由教师或家长协助开展，佩戴护目镜；使用少量小苏打与白醋，反应器不封死、不使用燃烧制气。保留泄压与换气通路，避免液滴、冷凝水接触电路；不将头部伸入箱体。以实测浓度控制实验范围，不能因定性演示而省略浓度监测。</w:t>
      </w:r>
    </w:p>
    <w:p w14:paraId="2F461D55">
      <w:pPr>
        <w:pStyle w:val="2"/>
        <w:keepNext/>
        <w:spacing w:before="360" w:after="160" w:line="312" w:lineRule="auto"/>
        <w:jc w:val="center"/>
      </w:pPr>
      <w:bookmarkStart w:id="28" w:name="_Toc100028"/>
      <w:r>
        <w:rPr>
          <w:rFonts w:ascii="Times New Roman" w:eastAsia="黑体"/>
          <w:b/>
          <w:bCs/>
          <w:color w:val="000000"/>
          <w:sz w:val="32"/>
          <w:szCs w:val="32"/>
        </w:rPr>
        <w:t>11  风险分析与应对措施</w:t>
      </w:r>
      <w:bookmarkEnd w:id="28"/>
    </w:p>
    <w:p w14:paraId="4AD872F9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表11  风险分析与应对措施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2285"/>
        <w:gridCol w:w="4745"/>
      </w:tblGrid>
      <w:tr w14:paraId="583BE2B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4EFDC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BB75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AD0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应对措施</w:t>
            </w:r>
          </w:p>
        </w:tc>
      </w:tr>
      <w:tr w14:paraId="29A59F18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C5C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模型量化部署受阻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DB3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核心TinyML目标未达成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024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缩小网络与算子集；核对量化、内存和板端输出；电脑推理只作阶段后备，不能替代本地验收</w:t>
            </w:r>
          </w:p>
        </w:tc>
      </w:tr>
      <w:tr w14:paraId="57D9676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02D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SCD41参考条件不足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3C1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绝对误差无法充分验证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62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记录ASC条件；不默认室外为400 ppm；无已知参考浓度时仅做稳定性和一致性检查</w:t>
            </w:r>
          </w:p>
        </w:tc>
      </w:tr>
      <w:tr w14:paraId="2C34505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E53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有效数据不足或时间泄漏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CC2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模型评估不可靠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BF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延长采集期；按时间切分训练/验证/测试；冻结原始数据并保留清洗日志</w:t>
            </w:r>
          </w:p>
        </w:tc>
      </w:tr>
      <w:tr w14:paraId="1BC23BA7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F8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调速器没有外部控制口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70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ESP32无法管理风扇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A78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验收GPIO输入、电平与PWM接口；纯旋钮调速器仅作手动测试，另配外部控制接口</w:t>
            </w:r>
          </w:p>
        </w:tc>
      </w:tr>
      <w:tr w14:paraId="634286E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4C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循环风扇无换气路径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C5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不能验证CO₂闭环效果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B30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教室仅做预测评价与执行回放；通风箱设置对侧进气和向外排气，单独报告箱体结果</w:t>
            </w:r>
          </w:p>
        </w:tc>
      </w:tr>
      <w:tr w14:paraId="1EFA93C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4F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屏幕、电源引起重启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5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采集数据中断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7AE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12V与低压电源分开；降压模块留有电流余量；所有模块共地并记录供电测试</w:t>
            </w:r>
          </w:p>
        </w:tc>
      </w:tr>
      <w:tr w14:paraId="1EFA93C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4F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箱体泄漏或释放过快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5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浓度难以上升，或模型来不及预测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7AE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可调开孔；分次少量释放；预试验形成分钟级变化，固定传感器位置</w:t>
            </w:r>
          </w:p>
        </w:tc>
      </w:tr>
      <w:tr w14:paraId="1EFA93C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4F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制气压力或液体接触电路</w:t>
            </w:r>
          </w:p>
        </w:tc>
        <w:tc>
          <w:tcPr>
            <w:tcW w:w="13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5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装置损坏与实验安全风险</w:t>
            </w:r>
          </w:p>
        </w:tc>
        <w:tc>
          <w:tcPr>
            <w:tcW w:w="27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7AE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不封死反应器与气路；保留排气；独立托盘和电路隔离，成人协助</w:t>
            </w:r>
          </w:p>
        </w:tc>
      </w:tr>
    </w:tbl>
    <w:p w14:paraId="65D2522A">
      <w:pPr>
        <w:pStyle w:val="2"/>
        <w:keepNext/>
        <w:spacing w:before="360" w:after="160" w:line="312" w:lineRule="auto"/>
        <w:jc w:val="center"/>
      </w:pPr>
      <w:bookmarkStart w:id="29" w:name="_Toc100029"/>
      <w:r>
        <w:rPr>
          <w:rFonts w:ascii="Times New Roman" w:eastAsia="黑体"/>
          <w:b/>
          <w:bCs/>
          <w:color w:val="000000"/>
          <w:sz w:val="32"/>
          <w:szCs w:val="32"/>
        </w:rPr>
        <w:t>12  预期成果与呈现方式</w:t>
      </w:r>
      <w:bookmarkEnd w:id="29"/>
    </w:p>
    <w:p w14:paraId="6CC61855">
      <w:pPr>
        <w:pStyle w:val="19"/>
        <w:numPr>
          <w:ilvl w:val="0"/>
          <w:numId w:val="3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论文一篇，包含CO₂数据质量、基线预测、量化部署记录、风扇控制实验、误差分析与研究边界。</w:t>
      </w:r>
    </w:p>
    <w:p w14:paraId="689337C2">
      <w:pPr>
        <w:pStyle w:val="19"/>
        <w:numPr>
          <w:ilvl w:val="0"/>
          <w:numId w:val="3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可运行原型装置一台，包含ESP32-S3、SCD41、2.4英寸TFT和独立12V风扇，支持实时显示、模型预测和风扇策略切换。</w:t>
      </w:r>
    </w:p>
    <w:p w14:paraId="5F6279BA">
      <w:pPr>
        <w:pStyle w:val="19"/>
        <w:numPr>
          <w:ilvl w:val="0"/>
          <w:numId w:val="3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开源代码仓库与数据集，包含电脑端清洗与训练代码、ESP32采集和控制固件、量化模型文件、实验日志和版本记录。</w:t>
      </w:r>
    </w:p>
    <w:p w14:paraId="08A9B850">
      <w:pPr>
        <w:pStyle w:val="19"/>
        <w:numPr>
          <w:ilvl w:val="0"/>
          <w:numId w:val="3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PPT与演示视频，用于展示CO₂测量、本地预测、屏幕显示和风扇控制链路；演示中明确说明原型边界。 增加透明通风箱静态响应与动态提前触发演示，标注实测时间、数据来源和已完成的功能。</w:t>
      </w:r>
    </w:p>
    <w:p w14:paraId="50B1C5B7">
      <w:pPr>
        <w:pStyle w:val="2"/>
        <w:keepNext/>
        <w:spacing w:before="360" w:after="160" w:line="312" w:lineRule="auto"/>
        <w:jc w:val="center"/>
      </w:pPr>
      <w:bookmarkStart w:id="30" w:name="_Toc100030"/>
      <w:r>
        <w:rPr>
          <w:rFonts w:ascii="Times New Roman" w:eastAsia="黑体"/>
          <w:b/>
          <w:bCs/>
          <w:color w:val="000000"/>
          <w:sz w:val="32"/>
          <w:szCs w:val="32"/>
        </w:rPr>
        <w:t>13  拓展规划</w:t>
      </w:r>
      <w:bookmarkEnd w:id="30"/>
    </w:p>
    <w:p w14:paraId="1FA1674C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0A1628"/>
          <w:sz w:val="21"/>
          <w:szCs w:val="21"/>
        </w:rPr>
        <w:t>表12  探究性学习与综评要求对照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6"/>
        <w:gridCol w:w="4218"/>
        <w:gridCol w:w="1933"/>
      </w:tblGrid>
      <w:tr w14:paraId="2DAB98B8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76A5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要求项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850E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本方案对应内容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6A82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5F37DB8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5E5F3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记录册：选题背景与研究意义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7A23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第2章；文献摘记表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E57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已具备</w:t>
            </w:r>
          </w:p>
        </w:tc>
      </w:tr>
      <w:tr w14:paraId="4755C318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A1737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记录册：研究计划与阶段安排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C666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第4、5、6章及表4、表5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F1F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已具备</w:t>
            </w:r>
          </w:p>
        </w:tc>
      </w:tr>
      <w:tr w14:paraId="4D7102A8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2B21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记录册：六次活动记录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85492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第9章规划，按记录册逐次填写并签字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FDA7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按学期执行</w:t>
            </w:r>
          </w:p>
        </w:tc>
      </w:tr>
      <w:tr w14:paraId="13D0CEF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8BE6F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记录册：研究成果（论文/报告）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9B6DE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第12章成果清单，论文含对照实验数据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050C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课题结束产出</w:t>
            </w:r>
          </w:p>
        </w:tc>
      </w:tr>
      <w:tr w14:paraId="56C3034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8C202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记录册：评价与审核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045A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自评与互评据10.3节分工据实形成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29347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机制已设计</w:t>
            </w:r>
          </w:p>
        </w:tc>
      </w:tr>
      <w:tr w14:paraId="1920926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7FA19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综评：佐证材料（大小以校方当前要求为准）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3B22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装置照片、数据图表、GitHub提交记录摘录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9A55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过程持续留存</w:t>
            </w:r>
          </w:p>
        </w:tc>
      </w:tr>
      <w:tr w14:paraId="30D2CAF0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424F7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综评：真实性认定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F3400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第11章留痕措施；学校专家委员会认定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A0E9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机制已设计</w:t>
            </w:r>
          </w:p>
        </w:tc>
      </w:tr>
      <w:tr w14:paraId="033DA122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5DA1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综评：过程与反思（字数以校方当前要求为准）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F33D3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本章衔接映射，取材对照实验与误差分析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260A1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框架已预留</w:t>
            </w:r>
          </w:p>
        </w:tc>
      </w:tr>
      <w:tr w14:paraId="6E1FDF9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7C17F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探究性学习六要素</w:t>
            </w:r>
          </w:p>
        </w:tc>
        <w:tc>
          <w:tcPr>
            <w:tcW w:w="24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6E04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第2至8、11、12章闭环覆盖</w:t>
            </w:r>
          </w:p>
        </w:tc>
        <w:tc>
          <w:tcPr>
            <w:tcW w:w="110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E9A2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已对齐</w:t>
            </w:r>
          </w:p>
        </w:tc>
      </w:tr>
    </w:tbl>
    <w:p w14:paraId="738385CF">
      <w:pPr>
        <w:pStyle w:val="2"/>
        <w:keepNext/>
        <w:spacing w:before="360" w:after="160" w:line="312" w:lineRule="auto"/>
        <w:jc w:val="center"/>
      </w:pPr>
      <w:bookmarkStart w:id="31" w:name="_Toc100031"/>
      <w:r>
        <w:rPr>
          <w:rFonts w:ascii="Times New Roman" w:eastAsia="黑体"/>
          <w:b/>
          <w:bCs/>
          <w:color w:val="000000"/>
          <w:sz w:val="32"/>
          <w:szCs w:val="32"/>
        </w:rPr>
        <w:t>14  主要参考文献与资料方向</w:t>
      </w:r>
      <w:bookmarkEnd w:id="31"/>
    </w:p>
    <w:p w14:paraId="7EA8F29F">
      <w:pPr>
        <w:pStyle w:val="19"/>
        <w:numPr>
          <w:ilvl w:val="0"/>
          <w:numId w:val="4"/>
        </w:numPr>
        <w:spacing w:after="40" w:line="312" w:lineRule="auto"/>
        <w:jc w:val="left"/>
        <w:rPr>
          <w:sz w:val="18"/>
          <w:szCs w:val="18"/>
        </w:rPr>
      </w:pPr>
      <w:r>
        <w:rPr>
          <w:rFonts w:ascii="Times New Roman" w:eastAsia="宋体"/>
          <w:b w:val="0"/>
          <w:bCs w:val="0"/>
          <w:color w:val="000000"/>
          <w:sz w:val="18"/>
          <w:szCs w:val="18"/>
        </w:rPr>
        <w:t>Espressif Systems. ESP32-S3-WROOM-1与WROOM-1U数据手册。https://www.espressif.com/sites/default/files/documentation/esp32-s3-wroom-1_</w:t>
      </w:r>
      <w:bookmarkStart w:id="32" w:name="_GoBack"/>
      <w:bookmarkEnd w:id="32"/>
      <w:r>
        <w:rPr>
          <w:rFonts w:ascii="Times New Roman" w:eastAsia="宋体"/>
          <w:b w:val="0"/>
          <w:bCs w:val="0"/>
          <w:color w:val="000000"/>
          <w:sz w:val="18"/>
          <w:szCs w:val="18"/>
        </w:rPr>
        <w:t>wroom-1u_datasheet_en.pdf</w:t>
      </w:r>
    </w:p>
    <w:p w14:paraId="3AD0D7CE">
      <w:pPr>
        <w:pStyle w:val="19"/>
        <w:numPr>
          <w:ilvl w:val="0"/>
          <w:numId w:val="4"/>
        </w:numPr>
        <w:spacing w:after="40" w:line="312" w:lineRule="auto"/>
        <w:jc w:val="left"/>
        <w:rPr>
          <w:sz w:val="18"/>
          <w:szCs w:val="18"/>
        </w:rPr>
      </w:pPr>
      <w:r>
        <w:rPr>
          <w:rFonts w:ascii="Times New Roman" w:eastAsia="宋体"/>
          <w:b w:val="0"/>
          <w:bCs w:val="0"/>
          <w:color w:val="000000"/>
          <w:sz w:val="18"/>
          <w:szCs w:val="18"/>
        </w:rPr>
        <w:t>Sensirion. SCD4x数据手册，版本1.7，2025。https://sensirion.com/media/documents/48C4B7FB/67FE0194/CD_DS_SCD4x_Datasheet_D1.pdf</w:t>
      </w:r>
    </w:p>
    <w:p w14:paraId="00FCF2C8">
      <w:pPr>
        <w:pStyle w:val="19"/>
        <w:numPr>
          <w:ilvl w:val="0"/>
          <w:numId w:val="4"/>
        </w:numPr>
        <w:spacing w:after="40" w:line="312" w:lineRule="auto"/>
        <w:jc w:val="left"/>
        <w:rPr>
          <w:sz w:val="18"/>
          <w:szCs w:val="18"/>
        </w:rPr>
      </w:pPr>
      <w:r>
        <w:rPr>
          <w:rFonts w:ascii="Times New Roman" w:eastAsia="宋体"/>
          <w:b w:val="0"/>
          <w:bCs w:val="0"/>
          <w:color w:val="000000"/>
          <w:sz w:val="18"/>
          <w:szCs w:val="18"/>
        </w:rPr>
        <w:t>ASHRAE. 室内CO₂、通风与空气质量立场文件入口。https://www.ashrae.org/about/position-documents</w:t>
      </w:r>
    </w:p>
    <w:p>
      <w:pPr>
        <w:pStyle w:val="19"/>
        <w:numPr>
          <w:ilvl w:val="0"/>
          <w:numId w:val="4"/>
        </w:numPr>
        <w:spacing w:after="40" w:line="312" w:lineRule="auto"/>
        <w:jc w:val="left"/>
        <w:rPr>
          <w:sz w:val="18"/>
          <w:szCs w:val="18"/>
        </w:rPr>
      </w:pPr>
      <w:r>
        <w:rPr>
          <w:rFonts w:ascii="Times New Roman" w:eastAsia="宋体"/>
          <w:b w:val="0"/>
          <w:bCs w:val="0"/>
          <w:color w:val="000000"/>
          <w:sz w:val="18"/>
          <w:szCs w:val="18"/>
        </w:rPr>
        <w:t>Sensirion. SCD4x Design-In Guide. https://sensirion.com/media/documents/0D0C9129/623B1183/Sensirion_CO2_Sensors_SCD4x_design-in_guide.pdf</w:t>
      </w:r>
    </w:p>
    <w:p>
      <w:pPr>
        <w:pStyle w:val="19"/>
        <w:numPr>
          <w:ilvl w:val="0"/>
          <w:numId w:val="4"/>
        </w:numPr>
        <w:spacing w:after="40" w:line="312" w:lineRule="auto"/>
        <w:jc w:val="left"/>
        <w:rPr>
          <w:sz w:val="18"/>
          <w:szCs w:val="18"/>
        </w:rPr>
      </w:pPr>
      <w:r>
        <w:rPr>
          <w:rFonts w:ascii="Times New Roman" w:eastAsia="宋体"/>
          <w:b w:val="0"/>
          <w:bCs w:val="0"/>
          <w:color w:val="000000"/>
          <w:sz w:val="18"/>
          <w:szCs w:val="18"/>
        </w:rPr>
        <w:t>American Chemical Society. Controlling the Amount of Products in a Chemical Reaction. https://www.acs.org/middleschoolchemistry/lessonplans/chapter6/lesson2.html</w:t>
      </w:r>
    </w:p>
    <w:sectPr>
      <w:headerReference r:id="rId5" w:type="default"/>
      <w:footerReference r:id="rId6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C6F9B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75334">
    <w:pPr>
      <w:pBdr>
        <w:bottom w:val="single" w:color="C8DDE2" w:sz="2" w:space="4"/>
      </w:pBdr>
      <w:jc w:val="center"/>
    </w:pPr>
    <w:r>
      <w:rPr>
        <w:rFonts w:ascii="Times New Roman" w:eastAsia="宋体"/>
        <w:color w:val="808080"/>
        <w:sz w:val="18"/>
        <w:szCs w:val="18"/>
      </w:rPr>
      <w:t>基于TinyML的室内CO</w:t>
    </w:r>
    <w:r>
      <w:rPr>
        <w:rFonts w:ascii="Times New Roman" w:eastAsia="宋体"/>
        <w:color w:val="808080"/>
        <w:sz w:val="18"/>
        <w:szCs w:val="18"/>
        <w:vertAlign w:val="subscript"/>
      </w:rPr>
      <w:t>2</w:t>
    </w:r>
    <w:r>
      <w:rPr>
        <w:rFonts w:ascii="Times New Roman" w:eastAsia="宋体"/>
        <w:color w:val="808080"/>
        <w:sz w:val="18"/>
        <w:szCs w:val="18"/>
      </w:rPr>
      <w:t>浓度预测与风扇控制系统设计课题方案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7B33E"/>
    <w:multiLevelType w:val="singleLevel"/>
    <w:tmpl w:val="95B7B33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9B23A5DF"/>
    <w:multiLevelType w:val="singleLevel"/>
    <w:tmpl w:val="9B23A5D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147F6E0C"/>
    <w:multiLevelType w:val="singleLevel"/>
    <w:tmpl w:val="147F6E0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1557E381"/>
    <w:multiLevelType w:val="singleLevel"/>
    <w:tmpl w:val="1557E381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457860D6"/>
    <w:rsid w:val="4CBA3EF8"/>
    <w:rsid w:val="53626EBD"/>
    <w:rsid w:val="6ADC6B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360" w:after="160" w:line="312" w:lineRule="auto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20" w:line="312" w:lineRule="auto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spacing w:before="200" w:after="100" w:line="312" w:lineRule="auto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000000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000000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000000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qFormat/>
    <w:uiPriority w:val="39"/>
    <w:pPr>
      <w:tabs>
        <w:tab w:val="right" w:leader="dot" w:pos="9026"/>
      </w:tabs>
      <w:spacing w:before="40" w:after="20"/>
      <w:ind w:left="720"/>
    </w:pPr>
  </w:style>
  <w:style w:type="paragraph" w:styleId="9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oc 1"/>
    <w:basedOn w:val="1"/>
    <w:qFormat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11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2">
    <w:name w:val="toc 2"/>
    <w:basedOn w:val="1"/>
    <w:qFormat/>
    <w:uiPriority w:val="39"/>
    <w:pPr>
      <w:tabs>
        <w:tab w:val="right" w:leader="dot" w:pos="9026"/>
      </w:tabs>
      <w:spacing w:before="60" w:after="40"/>
      <w:ind w:left="360"/>
    </w:pPr>
  </w:style>
  <w:style w:type="paragraph" w:styleId="13">
    <w:name w:val="Title"/>
    <w:basedOn w:val="1"/>
    <w:next w:val="1"/>
    <w:qFormat/>
    <w:uiPriority w:val="0"/>
    <w:rPr>
      <w:color w:val="000000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6655</Words>
  <Characters>7875</Characters>
  <TotalTime>16</TotalTime>
  <ScaleCrop>false</ScaleCrop>
  <LinksUpToDate>false</LinksUpToDate>
  <CharactersWithSpaces>7992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2026-10-05T14:12:00Z</dcterms:created>
  <dc:creator>Un-named</dc:creator>
  <dc:description>在原方案基础上修订技术边界、硬件、实验方法和风险表述。</dc:description>
  <cp:lastModifiedBy>SupersAm</cp:lastModifiedBy>
  <dcterms:modified xsi:type="dcterms:W3CDTF">2026-10-07T08:31:44Z</dcterms:modified>
  <dc:subject>研究性学习课题方案修订版</dc:subject>
  <dc:title>基于TinyML的室内CO₂浓度预测与风扇控制系统设计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eyJoZGlkIjoiZjg5MGUyNDczNjBiNGVlOGJhNjMwY2MwNDYxODM5NjciLCJ1c2VySWQiOiI1MTc0NDA3MTgifQ==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DD3FC62D8A80481190FB329ABBFD031F_12</vt:lpwstr>
  </property>
</Properties>
</file>