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Healing Spaces Inclusive Skills &amp; Recovery Centre</w:t>
      </w:r>
    </w:p>
    <w:p>
      <w:pPr>
        <w:jc w:val="center"/>
      </w:pPr>
      <w:r>
        <w:rPr>
          <w:b/>
        </w:rPr>
        <w:t>Comprehensive Proposal for Integrated Vocational Training, Holistic Recovery &amp; Youth Employment</w:t>
      </w:r>
    </w:p>
    <w:p>
      <w:r>
        <w:br/>
        <w:t>Project Lead: Esther Awori</w:t>
      </w:r>
    </w:p>
    <w:p>
      <w:r>
        <w:t>Location: Eastern Uganda</w:t>
      </w:r>
    </w:p>
    <w:p>
      <w:r>
        <w:t>Duration per Intake: 12 Months</w:t>
      </w:r>
    </w:p>
    <w:p>
      <w:r>
        <w:t>Target Beneficiaries: 20 Youth (10 Disabled, 10 Vulnerable)</w:t>
      </w:r>
    </w:p>
    <w:p>
      <w:r>
        <w:br w:type="page"/>
      </w:r>
    </w:p>
    <w:p>
      <w:pPr>
        <w:pStyle w:val="Heading2"/>
      </w:pPr>
      <w:r>
        <w:t>Executive Summary</w:t>
      </w:r>
    </w:p>
    <w:p>
      <w:r>
        <w:t>The Healing Spaces Inclusive Skills &amp; Recovery Centre is a holistic model that integrates vocational training, psychosocial recovery, life-skills development, and structured work-based learning. The centre targets disabled and vulnerable youth in Eastern Uganda who lack access to employment, safe learning environments, and economic opportunity. The project will train 20 beneficiaries per intake while generating sustainable income through internal production units.</w:t>
      </w:r>
    </w:p>
    <w:p>
      <w:r>
        <w:br w:type="page"/>
      </w:r>
    </w:p>
    <w:p>
      <w:pPr>
        <w:pStyle w:val="Heading2"/>
      </w:pPr>
      <w:r>
        <w:t>Cover Letter to Potential Partners</w:t>
      </w:r>
    </w:p>
    <w:p>
      <w:r>
        <w:t>Dear Partner,</w:t>
        <w:br/>
        <w:br/>
        <w:t>I am pleased to present this proposal for the Healing Spaces Inclusive Skills &amp; Recovery Centre. This initiative is designed to restore dignity, build practical skills, and transition vulnerable youth into sustainable employment. We seek partnership support to establish and operate this transformative centre in Eastern Uganda.</w:t>
        <w:br/>
        <w:br/>
        <w:t>Your partnership will directly impact disabled and vulnerable youth by providing training, accommodation, mentorship, and income-generating opportunities.</w:t>
        <w:br/>
        <w:br/>
        <w:t>Sincerely,</w:t>
        <w:br/>
        <w:t>Esther Awori</w:t>
        <w:br/>
        <w:t>Project Lead</w:t>
      </w:r>
    </w:p>
    <w:p>
      <w:r>
        <w:br w:type="page"/>
      </w:r>
    </w:p>
    <w:p>
      <w:pPr>
        <w:pStyle w:val="Heading2"/>
      </w:pPr>
      <w:r>
        <w:t>1. Background &amp; Vision</w:t>
      </w:r>
    </w:p>
    <w:p>
      <w:r>
        <w:t>Many disabled and vulnerable youth face unemployment, trauma, and exclusion. Healing Spaces provides a peaceful, structured, and inclusive environment where youth receive both practical vocational training and emotional restoration.</w:t>
      </w:r>
    </w:p>
    <w:p>
      <w:pPr>
        <w:pStyle w:val="Heading2"/>
      </w:pPr>
      <w:r>
        <w:t>2. Project Objectives</w:t>
      </w:r>
    </w:p>
    <w:p>
      <w:pPr>
        <w:pStyle w:val="ListNumber"/>
      </w:pPr>
      <w:r>
        <w:t>Train 20 youth per intake in market-driven vocational skills.</w:t>
      </w:r>
    </w:p>
    <w:p>
      <w:pPr>
        <w:pStyle w:val="ListNumber"/>
      </w:pPr>
      <w:r>
        <w:t>Provide psychosocial support, mentorship, and life-skills development.</w:t>
      </w:r>
    </w:p>
    <w:p>
      <w:pPr>
        <w:pStyle w:val="ListNumber"/>
      </w:pPr>
      <w:r>
        <w:t>Offer structured work placement within centre business units.</w:t>
      </w:r>
    </w:p>
    <w:p>
      <w:pPr>
        <w:pStyle w:val="ListNumber"/>
      </w:pPr>
      <w:r>
        <w:t>Develop sustainable internal income streams.</w:t>
      </w:r>
    </w:p>
    <w:p>
      <w:pPr>
        <w:pStyle w:val="Heading2"/>
      </w:pPr>
      <w:r>
        <w:t>3. Training Programs</w:t>
      </w:r>
    </w:p>
    <w:p>
      <w:pPr>
        <w:pStyle w:val="ListBullet"/>
      </w:pPr>
      <w:r>
        <w:t>Makeup &amp; Hairdressing</w:t>
      </w:r>
    </w:p>
    <w:p>
      <w:pPr>
        <w:pStyle w:val="ListBullet"/>
      </w:pPr>
      <w:r>
        <w:t>Baking &amp; Juice Production</w:t>
      </w:r>
    </w:p>
    <w:p>
      <w:pPr>
        <w:pStyle w:val="ListBullet"/>
      </w:pPr>
      <w:r>
        <w:t>Ushering Services</w:t>
      </w:r>
    </w:p>
    <w:p>
      <w:pPr>
        <w:pStyle w:val="ListBullet"/>
      </w:pPr>
      <w:r>
        <w:t>Tailoring &amp; Design</w:t>
      </w:r>
    </w:p>
    <w:p>
      <w:pPr>
        <w:pStyle w:val="Heading2"/>
      </w:pPr>
      <w:r>
        <w:t>4. Detailed Startup Budget (UGX)</w:t>
      </w:r>
    </w:p>
    <w:p>
      <w:pPr>
        <w:pStyle w:val="Heading3"/>
      </w:pPr>
      <w:r>
        <w:t>Facility Costs</w:t>
      </w:r>
    </w:p>
    <w:tbl>
      <w:tblPr>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 (UGX)</w:t>
            </w:r>
          </w:p>
        </w:tc>
      </w:tr>
      <w:tr>
        <w:tc>
          <w:tcPr>
            <w:tcW w:type="dxa" w:w="4320"/>
          </w:tcPr>
          <w:p>
            <w:r>
              <w:t>Rent – 8 rooms (6 months advance)</w:t>
            </w:r>
          </w:p>
        </w:tc>
        <w:tc>
          <w:tcPr>
            <w:tcW w:type="dxa" w:w="4320"/>
          </w:tcPr>
          <w:p>
            <w:r>
              <w:t>4,800,000</w:t>
            </w:r>
          </w:p>
        </w:tc>
      </w:tr>
      <w:tr>
        <w:tc>
          <w:tcPr>
            <w:tcW w:type="dxa" w:w="4320"/>
          </w:tcPr>
          <w:p>
            <w:r>
              <w:t>Renovation &amp; setup</w:t>
            </w:r>
          </w:p>
        </w:tc>
        <w:tc>
          <w:tcPr>
            <w:tcW w:type="dxa" w:w="4320"/>
          </w:tcPr>
          <w:p>
            <w:r>
              <w:t>1,500,000</w:t>
            </w:r>
          </w:p>
        </w:tc>
      </w:tr>
    </w:tbl>
    <w:p/>
    <w:p>
      <w:pPr>
        <w:pStyle w:val="Heading3"/>
      </w:pPr>
      <w:r>
        <w:t>Accommodation Setup</w:t>
      </w:r>
    </w:p>
    <w:tbl>
      <w:tblPr>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 (UGX)</w:t>
            </w:r>
          </w:p>
        </w:tc>
      </w:tr>
      <w:tr>
        <w:tc>
          <w:tcPr>
            <w:tcW w:type="dxa" w:w="4320"/>
          </w:tcPr>
          <w:p>
            <w:r>
              <w:t>Double decker beds</w:t>
            </w:r>
          </w:p>
        </w:tc>
        <w:tc>
          <w:tcPr>
            <w:tcW w:type="dxa" w:w="4320"/>
          </w:tcPr>
          <w:p>
            <w:r>
              <w:t>3,000,000</w:t>
            </w:r>
          </w:p>
        </w:tc>
      </w:tr>
      <w:tr>
        <w:tc>
          <w:tcPr>
            <w:tcW w:type="dxa" w:w="4320"/>
          </w:tcPr>
          <w:p>
            <w:r>
              <w:t>Mattresses &amp; bedding</w:t>
            </w:r>
          </w:p>
        </w:tc>
        <w:tc>
          <w:tcPr>
            <w:tcW w:type="dxa" w:w="4320"/>
          </w:tcPr>
          <w:p>
            <w:r>
              <w:t>2,000,000</w:t>
            </w:r>
          </w:p>
        </w:tc>
      </w:tr>
    </w:tbl>
    <w:p/>
    <w:p>
      <w:pPr>
        <w:pStyle w:val="Heading3"/>
      </w:pPr>
      <w:r>
        <w:t>Hairdressing &amp; Makeup Equipment</w:t>
      </w:r>
    </w:p>
    <w:tbl>
      <w:tblPr>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 (UGX)</w:t>
            </w:r>
          </w:p>
        </w:tc>
      </w:tr>
      <w:tr>
        <w:tc>
          <w:tcPr>
            <w:tcW w:type="dxa" w:w="4320"/>
          </w:tcPr>
          <w:p>
            <w:r>
              <w:t>Salon chairs</w:t>
            </w:r>
          </w:p>
        </w:tc>
        <w:tc>
          <w:tcPr>
            <w:tcW w:type="dxa" w:w="4320"/>
          </w:tcPr>
          <w:p>
            <w:r>
              <w:t>1,200,000</w:t>
            </w:r>
          </w:p>
        </w:tc>
      </w:tr>
      <w:tr>
        <w:tc>
          <w:tcPr>
            <w:tcW w:type="dxa" w:w="4320"/>
          </w:tcPr>
          <w:p>
            <w:r>
              <w:t>Mirrors &amp; shelves</w:t>
            </w:r>
          </w:p>
        </w:tc>
        <w:tc>
          <w:tcPr>
            <w:tcW w:type="dxa" w:w="4320"/>
          </w:tcPr>
          <w:p>
            <w:r>
              <w:t>600,000</w:t>
            </w:r>
          </w:p>
        </w:tc>
      </w:tr>
      <w:tr>
        <w:tc>
          <w:tcPr>
            <w:tcW w:type="dxa" w:w="4320"/>
          </w:tcPr>
          <w:p>
            <w:r>
              <w:t>Hair dryers &amp; clippers</w:t>
            </w:r>
          </w:p>
        </w:tc>
        <w:tc>
          <w:tcPr>
            <w:tcW w:type="dxa" w:w="4320"/>
          </w:tcPr>
          <w:p>
            <w:r>
              <w:t>800,000</w:t>
            </w:r>
          </w:p>
        </w:tc>
      </w:tr>
      <w:tr>
        <w:tc>
          <w:tcPr>
            <w:tcW w:type="dxa" w:w="4320"/>
          </w:tcPr>
          <w:p>
            <w:r>
              <w:t>Makeup kits</w:t>
            </w:r>
          </w:p>
        </w:tc>
        <w:tc>
          <w:tcPr>
            <w:tcW w:type="dxa" w:w="4320"/>
          </w:tcPr>
          <w:p>
            <w:r>
              <w:t>1,000,000</w:t>
            </w:r>
          </w:p>
        </w:tc>
      </w:tr>
    </w:tbl>
    <w:p/>
    <w:p>
      <w:pPr>
        <w:pStyle w:val="Heading3"/>
      </w:pPr>
      <w:r>
        <w:t>Baking &amp; Juice Equipment</w:t>
      </w:r>
    </w:p>
    <w:tbl>
      <w:tblPr>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 (UGX)</w:t>
            </w:r>
          </w:p>
        </w:tc>
      </w:tr>
      <w:tr>
        <w:tc>
          <w:tcPr>
            <w:tcW w:type="dxa" w:w="4320"/>
          </w:tcPr>
          <w:p>
            <w:r>
              <w:t>Oven</w:t>
            </w:r>
          </w:p>
        </w:tc>
        <w:tc>
          <w:tcPr>
            <w:tcW w:type="dxa" w:w="4320"/>
          </w:tcPr>
          <w:p>
            <w:r>
              <w:t>1,500,000</w:t>
            </w:r>
          </w:p>
        </w:tc>
      </w:tr>
      <w:tr>
        <w:tc>
          <w:tcPr>
            <w:tcW w:type="dxa" w:w="4320"/>
          </w:tcPr>
          <w:p>
            <w:r>
              <w:t>Mixer</w:t>
            </w:r>
          </w:p>
        </w:tc>
        <w:tc>
          <w:tcPr>
            <w:tcW w:type="dxa" w:w="4320"/>
          </w:tcPr>
          <w:p>
            <w:r>
              <w:t>800,000</w:t>
            </w:r>
          </w:p>
        </w:tc>
      </w:tr>
      <w:tr>
        <w:tc>
          <w:tcPr>
            <w:tcW w:type="dxa" w:w="4320"/>
          </w:tcPr>
          <w:p>
            <w:r>
              <w:t>Fridge</w:t>
            </w:r>
          </w:p>
        </w:tc>
        <w:tc>
          <w:tcPr>
            <w:tcW w:type="dxa" w:w="4320"/>
          </w:tcPr>
          <w:p>
            <w:r>
              <w:t>1,200,000</w:t>
            </w:r>
          </w:p>
        </w:tc>
      </w:tr>
      <w:tr>
        <w:tc>
          <w:tcPr>
            <w:tcW w:type="dxa" w:w="4320"/>
          </w:tcPr>
          <w:p>
            <w:r>
              <w:t>Gas cooker</w:t>
            </w:r>
          </w:p>
        </w:tc>
        <w:tc>
          <w:tcPr>
            <w:tcW w:type="dxa" w:w="4320"/>
          </w:tcPr>
          <w:p>
            <w:r>
              <w:t>500,000</w:t>
            </w:r>
          </w:p>
        </w:tc>
      </w:tr>
      <w:tr>
        <w:tc>
          <w:tcPr>
            <w:tcW w:type="dxa" w:w="4320"/>
          </w:tcPr>
          <w:p>
            <w:r>
              <w:t>Blenders</w:t>
            </w:r>
          </w:p>
        </w:tc>
        <w:tc>
          <w:tcPr>
            <w:tcW w:type="dxa" w:w="4320"/>
          </w:tcPr>
          <w:p>
            <w:r>
              <w:t>400,000</w:t>
            </w:r>
          </w:p>
        </w:tc>
      </w:tr>
      <w:tr>
        <w:tc>
          <w:tcPr>
            <w:tcW w:type="dxa" w:w="4320"/>
          </w:tcPr>
          <w:p>
            <w:r>
              <w:t>Utensils &amp; trays</w:t>
            </w:r>
          </w:p>
        </w:tc>
        <w:tc>
          <w:tcPr>
            <w:tcW w:type="dxa" w:w="4320"/>
          </w:tcPr>
          <w:p>
            <w:r>
              <w:t>600,000</w:t>
            </w:r>
          </w:p>
        </w:tc>
      </w:tr>
    </w:tbl>
    <w:p/>
    <w:p>
      <w:pPr>
        <w:pStyle w:val="Heading3"/>
      </w:pPr>
      <w:r>
        <w:t>Tailoring Equipment</w:t>
      </w:r>
    </w:p>
    <w:tbl>
      <w:tblPr>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 (UGX)</w:t>
            </w:r>
          </w:p>
        </w:tc>
      </w:tr>
      <w:tr>
        <w:tc>
          <w:tcPr>
            <w:tcW w:type="dxa" w:w="4320"/>
          </w:tcPr>
          <w:p>
            <w:r>
              <w:t>Sewing machines</w:t>
            </w:r>
          </w:p>
        </w:tc>
        <w:tc>
          <w:tcPr>
            <w:tcW w:type="dxa" w:w="4320"/>
          </w:tcPr>
          <w:p>
            <w:r>
              <w:t>4,000,000</w:t>
            </w:r>
          </w:p>
        </w:tc>
      </w:tr>
      <w:tr>
        <w:tc>
          <w:tcPr>
            <w:tcW w:type="dxa" w:w="4320"/>
          </w:tcPr>
          <w:p>
            <w:r>
              <w:t>Overlock machine</w:t>
            </w:r>
          </w:p>
        </w:tc>
        <w:tc>
          <w:tcPr>
            <w:tcW w:type="dxa" w:w="4320"/>
          </w:tcPr>
          <w:p>
            <w:r>
              <w:t>1,500,000</w:t>
            </w:r>
          </w:p>
        </w:tc>
      </w:tr>
      <w:tr>
        <w:tc>
          <w:tcPr>
            <w:tcW w:type="dxa" w:w="4320"/>
          </w:tcPr>
          <w:p>
            <w:r>
              <w:t>Cutting table</w:t>
            </w:r>
          </w:p>
        </w:tc>
        <w:tc>
          <w:tcPr>
            <w:tcW w:type="dxa" w:w="4320"/>
          </w:tcPr>
          <w:p>
            <w:r>
              <w:t>700,000</w:t>
            </w:r>
          </w:p>
        </w:tc>
      </w:tr>
      <w:tr>
        <w:tc>
          <w:tcPr>
            <w:tcW w:type="dxa" w:w="4320"/>
          </w:tcPr>
          <w:p>
            <w:r>
              <w:t>Irons &amp; tools</w:t>
            </w:r>
          </w:p>
        </w:tc>
        <w:tc>
          <w:tcPr>
            <w:tcW w:type="dxa" w:w="4320"/>
          </w:tcPr>
          <w:p>
            <w:r>
              <w:t>500,000</w:t>
            </w:r>
          </w:p>
        </w:tc>
      </w:tr>
      <w:tr>
        <w:tc>
          <w:tcPr>
            <w:tcW w:type="dxa" w:w="4320"/>
          </w:tcPr>
          <w:p>
            <w:r>
              <w:t>Starter fabrics</w:t>
            </w:r>
          </w:p>
        </w:tc>
        <w:tc>
          <w:tcPr>
            <w:tcW w:type="dxa" w:w="4320"/>
          </w:tcPr>
          <w:p>
            <w:r>
              <w:t>1,000,000</w:t>
            </w:r>
          </w:p>
        </w:tc>
      </w:tr>
    </w:tbl>
    <w:p/>
    <w:p>
      <w:pPr>
        <w:pStyle w:val="Heading3"/>
      </w:pPr>
      <w:r>
        <w:t>Ushering Services Setup</w:t>
      </w:r>
    </w:p>
    <w:tbl>
      <w:tblPr>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 (UGX)</w:t>
            </w:r>
          </w:p>
        </w:tc>
      </w:tr>
      <w:tr>
        <w:tc>
          <w:tcPr>
            <w:tcW w:type="dxa" w:w="4320"/>
          </w:tcPr>
          <w:p>
            <w:r>
              <w:t>Uniforms</w:t>
            </w:r>
          </w:p>
        </w:tc>
        <w:tc>
          <w:tcPr>
            <w:tcW w:type="dxa" w:w="4320"/>
          </w:tcPr>
          <w:p>
            <w:r>
              <w:t>1,200,000</w:t>
            </w:r>
          </w:p>
        </w:tc>
      </w:tr>
      <w:tr>
        <w:tc>
          <w:tcPr>
            <w:tcW w:type="dxa" w:w="4320"/>
          </w:tcPr>
          <w:p>
            <w:r>
              <w:t>Training materials</w:t>
            </w:r>
          </w:p>
        </w:tc>
        <w:tc>
          <w:tcPr>
            <w:tcW w:type="dxa" w:w="4320"/>
          </w:tcPr>
          <w:p>
            <w:r>
              <w:t>300,000</w:t>
            </w:r>
          </w:p>
        </w:tc>
      </w:tr>
    </w:tbl>
    <w:p/>
    <w:p>
      <w:pPr>
        <w:pStyle w:val="Heading3"/>
      </w:pPr>
      <w:r>
        <w:t>General Furniture</w:t>
      </w:r>
    </w:p>
    <w:tbl>
      <w:tblPr>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 (UGX)</w:t>
            </w:r>
          </w:p>
        </w:tc>
      </w:tr>
      <w:tr>
        <w:tc>
          <w:tcPr>
            <w:tcW w:type="dxa" w:w="4320"/>
          </w:tcPr>
          <w:p>
            <w:r>
              <w:t>Office desk &amp; chairs</w:t>
            </w:r>
          </w:p>
        </w:tc>
        <w:tc>
          <w:tcPr>
            <w:tcW w:type="dxa" w:w="4320"/>
          </w:tcPr>
          <w:p>
            <w:r>
              <w:t>800,000</w:t>
            </w:r>
          </w:p>
        </w:tc>
      </w:tr>
      <w:tr>
        <w:tc>
          <w:tcPr>
            <w:tcW w:type="dxa" w:w="4320"/>
          </w:tcPr>
          <w:p>
            <w:r>
              <w:t>Training chairs</w:t>
            </w:r>
          </w:p>
        </w:tc>
        <w:tc>
          <w:tcPr>
            <w:tcW w:type="dxa" w:w="4320"/>
          </w:tcPr>
          <w:p>
            <w:r>
              <w:t>1,200,000</w:t>
            </w:r>
          </w:p>
        </w:tc>
      </w:tr>
      <w:tr>
        <w:tc>
          <w:tcPr>
            <w:tcW w:type="dxa" w:w="4320"/>
          </w:tcPr>
          <w:p>
            <w:r>
              <w:t>Shelves &amp; cupboards</w:t>
            </w:r>
          </w:p>
        </w:tc>
        <w:tc>
          <w:tcPr>
            <w:tcW w:type="dxa" w:w="4320"/>
          </w:tcPr>
          <w:p>
            <w:r>
              <w:t>1,000,000</w:t>
            </w:r>
          </w:p>
        </w:tc>
      </w:tr>
    </w:tbl>
    <w:p/>
    <w:p>
      <w:pPr>
        <w:pStyle w:val="Heading3"/>
      </w:pPr>
      <w:r>
        <w:t>Total Startup Budget: 32,100,000 UGX</w:t>
      </w:r>
    </w:p>
    <w:p>
      <w:pPr>
        <w:pStyle w:val="Heading2"/>
      </w:pPr>
      <w:r>
        <w:t>5. Staffing Structure &amp; Annual Salaries (UGX)</w:t>
      </w:r>
    </w:p>
    <w:p>
      <w:pPr>
        <w:pStyle w:val="Heading3"/>
      </w:pPr>
      <w:r>
        <w:t>Core Staff (Annual)</w:t>
      </w:r>
    </w:p>
    <w:tbl>
      <w:tblPr>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 (UGX)</w:t>
            </w:r>
          </w:p>
        </w:tc>
      </w:tr>
      <w:tr>
        <w:tc>
          <w:tcPr>
            <w:tcW w:type="dxa" w:w="4320"/>
          </w:tcPr>
          <w:p>
            <w:r>
              <w:t>Centre Director – 1,000,000/month</w:t>
            </w:r>
          </w:p>
        </w:tc>
        <w:tc>
          <w:tcPr>
            <w:tcW w:type="dxa" w:w="4320"/>
          </w:tcPr>
          <w:p>
            <w:r>
              <w:t>12,000,000</w:t>
            </w:r>
          </w:p>
        </w:tc>
      </w:tr>
      <w:tr>
        <w:tc>
          <w:tcPr>
            <w:tcW w:type="dxa" w:w="4320"/>
          </w:tcPr>
          <w:p>
            <w:r>
              <w:t>Vocational Trainers (4 @ 500,000/month)</w:t>
            </w:r>
          </w:p>
        </w:tc>
        <w:tc>
          <w:tcPr>
            <w:tcW w:type="dxa" w:w="4320"/>
          </w:tcPr>
          <w:p>
            <w:r>
              <w:t>24,000,000</w:t>
            </w:r>
          </w:p>
        </w:tc>
      </w:tr>
      <w:tr>
        <w:tc>
          <w:tcPr>
            <w:tcW w:type="dxa" w:w="4320"/>
          </w:tcPr>
          <w:p>
            <w:r>
              <w:t>Counsellor – 600,000/month</w:t>
            </w:r>
          </w:p>
        </w:tc>
        <w:tc>
          <w:tcPr>
            <w:tcW w:type="dxa" w:w="4320"/>
          </w:tcPr>
          <w:p>
            <w:r>
              <w:t>7,200,000</w:t>
            </w:r>
          </w:p>
        </w:tc>
      </w:tr>
      <w:tr>
        <w:tc>
          <w:tcPr>
            <w:tcW w:type="dxa" w:w="4320"/>
          </w:tcPr>
          <w:p>
            <w:r>
              <w:t>Administrator – 500,000/month</w:t>
            </w:r>
          </w:p>
        </w:tc>
        <w:tc>
          <w:tcPr>
            <w:tcW w:type="dxa" w:w="4320"/>
          </w:tcPr>
          <w:p>
            <w:r>
              <w:t>6,000,000</w:t>
            </w:r>
          </w:p>
        </w:tc>
      </w:tr>
      <w:tr>
        <w:tc>
          <w:tcPr>
            <w:tcW w:type="dxa" w:w="4320"/>
          </w:tcPr>
          <w:p>
            <w:r>
              <w:t>Support Staff – 400,000/month</w:t>
            </w:r>
          </w:p>
        </w:tc>
        <w:tc>
          <w:tcPr>
            <w:tcW w:type="dxa" w:w="4320"/>
          </w:tcPr>
          <w:p>
            <w:r>
              <w:t>4,800,000</w:t>
            </w:r>
          </w:p>
        </w:tc>
      </w:tr>
    </w:tbl>
    <w:p/>
    <w:p>
      <w:pPr>
        <w:pStyle w:val="Heading2"/>
      </w:pPr>
      <w:r>
        <w:t>6. Annual Operational Costs (UGX)</w:t>
      </w:r>
    </w:p>
    <w:p>
      <w:pPr>
        <w:pStyle w:val="Heading3"/>
      </w:pPr>
      <w:r>
        <w:t>Operational Expenses</w:t>
      </w:r>
    </w:p>
    <w:tbl>
      <w:tblPr>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 (UGX)</w:t>
            </w:r>
          </w:p>
        </w:tc>
      </w:tr>
      <w:tr>
        <w:tc>
          <w:tcPr>
            <w:tcW w:type="dxa" w:w="4320"/>
          </w:tcPr>
          <w:p>
            <w:r>
              <w:t>Utilities</w:t>
            </w:r>
          </w:p>
        </w:tc>
        <w:tc>
          <w:tcPr>
            <w:tcW w:type="dxa" w:w="4320"/>
          </w:tcPr>
          <w:p>
            <w:r>
              <w:t>3,600,000</w:t>
            </w:r>
          </w:p>
        </w:tc>
      </w:tr>
      <w:tr>
        <w:tc>
          <w:tcPr>
            <w:tcW w:type="dxa" w:w="4320"/>
          </w:tcPr>
          <w:p>
            <w:r>
              <w:t>Food for beneficiaries</w:t>
            </w:r>
          </w:p>
        </w:tc>
        <w:tc>
          <w:tcPr>
            <w:tcW w:type="dxa" w:w="4320"/>
          </w:tcPr>
          <w:p>
            <w:r>
              <w:t>12,000,000</w:t>
            </w:r>
          </w:p>
        </w:tc>
      </w:tr>
      <w:tr>
        <w:tc>
          <w:tcPr>
            <w:tcW w:type="dxa" w:w="4320"/>
          </w:tcPr>
          <w:p>
            <w:r>
              <w:t>Training consumables</w:t>
            </w:r>
          </w:p>
        </w:tc>
        <w:tc>
          <w:tcPr>
            <w:tcW w:type="dxa" w:w="4320"/>
          </w:tcPr>
          <w:p>
            <w:r>
              <w:t>5,000,000</w:t>
            </w:r>
          </w:p>
        </w:tc>
      </w:tr>
      <w:tr>
        <w:tc>
          <w:tcPr>
            <w:tcW w:type="dxa" w:w="4320"/>
          </w:tcPr>
          <w:p>
            <w:r>
              <w:t>Maintenance &amp; repairs</w:t>
            </w:r>
          </w:p>
        </w:tc>
        <w:tc>
          <w:tcPr>
            <w:tcW w:type="dxa" w:w="4320"/>
          </w:tcPr>
          <w:p>
            <w:r>
              <w:t>3,000,000</w:t>
            </w:r>
          </w:p>
        </w:tc>
      </w:tr>
      <w:tr>
        <w:tc>
          <w:tcPr>
            <w:tcW w:type="dxa" w:w="4320"/>
          </w:tcPr>
          <w:p>
            <w:r>
              <w:t>Transport &amp; outreach</w:t>
            </w:r>
          </w:p>
        </w:tc>
        <w:tc>
          <w:tcPr>
            <w:tcW w:type="dxa" w:w="4320"/>
          </w:tcPr>
          <w:p>
            <w:r>
              <w:t>4,000,000</w:t>
            </w:r>
          </w:p>
        </w:tc>
      </w:tr>
      <w:tr>
        <w:tc>
          <w:tcPr>
            <w:tcW w:type="dxa" w:w="4320"/>
          </w:tcPr>
          <w:p>
            <w:r>
              <w:t>Monitoring &amp; evaluation</w:t>
            </w:r>
          </w:p>
        </w:tc>
        <w:tc>
          <w:tcPr>
            <w:tcW w:type="dxa" w:w="4320"/>
          </w:tcPr>
          <w:p>
            <w:r>
              <w:t>2,500,000</w:t>
            </w:r>
          </w:p>
        </w:tc>
      </w:tr>
    </w:tbl>
    <w:p/>
    <w:p>
      <w:pPr>
        <w:pStyle w:val="Heading2"/>
      </w:pPr>
      <w:r>
        <w:t>7. Sustainability Strategy</w:t>
      </w:r>
    </w:p>
    <w:p>
      <w:r>
        <w:t>Income will be generated through salon services, tailoring production, baked goods sales, and ushering services. Profits will gradually offset operational costs and support expansion.</w:t>
      </w:r>
    </w:p>
    <w:p>
      <w:pPr>
        <w:pStyle w:val="Heading2"/>
      </w:pPr>
      <w:r>
        <w:t>8. Monitoring &amp; Evaluation</w:t>
      </w:r>
    </w:p>
    <w:p>
      <w:r>
        <w:t>Performance indicators will include attendance, competency assessments, employment placement rates, income generation, and psychosocial improvement tracking. Quarterly reviews and annual reports will be conducted.</w:t>
      </w:r>
    </w:p>
    <w:p>
      <w:pPr>
        <w:pStyle w:val="Heading2"/>
      </w:pPr>
      <w:r>
        <w:t>9. Risk Analysis</w:t>
      </w:r>
    </w:p>
    <w:p>
      <w:r>
        <w:t>Potential risks include market fluctuations, funding gaps, and operational challenges. Mitigation strategies include diversified income streams, phased expansion, and strong financial management systems.</w:t>
      </w:r>
    </w:p>
    <w:p>
      <w:pPr>
        <w:pStyle w:val="Heading2"/>
      </w:pPr>
      <w:r>
        <w:t>10. Partnerships &amp; Stakeholders</w:t>
      </w:r>
    </w:p>
    <w:p>
      <w:r>
        <w:t>The centre will collaborate with local schools, churches, community leaders, businesses, NGOs, and disability advocacy groups to ensure inclusion, market linkage, and sustainability.</w:t>
      </w:r>
    </w:p>
    <w:p>
      <w:pPr>
        <w:pStyle w:val="Heading2"/>
      </w:pPr>
      <w:r>
        <w:t>11. Three-Year Expansion Plan</w:t>
      </w:r>
    </w:p>
    <w:p>
      <w:r>
        <w:t>Year 1: Establish and stabilize operations.</w:t>
        <w:br/>
        <w:t>Year 2: Increase intake to 30 beneficiaries.</w:t>
        <w:br/>
        <w:t>Year 3: Expand programs and explore second branch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