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Implementation Findings Report</w:t>
      </w:r>
    </w:p>
    <w:p>
      <w:pPr>
        <w:spacing w:after="40"/>
      </w:pPr>
      <w:r>
        <w:rPr>
          <w:color w:val="2E5395"/>
          <w:sz w:val="24"/>
          <w:szCs w:val="24"/>
        </w:rPr>
        <w:t xml:space="preserve">AGMA 929-B22 — Calculation of Bevel Gear Top Land, Slot Widths and Cutter Edge Radii</w:t>
      </w:r>
    </w:p>
    <w:p>
      <w:pPr>
        <w:pBdr>
          <w:bottom w:val="single" w:color="1F3864" w:sz="8"/>
        </w:pBdr>
        <w:spacing w:after="240"/>
      </w:pPr>
      <w:r>
        <w:rPr>
          <w:i/>
          <w:iCs/>
          <w:color w:val="555555"/>
          <w:sz w:val="20"/>
          <w:szCs w:val="20"/>
        </w:rPr>
        <w:t xml:space="preserve">C# / .NET 8 WinForms reference implementation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Purpose and Scope</w:t>
      </w:r>
    </w:p>
    <w:p>
      <w:pPr>
        <w:spacing w:after="160" w:line="276"/>
      </w:pPr>
      <w:r>
        <w:rPr>
          <w:sz w:val="22"/>
          <w:szCs w:val="22"/>
        </w:rPr>
        <w:t xml:space="preserve">This report documents the technical findings from implementing AGMA 929-B22 as a standalone Windows Forms calculator (project: AgmaBevelGearCalculator). The standard specifies roughly 215 numbered equations covering bevel and hypoid gear geometry, spiral angle determination, slot width and blade specification, cutter edge radius limits, and tooth top land — the calculator's primary deliverable.</w:t>
      </w:r>
    </w:p>
    <w:p>
      <w:pPr>
        <w:spacing w:after="160" w:line="276"/>
      </w:pPr>
      <w:r>
        <w:rPr>
          <w:sz w:val="22"/>
          <w:szCs w:val="22"/>
        </w:rPr>
        <w:t xml:space="preserve">Because a document of this density and equation count is easy to mistranscribe, and because several equations are genuinely ambiguous as typeset (compressed multi-term fractions, involute-function brackets, and cross-referenced subscripts), every formula in the implementation was checked against the numeric worked examples the standard itself publishes in Annex C and Annex D, rather than trusting a single visual read. That process is the source of the four findings below.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Implementation Summary</w:t>
      </w:r>
    </w:p>
    <w:p>
      <w:pPr>
        <w:spacing w:after="160" w:line="276"/>
      </w:pPr>
      <w:r>
        <w:rPr>
          <w:sz w:val="22"/>
          <w:szCs w:val="22"/>
        </w:rPr>
        <w:t xml:space="preserve">The calculator implements the full calculation chain in Clause 4: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4.1-4.4 — general geometry, spiral angles (face milling and face hobbing, including the standard's own iterative solve for involute lengthwise curvature), hypoid offset, backlash and clearance.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4.5 — slot width and blade-point calculations, including all seven wheel-rotation-factor (kₑ) variants and both completing and rough-and-finish process chains.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4.6 — cutter edge radius limits: no running interference, manufacturability, and fillet mutilation avoidance.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4.7 — normal top land at the inner, mean, and outer ends of the tooth, for both generated and non-generated (Formate) wheels.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4.8 — the optional pinion tip chamfer at the inner end, using the same secant-style iteration the standard describes for its own manual solution.</w:t>
      </w:r>
    </w:p>
    <w:p>
      <w:pPr>
        <w:spacing w:after="160" w:line="276"/>
      </w:pPr>
      <w:r>
        <w:rPr>
          <w:sz w:val="22"/>
          <w:szCs w:val="22"/>
        </w:rPr>
        <w:t xml:space="preserve">A self-test harness (run with the --selftest command-line flag) re-derives both of the standard's own published worked examples end-to-end and diffs every intermediate and final value against the published table, to a tolerance of 0.001. This is what surfaced the findings below, and it is left in the codebase so the calculation engine can be re-verified after any future change.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Validation Results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Worked example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Checks passed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Annex 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Spiral bevel, face milling (spread blade), generated wheel, completing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110 / 110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2600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Annex D</w:t>
            </w:r>
          </w:p>
        </w:tc>
        <w:tc>
          <w:tcPr>
            <w:tcW w:type="dxa" w:w="2400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Hypoid (38.1 mm offset), face milling (spread blade), non-generated wheel, completing</w:t>
            </w:r>
          </w:p>
        </w:tc>
        <w:tc>
          <w:tcPr>
            <w:tcW w:type="dxa" w:w="2400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/ 124</w:t>
            </w:r>
          </w:p>
        </w:tc>
        <w:tc>
          <w:tcPr>
            <w:tcW w:type="dxa" w:w="2200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See Findings 3-4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The Annex C example (a generated spiral bevel gear set — the most common configuration) matched the published results exactly across all 110 checked values, including the primary deliverable: normal top land at the inner, mean, and outer ends for both pinion and wheel.</w:t>
      </w:r>
    </w:p>
    <w:p>
      <w:pPr>
        <w:spacing w:after="160" w:line="276"/>
      </w:pPr>
      <w:r>
        <w:rPr>
          <w:sz w:val="22"/>
          <w:szCs w:val="22"/>
        </w:rPr>
        <w:t xml:space="preserve">The Annex D example (a hypoid set with a 38.1 mm offset and a non-generated wheel) matched 120 of 124 checked values exactly, including every hypoid-offset-specific quantity and the wheel's own top land. The four exceptions are detailed in Findings 3 and 4 below.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Findings</w:t>
      </w:r>
    </w:p>
    <w:p>
      <w:pPr>
        <w:spacing w:after="120" w:before="280"/>
      </w:pPr>
      <w:r>
        <w:rPr>
          <w:b/>
          <w:bCs/>
          <w:color w:val="1F3864"/>
          <w:sz w:val="24"/>
          <w:szCs w:val="24"/>
        </w:rPr>
        <w:t xml:space="preserve">Finding 1 — </w:t>
      </w:r>
      <w:r>
        <w:rPr>
          <w:b/>
          <w:bCs/>
          <w:color w:val="1F3864"/>
          <w:sz w:val="24"/>
          <w:szCs w:val="24"/>
        </w:rPr>
        <w:t xml:space="preserve">Sign error in Eq (177) — normal pinion circular thickness</w:t>
      </w:r>
      <w:r>
        <w:rPr>
          <w:b/>
          <w:bCs/>
          <w:color w:val="1E7B34"/>
          <w:sz w:val="20"/>
          <w:szCs w:val="20"/>
        </w:rPr>
        <w:t xml:space="preserve">   [Corrected]</w:t>
      </w:r>
    </w:p>
    <w:p>
      <w:pPr>
        <w:spacing w:after="160" w:line="276"/>
      </w:pPr>
      <w:r>
        <w:rPr>
          <w:sz w:val="22"/>
          <w:szCs w:val="22"/>
        </w:rPr>
        <w:t xml:space="preserve">Eq (177) is printed in the information sheet with a plus sign before its third term:</w:t>
      </w:r>
    </w:p>
    <w:p>
      <w:pPr>
        <w:pBdr>
          <w:top w:val="single" w:color="B00020" w:sz="6"/>
          <w:bottom w:val="single" w:color="B00020" w:sz="6"/>
          <w:left w:val="single" w:color="B00020" w:sz="6"/>
          <w:right w:val="single" w:color="B00020" w:sz="6"/>
        </w:pBdr>
        <w:shd w:fill="F7F7F7" w:val="clear"/>
        <w:spacing w:after="200" w:before="120"/>
        <w:ind w:left="120" w:right="120"/>
      </w:pPr>
      <w:p>
        <w:pPr>
          <w:spacing w:after="160" w:line="276"/>
        </w:pPr>
        <w:r>
          <w:rPr>
            <w:rFonts w:ascii="Consolas" w:cs="Consolas" w:eastAsia="Consolas" w:hAnsi="Consolas"/>
            <w:color w:val="3D3D3D"/>
            <w:sz w:val="20"/>
            <w:szCs w:val="20"/>
          </w:rPr>
          <w:t xml:space="preserve">s_n1{μ1} = h_f2{μ21{μ1}}·[tanαcv1 − tanαcx1] + W2{μ21{μ1}} + [R1{μ1}·cos(β12{μ21{μ1}})/(Re1·cosβe1)]·jen/cos(Σα/2)   (as printed)</w:t>
        </w:r>
      </w:p>
    </w:p>
    <w:p>
      <w:pPr>
        <w:spacing w:after="160" w:line="276"/>
      </w:pPr>
      <w:r>
        <w:rPr>
          <w:sz w:val="22"/>
          <w:szCs w:val="22"/>
        </w:rPr>
        <w:t xml:space="preserve">Implemented literally, this produced s_n1 values roughly 0.25-0.32 mm higher than the Annex C published table at all three tooth-length stations (toe, mean, heel), while every one of its input quantities (r_npt1, R1, β12, jen, βe1, Σα) independently matched the published table exactly. Changing only that sign to a minus — mirroring the minus sign already present in the analogous wheel equation, Eq (178) — reproduced the published s_n1 values to within 0.00001 mm at all three stations, and cascaded correctly through the top land results downstream.</w:t>
      </w:r>
    </w:p>
    <w:p>
      <w:pPr>
        <w:spacing w:after="160" w:line="276"/>
      </w:pPr>
      <w:r>
        <w:rPr>
          <w:sz w:val="22"/>
          <w:szCs w:val="22"/>
        </w:rPr>
        <w:t xml:space="preserve">This is implemented in the code with a minus sign and a comment explaining the discrepancy from the printed text.</w:t>
      </w:r>
    </w:p>
    <w:p>
      <w:pPr>
        <w:spacing w:after="120" w:before="280"/>
      </w:pPr>
      <w:r>
        <w:rPr>
          <w:b/>
          <w:bCs/>
          <w:color w:val="1F3864"/>
          <w:sz w:val="24"/>
          <w:szCs w:val="24"/>
        </w:rPr>
        <w:t xml:space="preserve">Finding 2 — </w:t>
      </w:r>
      <w:r>
        <w:rPr>
          <w:b/>
          <w:bCs/>
          <w:color w:val="1F3864"/>
          <w:sz w:val="24"/>
          <w:szCs w:val="24"/>
        </w:rPr>
        <w:t xml:space="preserve">Sign pattern in the top-land involute formulas (Eq 179-182, 210-211)</w:t>
      </w:r>
      <w:r>
        <w:rPr>
          <w:b/>
          <w:bCs/>
          <w:color w:val="1E7B34"/>
          <w:sz w:val="20"/>
          <w:szCs w:val="20"/>
        </w:rPr>
        <w:t xml:space="preserve">   [Corrected]</w:t>
      </w:r>
    </w:p>
    <w:p>
      <w:pPr>
        <w:spacing w:after="160" w:line="276"/>
      </w:pPr>
      <w:r>
        <w:rPr>
          <w:sz w:val="22"/>
          <w:szCs w:val="22"/>
        </w:rPr>
        <w:t xml:space="preserve">The formulas for normal top land (pinion Eq 179, wheel Eq 181) combine four involute-function terms. As transcribed from the page image, Eq (179) read with three consecutive minus signs:</w:t>
      </w:r>
    </w:p>
    <w:p>
      <w:pPr>
        <w:pBdr>
          <w:top w:val="single" w:color="B00020" w:sz="6"/>
          <w:bottom w:val="single" w:color="B00020" w:sz="6"/>
          <w:left w:val="single" w:color="B00020" w:sz="6"/>
          <w:right w:val="single" w:color="B00020" w:sz="6"/>
        </w:pBdr>
        <w:shd w:fill="F7F7F7" w:val="clear"/>
        <w:spacing w:after="200" w:before="120"/>
        <w:ind w:left="120" w:right="120"/>
      </w:pPr>
      <w:p>
        <w:pPr>
          <w:spacing w:after="160" w:line="276"/>
        </w:pPr>
        <w:r>
          <w:rPr>
            <w:rFonts w:ascii="Consolas" w:cs="Consolas" w:eastAsia="Consolas" w:hAnsi="Consolas"/>
            <w:color w:val="3D3D3D"/>
            <w:sz w:val="20"/>
            <w:szCs w:val="20"/>
          </w:rPr>
          <w:t xml:space="preserve">s_an1 = [s_n1/r_npt1 + invαcv1 − inv(αacv1) − inv(−αcx1) − inv(αacx1)]·r_na1   (as first transcribed)</w:t>
        </w:r>
      </w:p>
    </w:p>
    <w:p>
      <w:pPr>
        <w:spacing w:after="160" w:line="276"/>
      </w:pPr>
      <w:r>
        <w:rPr>
          <w:sz w:val="22"/>
          <w:szCs w:val="22"/>
        </w:rPr>
        <w:t xml:space="preserve">Using this pattern, the two inv(±20°) terms cancel exactly (since αcx1 = −αcv1 in the Annex C example), which produced a top land roughly half the published value. Reading the corresponding chamfer formula (Eq 210, which computes the same quantity at a different tooth station) showed an alternating +,−,+,− pattern instead of +,−,−,−. Applying that alternating pattern to Eq (179) reproduced the published Annex C top land values (inner, mean, and outer, both pinion and wheel) to within 0.00001 mm, and the same correction was applied consistently to Eqs 180, 181, and 211.</w:t>
      </w:r>
    </w:p>
    <w:p>
      <w:pPr>
        <w:spacing w:after="160" w:line="276"/>
      </w:pPr>
      <w:r>
        <w:rPr>
          <w:sz w:val="22"/>
          <w:szCs w:val="22"/>
        </w:rPr>
        <w:t xml:space="preserve">This finding illustrates the value of cross-checking against worked numeric examples: the two candidate readings are visually similar in a dense equation but produce results differing by roughly 2×, and only one is consistent with the standard's own published numbers.</w:t>
      </w:r>
    </w:p>
    <w:p>
      <w:pPr>
        <w:spacing w:after="120" w:before="280"/>
      </w:pPr>
      <w:r>
        <w:rPr>
          <w:b/>
          <w:bCs/>
          <w:color w:val="1F3864"/>
          <w:sz w:val="24"/>
          <w:szCs w:val="24"/>
        </w:rPr>
        <w:t xml:space="preserve">Finding 3 — </w:t>
      </w:r>
      <w:r>
        <w:rPr>
          <w:b/>
          <w:bCs/>
          <w:color w:val="1F3864"/>
          <w:sz w:val="24"/>
          <w:szCs w:val="24"/>
        </w:rPr>
        <w:t xml:space="preserve">Unresolved ambiguity — Eq (180), pinion top land under a non-generated wheel</w:t>
      </w:r>
      <w:r>
        <w:rPr>
          <w:b/>
          <w:bCs/>
          <w:color w:val="8A5A00"/>
          <w:sz w:val="20"/>
          <w:szCs w:val="20"/>
        </w:rPr>
        <w:t xml:space="preserve">   [Disclosed limitation]</w:t>
      </w:r>
    </w:p>
    <w:p>
      <w:pPr>
        <w:spacing w:after="160" w:line="276"/>
      </w:pPr>
      <w:r>
        <w:rPr>
          <w:sz w:val="22"/>
          <w:szCs w:val="22"/>
        </w:rPr>
        <w:t xml:space="preserve">Eq (180) computes the pinion's normal top land specifically when the mating wheel is non-generated (Formate). It combines the pinion's own contribution (identical in form to Eq 179) with a second bracket evaluated at the wheel point mapped from the pinion boundary, then subtracts a correction term written in the sheet as:</w:t>
      </w:r>
    </w:p>
    <w:p>
      <w:pPr>
        <w:pBdr>
          <w:top w:val="single" w:color="8A5A00" w:sz="6"/>
          <w:bottom w:val="single" w:color="8A5A00" w:sz="6"/>
          <w:left w:val="single" w:color="8A5A00" w:sz="6"/>
          <w:right w:val="single" w:color="8A5A00" w:sz="6"/>
        </w:pBdr>
        <w:shd w:fill="F7F7F7" w:val="clear"/>
        <w:spacing w:after="200" w:before="120"/>
        <w:ind w:left="120" w:right="120"/>
      </w:pPr>
      <w:p>
        <w:pPr>
          <w:spacing w:after="160" w:line="276"/>
        </w:pPr>
        <w:r>
          <w:rPr>
            <w:rFonts w:ascii="Consolas" w:cs="Consolas" w:eastAsia="Consolas" w:hAnsi="Consolas"/>
            <w:color w:val="3D3D3D"/>
            <w:sz w:val="20"/>
            <w:szCs w:val="20"/>
          </w:rPr>
          <w:t xml:space="preserve">− [ s_n2{μ21{μ1}} − h_a1{μ21{μ1}}·(tanαcv1 − tanαcx1) ]</w:t>
        </w:r>
      </w:p>
    </w:p>
    <w:p>
      <w:pPr>
        <w:spacing w:after="160" w:line="276"/>
      </w:pPr>
      <w:r>
        <w:rPr>
          <w:sz w:val="22"/>
          <w:szCs w:val="22"/>
        </w:rPr>
        <w:t xml:space="preserve">Implemented literally (using the pinion addendum function h_a1, and the non-generated form of the wheel tip radius r_na2 for the second bracket), the result was 4 to 7 mm off the Annex D published pinion top land — a large, structural discrepancy, not a rounding difference.</w:t>
      </w:r>
    </w:p>
    <w:p>
      <w:pPr>
        <w:spacing w:after="160" w:line="276"/>
      </w:pPr>
      <w:r>
        <w:rPr>
          <w:sz w:val="22"/>
          <w:szCs w:val="22"/>
        </w:rPr>
        <w:t xml:space="preserve">A systematic search across the plausible variants — substituting the wheel addendum function h_a2 for h_a1, and using the generated-wheel form of r_na2 (Eq 171) versus the non-generated form (Eq 172) within the second bracket — found that using h_a2 together with the generated-wheel r_na2 form reduced the discrepancy to roughly 0.30-0.44 mm (about 15%) across the three tooth-length stations, the closest of every combination tried. No variant reproduced the published value to full precision the way every other formula in this implementation does.</w:t>
      </w:r>
    </w:p>
    <w:p>
      <w:pPr>
        <w:spacing w:after="160" w:line="276"/>
      </w:pPr>
      <w:r>
        <w:rPr>
          <w:sz w:val="22"/>
          <w:szCs w:val="22"/>
        </w:rPr>
        <w:t xml:space="preserve">This is the one calculation in the implementation that could not be fully resolved against the published example. It has a narrow scope: it only affects the pinion's top land, and only when the wheel is specifically configured as non-generated (a less common manufacturing choice than a generated wheel). The wheel's own top land in the same non-generated example (Eq 182) matched the published value exactly, as did all 116 other Annex D checks.</w:t>
      </w:r>
    </w:p>
    <w:p>
      <w:pPr>
        <w:spacing w:after="160" w:line="276"/>
      </w:pPr>
      <w:r>
        <w:rPr>
          <w:sz w:val="22"/>
          <w:szCs w:val="22"/>
        </w:rPr>
        <w:t xml:space="preserve">The application surfaces this to the user directly: selecting a non-generated wheel triggers an on-screen warning recommending the pinion top land be cross-checked against the standard or manufacturer data before being relied upon. The best-fit variant (h_a2, generated-form r_na2) is the one shipped, since it is materially closer than any alternative and the affected quantity is clearly flagged rather than silently wrong.</w:t>
      </w:r>
    </w:p>
    <w:p>
      <w:pPr>
        <w:spacing w:after="120" w:before="280"/>
      </w:pPr>
      <w:r>
        <w:rPr>
          <w:b/>
          <w:bCs/>
          <w:color w:val="1F3864"/>
          <w:sz w:val="24"/>
          <w:szCs w:val="24"/>
        </w:rPr>
        <w:t xml:space="preserve">Finding 4 — </w:t>
      </w:r>
      <w:r>
        <w:rPr>
          <w:b/>
          <w:bCs/>
          <w:color w:val="1F3864"/>
          <w:sz w:val="24"/>
          <w:szCs w:val="24"/>
        </w:rPr>
        <w:t xml:space="preserve">Eq (88)/(89) maximum slot width vs. the Annex D worked table</w:t>
      </w:r>
      <w:r>
        <w:rPr>
          <w:b/>
          <w:bCs/>
          <w:color w:val="2E5395"/>
          <w:sz w:val="20"/>
          <w:szCs w:val="20"/>
        </w:rPr>
        <w:t xml:space="preserve">   [Documented, not changed]</w:t>
      </w:r>
    </w:p>
    <w:p>
      <w:pPr>
        <w:spacing w:after="160" w:line="276"/>
      </w:pPr>
      <w:r>
        <w:rPr>
          <w:sz w:val="22"/>
          <w:szCs w:val="22"/>
        </w:rPr>
        <w:t xml:space="preserve">Eq (88) is printed unambiguously: “W_max2 = maximum of W_e2, W_x2, W_m2, or W_i2.” Implemented exactly as printed, the wheel's mean slot width (W_m2 = 2.71949 mm) is the largest of the four candidates in the Annex D example, so the calculator reports W_max2 = 2.71949 mm.</w:t>
      </w:r>
    </w:p>
    <w:p>
      <w:pPr>
        <w:spacing w:after="160" w:line="276"/>
      </w:pPr>
      <w:r>
        <w:rPr>
          <w:sz w:val="22"/>
          <w:szCs w:val="22"/>
        </w:rPr>
        <w:t xml:space="preserve">The Annex D worked table instead publishes W_max2 = 2.67661 mm — equal to the inner slot width, and smaller than the table's own published W_m2. That is inconsistent with the printed formula, which explicitly includes W_m2 as a candidate for the maximum.</w:t>
      </w:r>
    </w:p>
    <w:p>
      <w:pPr>
        <w:spacing w:after="160" w:line="276"/>
      </w:pPr>
      <w:r>
        <w:rPr>
          <w:sz w:val="22"/>
          <w:szCs w:val="22"/>
        </w:rPr>
        <w:t xml:space="preserve">Because the printed formula is unambiguous (unlike Findings 1-3, there is no plausible alternative reading), and because W_max/W_min are purely informational — they do not feed into any other calculation, including top land or cutter edge radius — the literal published formula was kept. The discrepancy is noted in the code as a data quirk in the Annex D table rather than a defect in the implementation.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Recommendations for Use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Treat the pinion top land result for a non-generated wheel (Finding 3) as approximate; verify it independently for any design that relies on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All other results — general geometry, spiral angles, slot widths, cutter edge radii, and top land for a generated wheel (the default and most common configuration) — are validated to five decimal places against the standard's own published examples and can be used with the same confidence as a hand calculation from the standard.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Re-run the built-in self-test (--selftest) after any modification to the calculation engine; it re-derives both Annex C and Annex D end-to-end and will immediately flag a regression.</w:t>
      </w:r>
    </w:p>
    <w:p>
      <w:pPr>
        <w:pBdr>
          <w:top w:val="single" w:color="AAAAAA" w:sz="6"/>
        </w:pBdr>
        <w:spacing w:before="400"/>
      </w:pPr>
      <w:r>
        <w:rPr>
          <w:i/>
          <w:iCs/>
          <w:color w:val="777777"/>
          <w:sz w:val="18"/>
          <w:szCs w:val="18"/>
        </w:rPr>
        <w:t xml:space="preserve">Prepared from the implementation and validation work on AgmaBevelGearCalculator.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2026-09-17T15:32:00.625Z</dcterms:created>
  <dcterms:modified xsi:type="dcterms:W3CDTF">2026-09-17T15:32:00.632Z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