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ISO 10300:2023 (Parts 1-3)</w:t>
      </w:r>
    </w:p>
    <w:p>
      <w:pPr>
        <w:spacing w:after="60"/>
      </w:pPr>
      <w:r>
        <w:rPr>
          <w:sz w:val="26"/>
          <w:szCs w:val="26"/>
        </w:rPr>
        <w:t xml:space="preserve">Calculation of Load Capacity of Bevel Gears</w:t>
      </w:r>
    </w:p>
    <w:p>
      <w:pPr>
        <w:spacing w:after="300"/>
      </w:pPr>
      <w:r>
        <w:rPr>
          <w:b/>
          <w:bCs/>
          <w:color w:val="444444"/>
          <w:sz w:val="24"/>
          <w:szCs w:val="24"/>
        </w:rPr>
        <w:t xml:space="preserve">Implementation Findings — ISO10300Calc</w:t>
      </w:r>
    </w:p>
    <w:p>
      <w:pPr>
        <w:pStyle w:val="Heading1"/>
        <w:spacing w:after="150" w:before="300"/>
      </w:pPr>
      <w:r>
        <w:t xml:space="preserve">1. Overview</w:t>
      </w:r>
    </w:p>
    <w:p>
      <w:pPr>
        <w:spacing w:after="160"/>
      </w:pPr>
      <w:r>
        <w:t xml:space="preserve">ISO10300Calc is a new WinForms calculator implementing ISO 10300:2023 parts 1-3 (Introduction and general influence factors; Calculation of surface durability (macropitting); Calculation of tooth root strength), added to the same Visual Studio solution (AGMAStandards.sln) as the existing AGMA2003D19Calc and AGMA929B22Calc projects. It follows the identical architecture and UI pattern established by those projects: a PropertyGrid-bound input model organized into numbered categories, a calculation engine that logs every intermediate value with its equation number into an audit-trail report, a --selftest command-line mode that checks the engine against published worked examples, and a Load Example / Calculate / Save Report workflow.</w:t>
      </w:r>
    </w:p>
    <w:p>
      <w:pPr>
        <w:spacing w:after="160"/>
      </w:pPr>
      <w:r>
        <w:t xml:space="preserve">The calculator implements Method B1 throughout — the ISO-native rating method based on virtual cylindrical gears, distinct from Method B2 (see Section 2). It covers: Part 1's general load factors (application factor, dynamic factor, face load factor, transverse load factors); the full virtual-cylindrical-gear geometry of Part 1 Annex A, for both bevel gears without offset and hypoid gears; Part 2's complete contact-stress (macropitting) formula chain, including the hypoid factor ZHyp; and Part 3's complete tooth-root bending-stress formula chain, including the tooth-form-factor derivation from first principles (cutter geometry through to YFa and YSa) rather than a chart lookup.</w:t>
      </w:r>
    </w:p>
    <w:p>
      <w:pPr>
        <w:spacing w:after="160"/>
      </w:pPr>
      <w:r>
        <w:t xml:space="preserve">This document records the scope decisions, formula corrections, and validation results from the implementation, and is intended to support a future side-by-side comparison against AGMA2003D19Calc, which the two projects were deliberately kept structurally parallel to enable.</w:t>
      </w:r>
    </w:p>
    <w:p>
      <w:pPr>
        <w:pStyle w:val="Heading1"/>
        <w:spacing w:after="150" w:before="300"/>
      </w:pPr>
      <w:r>
        <w:t xml:space="preserve">2. Key scope decisions</w:t>
      </w:r>
    </w:p>
    <w:p>
      <w:pPr>
        <w:pStyle w:val="Heading2"/>
        <w:spacing w:after="120" w:before="240"/>
      </w:pPr>
      <w:r>
        <w:t xml:space="preserve">2.1 Scope: both non-offset bevel gears and hypoid gears, drive flank only</w:t>
      </w:r>
    </w:p>
    <w:p>
      <w:pPr>
        <w:spacing w:after="160"/>
      </w:pPr>
      <w:r>
        <w:t xml:space="preserve">ISO 10300 (all parts) covers hypoid gears (nonzero offset a) as well as bevel gears without offset (a = 0). This calculator initially implemented only the a = 0 case, matching AGMA2003D19Calc's own restriction to non-offset bevel gears, but was subsequently extended to the general hypoid case once validated against a second published worked example (ISO/TR 10300-30 Sample 2, a hypoid gear pair - see Section 6.2). The general virtual-cylindrical-gear geometry of Part 1 Annex A - nonzero offset angles (zeta_mp, zeta_m, zeta_R), the auxiliary angle gamma for the facewidth and contact-line calculations, the offset-angle term in the radius of relative curvature (Eq A.39), and the general blend of KHalpha/KFalpha towards 1.0 as the relative offset grows (Eq 40/41) - is now implemented in full, along with the hypoid factor ZHyp (ISO 10300-2, 6.5.3, sliding-velocity formulas).</w:t>
      </w:r>
    </w:p>
    <w:p>
      <w:pPr>
        <w:spacing w:after="160"/>
      </w:pPr>
      <w:r>
        <w:t xml:space="preserve">Only the loaded (drive) flank is rated, matching the scope of both ISO/TR 10300-30 Sample 1 and Sample 2, which likewise only carry the calculation through for the drive flank. A warning is raised if the drive- and coast-side pressure angles supplied differ, since the coast flank is not separately evaluated.</w:t>
      </w:r>
    </w:p>
    <w:p>
      <w:pPr>
        <w:pStyle w:val="Heading2"/>
        <w:spacing w:after="120" w:before="240"/>
      </w:pPr>
      <w:r>
        <w:t xml:space="preserve">2.2 Method B1, not Method B2 — and why this matters for the AGMA comparison</w:t>
      </w:r>
    </w:p>
    <w:p>
      <w:pPr>
        <w:spacing w:after="160"/>
      </w:pPr>
      <w:r>
        <w:t xml:space="preserve">ISO 10300-2 and -3 each specify two independent, non-nested rating methods: Method B1 (contact stress via a Hertzian mid-zone/load-sharing model; bending stress via a 30-degree-tangent tooth-form factor, both built on the virtual-cylindrical-gear geometry of Part 1 Annex A) and Method B2. Method B2 is explicitly presented in both parts as the branch aligned with AGMA's own approach: ISO 10300-2, 7.4.2 states "ANSI/AGMA 2003 provides graphs for bevel gears that may be used to determine the geometry factor, ZI", and ISO 10300-3, 7.4.1 states the same for its bending geometry factor YJ, built on "the Lewis parabola" the way AGMA's own Annex C(M) is. ISO 10300-1's own introduction confirms Method B2 for bending "is now extended by the AGMA methods for rating the strength of bevel gears and hypoid gears."</w:t>
      </w:r>
    </w:p>
    <w:p>
      <w:pPr>
        <w:spacing w:after="160"/>
      </w:pPr>
      <w:r>
        <w:t xml:space="preserve">Because the eventual goal is an independent comparison between the AGMA and ISO rating systems, this calculator implements Method B1 exclusively. Method B2 would not provide a second, independent data point — it is, by the standard's own description, essentially a formalization of the AGMA method inside the ISO framework, using the same underlying geometry-factor logic already implemented in AGMA2003D19Calc's GeometryFactors.cs. Method B1, by contrast, is built on genuinely different foundations (Hertzian mid-zone position, elliptical load-sharing over an inscribed parallelogram, a 30-degree-tangent fillet definition) and gives a meaningful second opinion.</w:t>
      </w:r>
    </w:p>
    <w:p>
      <w:pPr>
        <w:pStyle w:val="Heading1"/>
        <w:spacing w:after="150" w:before="300"/>
      </w:pPr>
      <w:r>
        <w:t xml:space="preserve">3. Formula issues found and resolved during implementation</w:t>
      </w:r>
    </w:p>
    <w:p>
      <w:pPr>
        <w:spacing w:after="160"/>
      </w:pPr>
      <w:r>
        <w:t xml:space="preserve">Several of ISO 10300-1 Annex A's formulas, as typeset in the published standard (and reproduced identically in ISO/TR 10300-30), did not reproduce the technical report's own published numeric results on first implementation. Each was tracked down by reconciling every intermediate value against ISO/TR 10300-30 Sample 1 and Sample 2 (see Section 6) and is documented here since these are easy to mis-transcribe from the printed layout.</w:t>
      </w:r>
    </w:p>
    <w:p>
      <w:pPr>
        <w:pStyle w:val="Heading3"/>
        <w:spacing w:after="100" w:before="200"/>
      </w:pPr>
      <w:r>
        <w:t xml:space="preserve">3.1 Correction factor for length of contact lines, Clb (Formula A.36)</w:t>
      </w:r>
    </w:p>
    <w:p>
      <w:pPr>
        <w:spacing w:after="160"/>
      </w:pPr>
      <w:r>
        <w:t xml:space="preserve">As typeset, Formula (A.36) reads as a product of two square-root terms: Clb = sqrt[(1-(f/fmax)^2)] * (1-sqrt(bv,eff/bv)). Implemented literally, this makes Clb *smaller* — and the contact line correspondingly *less* clipped — as the evaluation point f moves away from the centre of the zone of action, reaching Clb = 0 (no clipping at all) exactly at the boundary f = fmax. That is backwards: a contact line right at the edge of the parallelogram should be almost fully clipped (Clb -&gt; 1), not fully unclipped.</w:t>
      </w:r>
    </w:p>
    <w:p>
      <w:pPr>
        <w:spacing w:after="160"/>
      </w:pPr>
      <w:r>
        <w:t xml:space="preserve">Reconciling against ISO/TR 10300-30 Sample 1's own published tip-line related area (At* = 1.277 mm, back-solving through Formulae 7-8 to lbt = 3.918 mm) showed the correct relationship is additive, not multiplicative:</w:t>
      </w:r>
    </w:p>
    <w:p>
      <w:pPr>
        <w:spacing w:after="100"/>
      </w:pPr>
      <w:r>
        <w:rPr>
          <w:rFonts w:ascii="Consolas" w:cs="Consolas" w:eastAsia="Consolas" w:hAnsi="Consolas"/>
          <w:sz w:val="19"/>
          <w:szCs w:val="19"/>
        </w:rPr>
        <w:t xml:space="preserve">Clb = sqrt[ (f/fmax)^2  +  (1 - sqrt(bv,eff/bv))^2 * (1 - (f/fmax)^2) ]</w:t>
      </w:r>
    </w:p>
    <w:p>
      <w:pPr>
        <w:spacing w:after="160"/>
      </w:pPr>
      <w:r>
        <w:t xml:space="preserve">This form reduces to the same value as the printed formula at f = 0 (where the two are algebraically identical, which is why the middle-contact-line check alone would not have caught the discrepancy), correctly reaches Clb = 1 at f = fmax, and reproduces the tip/root related areas and the resulting ZLS/YLS to within 0.1-0.2% of the published values (Section 6). This is the form implemented in VirtualCylindricalGears.ContactLineLength().</w:t>
      </w:r>
    </w:p>
    <w:p>
      <w:pPr>
        <w:pStyle w:val="Heading3"/>
        <w:spacing w:after="100" w:before="200"/>
      </w:pPr>
      <w:r>
        <w:t xml:space="preserve">3.2 Transverse load factor, Method B (Formula 48, and by symmetry Formula 46)</w:t>
      </w:r>
    </w:p>
    <w:p>
      <w:pPr>
        <w:spacing w:after="160"/>
      </w:pPr>
      <w:r>
        <w:t xml:space="preserve">As typeset, Formula (48) reads as a single product: KHalpha* = [0.9 + 0.4*sqrt(2(eps_vgamma-1)/eps_vgamma)] * cgamma(fpt-y)/(FmtH/bv) — i.e. the constant 0.9 appears to be added *inside* the same bracket that multiplies the stiffness/deviation ratio. Evaluated this way, ISO/TR 10300-30 Sample 1's own inputs give KHalpha* = 0.805, not the published 1.161.</w:t>
      </w:r>
    </w:p>
    <w:p>
      <w:pPr>
        <w:spacing w:after="160"/>
      </w:pPr>
      <w:r>
        <w:t xml:space="preserve">The published result is reproduced exactly (1.1614 vs. 1.1610, 0.03%) once the 0.9 is treated as an additive term standing outside the product, with only the 0.4*sqrt(...) coefficient multiplying the ratio:</w:t>
      </w:r>
    </w:p>
    <w:p>
      <w:pPr>
        <w:spacing w:after="100"/>
      </w:pPr>
      <w:r>
        <w:rPr>
          <w:rFonts w:ascii="Consolas" w:cs="Consolas" w:eastAsia="Consolas" w:hAnsi="Consolas"/>
          <w:sz w:val="19"/>
          <w:szCs w:val="19"/>
        </w:rPr>
        <w:t xml:space="preserve">KHalpha* = 0.9  +  0.4 * sqrt(2(eps_vgamma-1)/eps_vgamma) * cgamma(fpt-y)/(FmtH/bv)</w:t>
      </w:r>
    </w:p>
    <w:p>
      <w:pPr>
        <w:spacing w:after="160"/>
      </w:pPr>
      <w:r>
        <w:t xml:space="preserve">The eps_vgamma &lt;= 2 branch (Formula 46) was inferred to have the analogous structure, KHalpha* = 0.9 + 0.4*(eps_vgamma/2)*[...], since this is the only form that is continuous with Formula (48) at the eps_vgamma = 2 boundary (both give 0.9 + 0.4*X there) — a standard piecewise-formula sanity check, not a separate empirical confirmation, since ISO/TR 10300-30's samples do not exercise this branch.</w:t>
      </w:r>
    </w:p>
    <w:p>
      <w:pPr>
        <w:pStyle w:val="Heading3"/>
        <w:spacing w:after="100" w:before="200"/>
      </w:pPr>
      <w:r>
        <w:t xml:space="preserve">3.3 Misprint noted by ISO/TR 10300-30 itself</w:t>
      </w:r>
    </w:p>
    <w:p>
      <w:pPr>
        <w:spacing w:after="160"/>
      </w:pPr>
      <w:r>
        <w:t xml:space="preserve">ISO 10300-2:2023's Formula (3), Fn = Fmt1/(cos(alpha_e)*cos(beta_m1)), is flagged by ISO/TR 10300-30 (Sample 1, Table A.7 note) as containing a misprint; the corrected form uses the *generated* pressure angle alpha_n (alpha_nD or alpha_nC) in place of the *effective* pressure angle alpha_e. This calculator uses alpha_nD throughout, matching the technical report's own correction.</w:t>
      </w:r>
    </w:p>
    <w:p>
      <w:pPr>
        <w:pStyle w:val="Heading3"/>
        <w:spacing w:after="100" w:before="200"/>
      </w:pPr>
      <w:r>
        <w:t xml:space="preserve">3.4 Degree/radian double-conversion in the general (hypoid) auxiliary angle gamma</w:t>
      </w:r>
    </w:p>
    <w:p>
      <w:pPr>
        <w:spacing w:after="160"/>
      </w:pPr>
      <w:r>
        <w:t xml:space="preserve">When the a = 0 restriction was lifted (Section 6.2), the auxiliary angle gamma (Formula A.35, tan(gamma) = tan(gamma')/cos(alpha_vet)) needed to be computed for the first time (it is identically zero for a = 0, so this code path was never exercised until Sample 2). The implementation mixed this project's degree-based trig helpers (which internally convert degrees to radians) with an explicit radian conversion already applied beforehand, effectively converting alpha_vet from degrees to radians twice. Because a very small angle in radians is numerically close to its own degree value near zero, this bug was not obvious from casual inspection, but produced a visibly wrong gamma (4.18 deg instead of 4.69 deg for Sample 2) that cascaded into the maximum-contact-line-distance calculation (fmax) and the middle contact line length (lbm, off by 0.95%). Fixed by using the raw (radian-based) Math.Cos consistently in that one expression.</w:t>
      </w:r>
    </w:p>
    <w:p>
      <w:pPr>
        <w:pStyle w:val="Heading3"/>
        <w:spacing w:after="100" w:before="200"/>
      </w:pPr>
      <w:r>
        <w:t xml:space="preserve">3.5 KHalpha* (Method B, before offset blending) does not reproduce Sample 2 - apparent unit slip in the source table, not this implementation</w:t>
      </w:r>
    </w:p>
    <w:p>
      <w:pPr>
        <w:spacing w:after="160"/>
      </w:pPr>
      <w:r>
        <w:t xml:space="preserve">With the corrected additive form from Section 3.2, Sample 1's KHalpha* (a = 0) matches the published value to 0.03%. Sample 2's KHalpha* (Method B, eps_vgamma = 3.106 &gt; 2), computed the identical way with Sample 2's own published inputs (FmtH = 18925.8 N, bv = 29.271 mm, fpt = 23.5 um), gives 1.213 against a published 0.900. Re-deriving what input would be needed to reproduce 0.900 exactly pointed to a specific, verifiable cause: dividing (fpt - y_alpha) by 1000 before use - i.e. treating micrometres as millimetres - gives 0.9003, matching the published "0,900" to four significant figures.</w:t>
      </w:r>
    </w:p>
    <w:p>
      <w:pPr>
        <w:spacing w:after="160"/>
      </w:pPr>
      <w:r>
        <w:t xml:space="preserve">Since fpt and y_alpha are unambiguously defined in micrometres throughout ISO 10300-1 (confirmed by Sample 1's own identical formula, which only matches using micrometres), this points to a unit slip in ISO/TR 10300-30's own Sample 2 table for this one cell, rather than a gap in this implementation - the same kind of transcription error the technical report itself acknowledges elsewhere (Section 3.3). It is a plausible oversight to have survived review: Formula 40 blends KHalpha* towards 1.0 as the relative hypoid offset a_rel grows from 0 to 0.1, treating a_rel &gt;= 0.1 as fully replaced by 1.0. Because Sample 2's a_rel = 0.211 exceeds that window, KHalpha = KHalpha* - (KHalpha*-1)/0.1 * 0.1 collapses to exactly 1.0 regardless of KHalpha*'s value - a mathematical identity - so an error in this one intermediate cell has zero effect on the published final result and would not have been caught by checking the sample's own downstream figures. This implementation's KHalpha* is used as computed (in micrometres); the published final KHalpha = 1.000 is reproduced exactly.</w:t>
      </w:r>
    </w:p>
    <w:p>
      <w:pPr>
        <w:pStyle w:val="Heading3"/>
        <w:spacing w:after="100" w:before="200"/>
      </w:pPr>
      <w:r>
        <w:t xml:space="preserve">3.6 Known-unresolved: contact-line clipping factor Clb for hypoid tip/root lines</w:t>
      </w:r>
    </w:p>
    <w:p>
      <w:pPr>
        <w:spacing w:after="160"/>
      </w:pPr>
      <w:r>
        <w:t xml:space="preserve">The corrected Clb form from Section 3.1 reproduces every contact-line length checked in both samples to within 0.2% - except the tip and root contact lines (f = ft, f = fr) of Sample 2's hypoid geometry, where it overestimates the length by roughly 35%, giving a load sharing factor ZLS about 10% higher than published (0.776 vs. 0.703) and a correspondingly high bias in the pitting contact stress and bending stress that depend on it (sigmaH0, sigmaH, YLS, sigmaF, roughly 10-24% high for Sample 2 only). The middle contact line (f = 0, needed for sigmaH0/sigmaH's own Zm-B/rho_rel terms and used directly by ZM-B) is unaffected and matches exactly.</w:t>
      </w:r>
    </w:p>
    <w:p>
      <w:pPr>
        <w:spacing w:after="160"/>
      </w:pPr>
      <w:r>
        <w:t xml:space="preserve">Several alternative forms of Formula A.36 were tried against both samples' tip-line data (reverse-solved from their own published related-area values) without finding one that fits both simultaneously; the geometry-dependent asymmetry between Sample 1 (fmaxB and fmax0 nearly equal in magnitude) and Sample 2 (fmaxB = 12.87 mm vs. fmax0 = -5.00 mm, a much larger split) suggests the true general form accounts for this asymmetry in a way not evident from the printed formula. This is left as a known, clearly-flagged limitation rather than a guessed fix: the calculator raises an on-screen warning whenever a hypoid design's fmaxB/fmax0 split is similarly pronounced, and the self-test documents the gap explicitly instead of loosening its tolerances to hide it.</w:t>
      </w:r>
    </w:p>
    <w:p>
      <w:pPr>
        <w:pStyle w:val="Heading3"/>
        <w:spacing w:after="100" w:before="200"/>
      </w:pPr>
      <w:r>
        <w:t xml:space="preserve">3.7 Known-unresolved: Sample 3's own dynamic factor Kv-B cell is internally inconsistent</w:t>
      </w:r>
    </w:p>
    <w:p>
      <w:pPr>
        <w:spacing w:after="160"/>
      </w:pPr>
      <w:r>
        <w:t xml:space="preserve">ISO/TR 10300-30 Sample 3 (Section 6.3) publishes N = 0.084 and K = 0.589 (Formula 8 and 16), both of which this implementation reproduces exactly, then Kv-B = N*K+1 = 1.000 (Formula 15). But 0.084*0.589+1 = 1.0495, not 1.000 - a direct arithmetic inconsistency within the sample's own three adjacent table cells, not a disagreement between this implementation and the source. Checking which value of Kv makes the next published figure (FmtH = 20995.2 N) reproduce exactly confirms the sample used Kv = 1.000 (the inconsistent value) throughout its own downstream chain, not the mathematically consistent ~1.049. To validate everything downstream of Kv against this sample's own (self-consistent from that point on) numbers, this self-test supplies Kv = 1.000 manually rather than via Method B - the same technique used for Sample 1/2's own manual-override validations elsewhere in this project.</w:t>
      </w:r>
    </w:p>
    <w:p>
      <w:pPr>
        <w:pStyle w:val="Heading3"/>
        <w:spacing w:after="100" w:before="200"/>
      </w:pPr>
      <w:r>
        <w:t xml:space="preserve">3.8 Known-unresolved: Sample 3's contact-line coordinate x2 (and dependent lb0/lbm) do not match its own inputs</w:t>
      </w:r>
    </w:p>
    <w:p>
      <w:pPr>
        <w:spacing w:after="160"/>
      </w:pPr>
      <w:r>
        <w:t xml:space="preserve">Formula A.29 (x1) and A.30 (x2) are structurally mirror images - re-verified against a fresh, careful re-transcription of ISO 10300-1's own printed formulas (not the technical report's reproduction of them) at high resolution. For Sample 3's middle contact line (f = fm = -0.686 mm, the first of the three samples with a face contact ratio eps_vbeta &lt; 1, see Section 5), this implementation's x1 = 19.916 mm and y1 = -6.711 mm match the published 19.918 mm and -6.712 mm exactly. The same formula, same inputs, gives x2 = -2.094 mm, not the published 0.000 mm.</w:t>
      </w:r>
    </w:p>
    <w:p>
      <w:pPr>
        <w:spacing w:after="160"/>
      </w:pPr>
      <w:r>
        <w:t xml:space="preserve">This does not affect every downstream figure equally. The load sharing factor ZLS depends on lb0 only through the ratio Am*/(At*+Am*+Ar*), and since lb0 is (provably, and by both samples' own numbers) identical for the tip, middle and root contact lines, an error in lb0 cancels out of that ratio - and indeed ZLS matches the published value to 0.06%. Only sigmaH0/sigmaH, which use lbm directly (not as a ratio), inherit the resulting error, appearing as a sqrt(lbm) effect: this implementation's lbm is 8.7% higher than published, and its sigmaH0 is correspondingly sqrt(23.228/21.377) = 4.3% lower - matching the observed gap exactly. This is the same style of finding as Sections 3.5 and 3.7: isolated by matching every surrounding value exactly and identifying the one formula whose result is inconsistent with its own inputs, rather than adjusted by loosening tolerances until the numbers agree.</w:t>
      </w:r>
    </w:p>
    <w:p>
      <w:pPr>
        <w:pStyle w:val="Heading3"/>
        <w:spacing w:after="100" w:before="200"/>
      </w:pPr>
      <w:r>
        <w:t xml:space="preserve">3.9 Missing floor clamp on the contact ratio factor Y_epsilon (Formula 27)</w:t>
      </w:r>
    </w:p>
    <w:p>
      <w:pPr>
        <w:spacing w:after="160"/>
      </w:pPr>
      <w:r>
        <w:t xml:space="preserve">ISO 10300-3's Formula (27), Y_epsilon,alpha = 0.25 + 0.75/eps_valpha, carries an explicit floor - "but Y_epsilon,alpha &gt;= 0.625" - visible only on a high-resolution (500 DPI) zoom of the printed page; a normal-resolution read easily misses the qualifier since it sits on its own line beneath the formula. This implementation's initial linear-interpolation form (confirmed algebraically equivalent to Formula (28) at every point in between, and to Formula (29)'s Y_epsilon = 0.625 at eps_vbeta &gt;= 1) omitted this floor. It only binds when eps_valpha &gt; 1.764 (a high-profile-contact-ratio gear), which none of Samples 1-4 happen to exercise, but was corrected for correctness (BendingFactors.ContactRatioFactor) rather than left latent.</w:t>
      </w:r>
    </w:p>
    <w:p>
      <w:pPr>
        <w:pStyle w:val="Heading3"/>
        <w:spacing w:after="100" w:before="200"/>
      </w:pPr>
      <w:r>
        <w:t xml:space="preserve">3.10 Drive/coast averaging of the tooth-root chord, sFn (Formula 12/20) - previously a no-op, now load-bearing</w:t>
      </w:r>
    </w:p>
    <w:p>
      <w:pPr>
        <w:spacing w:after="160"/>
      </w:pPr>
      <w:r>
        <w:t xml:space="preserve">ISO 10300-3's tooth-root-chord formula (Formula 12 for generated gears, Formula 20 for non-generated gears) is defined as sFn = 0.5*sFn,D + 0.5*sFn,C - the average of an independent drive-side and coast-side computation, each using that side's own effective (generated-gear) or generated (non-generated-gear) pressure angle, and - for generated gears - each side's own virtual tooth count zvn,D/zvn,C in normal section (Eq A.16/A.41 applied per flank, since the helix angle at the base circle, betavb, itself depends on the effective pressure angle). This implementation originally computed sFn from the drive side alone, which is numerically indistinguishable from the correct average whenever alpha_eD = alpha_eC - true for Samples 1, 2 and 3, so the simplification was invisible until Sample 4 (Section 6.4), whose drive/coast effective pressure angles genuinely differ (20.731 deg vs. 19.269 deg). Reproducing Sample 4's own published sFn1 = 13.077 mm (pinion, generated) and sFn2 = 14.273 mm (wheel, non-generated) required implementing the coast-side computation properly, including a new helper (VirtualCylindricalGears.NormalToothCountsForFlank) for the coast-side zvn,C that Part 1 Annex A's own drive-flank-only geometry chain does not otherwise provide. Only the drive-side theta/G/zvn are then carried forward into rhoF, hFa and YFa, since only the drive flank is rated (Section 2.1) - matching Sample 4's own table structure exactly (its rhoF1,D, hFa1,D, YFa1,D are all computed from the drive side only, but divided by the blended sFn1).</w:t>
      </w:r>
    </w:p>
    <w:p>
      <w:pPr>
        <w:pStyle w:val="Heading3"/>
        <w:spacing w:after="100" w:before="200"/>
      </w:pPr>
      <w:r>
        <w:t xml:space="preserve">3.11 Non-generated (form-cut) tooth form factor implemented (Formulae 18-23)</w:t>
      </w:r>
    </w:p>
    <w:p>
      <w:pPr>
        <w:spacing w:after="160"/>
      </w:pPr>
      <w:r>
        <w:t xml:space="preserve">Sample 4's wheel is form-cut ("Non-generated", face-hobbed without a generating roll - Table D.4), which ISO 10300-3, 6.4.1.3 rates with a materially simpler, fully closed-form set of formulae (no addendum-modification term, no fixed-point root-fillet-angle iteration): the tooth-root chord sFnD,C (Formula 18) and bending moment arm hFaD,C (Formula 22) both come directly from the tool geometry (ha0, rho_a0, mmn, xsm) and the *generated* pressure angle alpha_n (not the effective alpha_e - the two coincide for a non-generated flank, so alpha_Fan = alpha_n identically and the tooth-form factor YFa,D (Formula 23) has no cosine correction terms, unlike the generated-gear Formula (6)). The fillet radius rhoF is simply the tool edge radius rho_a0 (Formula 21) - no fillet-generation geometry to solve for. This is implemented as BendingFactors.ToothFormNonGenerated, dispatched per-wheel by a new WheelIsNonGenerated input flag (the pinion is always assumed generated, per its own "adapted generating process" in 6.4.1.2); reproduces Sample 4's published YFa2,D = 2.177 and YSa2,D = 2.371 essentially exactly.</w:t>
      </w:r>
    </w:p>
    <w:p>
      <w:pPr>
        <w:pStyle w:val="Heading1"/>
        <w:spacing w:after="150" w:before="300"/>
      </w:pPr>
      <w:r>
        <w:t xml:space="preserve">4. Equations implemented</w:t>
      </w:r>
    </w:p>
    <w:p>
      <w:pPr>
        <w:spacing w:after="160"/>
      </w:pPr>
      <w:r>
        <w:t xml:space="preserve">Clause-by-clause list of the equations implemented, using the published equation numbers of each part.</w:t>
      </w:r>
    </w:p>
    <w:p>
      <w:pPr>
        <w:pStyle w:val="Heading2"/>
        <w:spacing w:after="120" w:before="240"/>
      </w:pPr>
      <w:r>
        <w:t xml:space="preserve">4.1 Part 1 — General influence factors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900"/>
        <w:gridCol w:w="3000"/>
      </w:tblGrid>
      <w:tr>
        <w:trPr>
          <w:tblHeader/>
        </w:trPr>
        <w:tc>
          <w:tcPr>
            <w:tcW w:type="dxa" w:w="1100"/>
            <w:shd w:fill="D9E2F3" w:val="clear"/>
            <w:tcMar>
              <w:top w:type="dxa" w:w="60"/>
              <w:left w:type="dxa" w:w="100"/>
              <w:bottom w:type="dxa" w:w="60"/>
              <w:right w:type="dxa" w:w="100"/>
            </w:tcMar>
          </w:tcPr>
          <w:p>
            <w:r>
              <w:rPr>
                <w:b/>
                <w:bCs/>
                <w:sz w:val="20"/>
                <w:szCs w:val="20"/>
              </w:rPr>
              <w:t xml:space="preserve">Clause</w:t>
            </w:r>
          </w:p>
        </w:tc>
        <w:tc>
          <w:tcPr>
            <w:tcW w:type="dxa" w:w="2600"/>
            <w:shd w:fill="D9E2F3" w:val="clear"/>
            <w:tcMar>
              <w:top w:type="dxa" w:w="60"/>
              <w:left w:type="dxa" w:w="100"/>
              <w:bottom w:type="dxa" w:w="60"/>
              <w:right w:type="dxa" w:w="100"/>
            </w:tcMar>
          </w:tcPr>
          <w:p>
            <w:r>
              <w:rPr>
                <w:b/>
                <w:bCs/>
                <w:sz w:val="20"/>
                <w:szCs w:val="20"/>
              </w:rPr>
              <w:t xml:space="preserve">Factor</w:t>
            </w:r>
          </w:p>
        </w:tc>
        <w:tc>
          <w:tcPr>
            <w:tcW w:type="dxa" w:w="2900"/>
            <w:shd w:fill="D9E2F3" w:val="clear"/>
            <w:tcMar>
              <w:top w:type="dxa" w:w="60"/>
              <w:left w:type="dxa" w:w="100"/>
              <w:bottom w:type="dxa" w:w="60"/>
              <w:right w:type="dxa" w:w="100"/>
            </w:tcMar>
          </w:tcPr>
          <w:p>
            <w:r>
              <w:rPr>
                <w:b/>
                <w:bCs/>
                <w:sz w:val="20"/>
                <w:szCs w:val="20"/>
              </w:rPr>
              <w:t xml:space="preserve">Method used</w:t>
            </w:r>
          </w:p>
        </w:tc>
        <w:tc>
          <w:tcPr>
            <w:tcW w:type="dxa" w:w="3000"/>
            <w:shd w:fill="D9E2F3" w:val="clear"/>
            <w:tcMar>
              <w:top w:type="dxa" w:w="60"/>
              <w:left w:type="dxa" w:w="100"/>
              <w:bottom w:type="dxa" w:w="60"/>
              <w:right w:type="dxa" w:w="100"/>
            </w:tcMar>
          </w:tcPr>
          <w:p>
            <w:r>
              <w:rPr>
                <w:b/>
                <w:bCs/>
                <w:sz w:val="20"/>
                <w:szCs w:val="20"/>
              </w:rPr>
              <w:t xml:space="preserve">Notes</w:t>
            </w:r>
          </w:p>
        </w:tc>
      </w:tr>
      <w:tr>
        <w:tc>
          <w:tcPr>
            <w:tcW w:type="dxa" w:w="1100"/>
            <w:tcMar>
              <w:top w:type="dxa" w:w="60"/>
              <w:left w:type="dxa" w:w="100"/>
              <w:bottom w:type="dxa" w:w="60"/>
              <w:right w:type="dxa" w:w="100"/>
            </w:tcMar>
          </w:tcPr>
          <w:p>
            <w:r>
              <w:rPr>
                <w:b w:val="false"/>
                <w:bCs w:val="false"/>
                <w:sz w:val="20"/>
                <w:szCs w:val="20"/>
              </w:rPr>
              <w:t xml:space="preserve">6</w:t>
            </w:r>
          </w:p>
        </w:tc>
        <w:tc>
          <w:tcPr>
            <w:tcW w:type="dxa" w:w="2600"/>
            <w:tcMar>
              <w:top w:type="dxa" w:w="60"/>
              <w:left w:type="dxa" w:w="100"/>
              <w:bottom w:type="dxa" w:w="60"/>
              <w:right w:type="dxa" w:w="100"/>
            </w:tcMar>
          </w:tcPr>
          <w:p>
            <w:r>
              <w:rPr>
                <w:b w:val="false"/>
                <w:bCs w:val="false"/>
                <w:sz w:val="20"/>
                <w:szCs w:val="20"/>
              </w:rPr>
              <w:t xml:space="preserve">Torque, force, speed</w:t>
            </w:r>
          </w:p>
        </w:tc>
        <w:tc>
          <w:tcPr>
            <w:tcW w:type="dxa" w:w="2900"/>
            <w:tcMar>
              <w:top w:type="dxa" w:w="60"/>
              <w:left w:type="dxa" w:w="100"/>
              <w:bottom w:type="dxa" w:w="60"/>
              <w:right w:type="dxa" w:w="100"/>
            </w:tcMar>
          </w:tcPr>
          <w:p>
            <w:r>
              <w:rPr>
                <w:b w:val="false"/>
                <w:bCs w:val="false"/>
                <w:sz w:val="20"/>
                <w:szCs w:val="20"/>
              </w:rPr>
              <w:t xml:space="preserve">Eq (1)-(5)</w:t>
            </w:r>
          </w:p>
        </w:tc>
        <w:tc>
          <w:tcPr>
            <w:tcW w:type="dxa" w:w="3000"/>
            <w:tcMar>
              <w:top w:type="dxa" w:w="60"/>
              <w:left w:type="dxa" w:w="100"/>
              <w:bottom w:type="dxa" w:w="60"/>
              <w:right w:type="dxa" w:w="100"/>
            </w:tcMar>
          </w:tcPr>
          <w:p>
            <w:r>
              <w:rPr>
                <w:b w:val="false"/>
                <w:bCs w:val="false"/>
                <w:sz w:val="20"/>
                <w:szCs w:val="20"/>
              </w:rPr>
              <w:t xml:space="preserve">Pinion torque taken directly as an input (ISO 10300 rates from T1, not power)</w:t>
            </w:r>
          </w:p>
        </w:tc>
      </w:tr>
      <w:tr>
        <w:tc>
          <w:tcPr>
            <w:tcW w:type="dxa" w:w="1100"/>
            <w:tcMar>
              <w:top w:type="dxa" w:w="60"/>
              <w:left w:type="dxa" w:w="100"/>
              <w:bottom w:type="dxa" w:w="60"/>
              <w:right w:type="dxa" w:w="100"/>
            </w:tcMar>
          </w:tcPr>
          <w:p>
            <w:r>
              <w:rPr>
                <w:b w:val="false"/>
                <w:bCs w:val="false"/>
                <w:sz w:val="20"/>
                <w:szCs w:val="20"/>
              </w:rPr>
              <w:t xml:space="preserve">7</w:t>
            </w:r>
          </w:p>
        </w:tc>
        <w:tc>
          <w:tcPr>
            <w:tcW w:type="dxa" w:w="2600"/>
            <w:tcMar>
              <w:top w:type="dxa" w:w="60"/>
              <w:left w:type="dxa" w:w="100"/>
              <w:bottom w:type="dxa" w:w="60"/>
              <w:right w:type="dxa" w:w="100"/>
            </w:tcMar>
          </w:tcPr>
          <w:p>
            <w:r>
              <w:rPr>
                <w:b w:val="false"/>
                <w:bCs w:val="false"/>
                <w:sz w:val="20"/>
                <w:szCs w:val="20"/>
              </w:rPr>
              <w:t xml:space="preserve">Dynamic factor, Kv</w:t>
            </w:r>
          </w:p>
        </w:tc>
        <w:tc>
          <w:tcPr>
            <w:tcW w:type="dxa" w:w="2900"/>
            <w:tcMar>
              <w:top w:type="dxa" w:w="60"/>
              <w:left w:type="dxa" w:w="100"/>
              <w:bottom w:type="dxa" w:w="60"/>
              <w:right w:type="dxa" w:w="100"/>
            </w:tcMar>
          </w:tcPr>
          <w:p>
            <w:r>
              <w:rPr>
                <w:b w:val="false"/>
                <w:bCs w:val="false"/>
                <w:sz w:val="20"/>
                <w:szCs w:val="20"/>
              </w:rPr>
              <w:t xml:space="preserve">Method B (Eq 8-21) or Method C (Eq 22-27)</w:t>
            </w:r>
          </w:p>
        </w:tc>
        <w:tc>
          <w:tcPr>
            <w:tcW w:type="dxa" w:w="3000"/>
            <w:tcMar>
              <w:top w:type="dxa" w:w="60"/>
              <w:left w:type="dxa" w:w="100"/>
              <w:bottom w:type="dxa" w:w="60"/>
              <w:right w:type="dxa" w:w="100"/>
            </w:tcMar>
          </w:tcPr>
          <w:p>
            <w:r>
              <w:rPr>
                <w:b w:val="false"/>
                <w:bCs w:val="false"/>
                <w:sz w:val="20"/>
                <w:szCs w:val="20"/>
              </w:rPr>
              <w:t xml:space="preserve">Method B: mass/resonance model with the sector logic (sub-/main-resonance/intermediate/supercritical); Method C: accuracy-grade empirical curve, structurally identical to AGMA's own Kv formula</w:t>
            </w:r>
          </w:p>
        </w:tc>
      </w:tr>
      <w:tr>
        <w:tc>
          <w:tcPr>
            <w:tcW w:type="dxa" w:w="1100"/>
            <w:tcMar>
              <w:top w:type="dxa" w:w="60"/>
              <w:left w:type="dxa" w:w="100"/>
              <w:bottom w:type="dxa" w:w="60"/>
              <w:right w:type="dxa" w:w="100"/>
            </w:tcMar>
          </w:tcPr>
          <w:p>
            <w:r>
              <w:rPr>
                <w:b w:val="false"/>
                <w:bCs w:val="false"/>
                <w:sz w:val="20"/>
                <w:szCs w:val="20"/>
              </w:rPr>
              <w:t xml:space="preserve">8</w:t>
            </w:r>
          </w:p>
        </w:tc>
        <w:tc>
          <w:tcPr>
            <w:tcW w:type="dxa" w:w="2600"/>
            <w:tcMar>
              <w:top w:type="dxa" w:w="60"/>
              <w:left w:type="dxa" w:w="100"/>
              <w:bottom w:type="dxa" w:w="60"/>
              <w:right w:type="dxa" w:w="100"/>
            </w:tcMar>
          </w:tcPr>
          <w:p>
            <w:r>
              <w:rPr>
                <w:b w:val="false"/>
                <w:bCs w:val="false"/>
                <w:sz w:val="20"/>
                <w:szCs w:val="20"/>
              </w:rPr>
              <w:t xml:space="preserve">Face load factor, KHbeta/KFbeta</w:t>
            </w:r>
          </w:p>
        </w:tc>
        <w:tc>
          <w:tcPr>
            <w:tcW w:type="dxa" w:w="2900"/>
            <w:tcMar>
              <w:top w:type="dxa" w:w="60"/>
              <w:left w:type="dxa" w:w="100"/>
              <w:bottom w:type="dxa" w:w="60"/>
              <w:right w:type="dxa" w:w="100"/>
            </w:tcMar>
          </w:tcPr>
          <w:p>
            <w:r>
              <w:rPr>
                <w:b w:val="false"/>
                <w:bCs w:val="false"/>
                <w:sz w:val="20"/>
                <w:szCs w:val="20"/>
              </w:rPr>
              <w:t xml:space="preserve">Method C only (Eq 28, 32-36)</w:t>
            </w:r>
          </w:p>
        </w:tc>
        <w:tc>
          <w:tcPr>
            <w:tcW w:type="dxa" w:w="3000"/>
            <w:tcMar>
              <w:top w:type="dxa" w:w="60"/>
              <w:left w:type="dxa" w:w="100"/>
              <w:bottom w:type="dxa" w:w="60"/>
              <w:right w:type="dxa" w:w="100"/>
            </w:tcMar>
          </w:tcPr>
          <w:p>
            <w:r>
              <w:rPr>
                <w:b w:val="false"/>
                <w:bCs w:val="false"/>
                <w:sz w:val="20"/>
                <w:szCs w:val="20"/>
              </w:rPr>
              <w:t xml:space="preserve">Method B "has not yet been developed" per the standard itself (8.3) — Method C is the only normative option</w:t>
            </w:r>
          </w:p>
        </w:tc>
      </w:tr>
      <w:tr>
        <w:tc>
          <w:tcPr>
            <w:tcW w:type="dxa" w:w="1100"/>
            <w:tcMar>
              <w:top w:type="dxa" w:w="60"/>
              <w:left w:type="dxa" w:w="100"/>
              <w:bottom w:type="dxa" w:w="60"/>
              <w:right w:type="dxa" w:w="100"/>
            </w:tcMar>
          </w:tcPr>
          <w:p>
            <w:r>
              <w:rPr>
                <w:b w:val="false"/>
                <w:bCs w:val="false"/>
                <w:sz w:val="20"/>
                <w:szCs w:val="20"/>
              </w:rPr>
              <w:t xml:space="preserve">9</w:t>
            </w:r>
          </w:p>
        </w:tc>
        <w:tc>
          <w:tcPr>
            <w:tcW w:type="dxa" w:w="2600"/>
            <w:tcMar>
              <w:top w:type="dxa" w:w="60"/>
              <w:left w:type="dxa" w:w="100"/>
              <w:bottom w:type="dxa" w:w="60"/>
              <w:right w:type="dxa" w:w="100"/>
            </w:tcMar>
          </w:tcPr>
          <w:p>
            <w:r>
              <w:rPr>
                <w:b w:val="false"/>
                <w:bCs w:val="false"/>
                <w:sz w:val="20"/>
                <w:szCs w:val="20"/>
              </w:rPr>
              <w:t xml:space="preserve">Transverse load factors, KHalpha/KFalpha</w:t>
            </w:r>
          </w:p>
        </w:tc>
        <w:tc>
          <w:tcPr>
            <w:tcW w:type="dxa" w:w="2900"/>
            <w:tcMar>
              <w:top w:type="dxa" w:w="60"/>
              <w:left w:type="dxa" w:w="100"/>
              <w:bottom w:type="dxa" w:w="60"/>
              <w:right w:type="dxa" w:w="100"/>
            </w:tcMar>
          </w:tcPr>
          <w:p>
            <w:r>
              <w:rPr>
                <w:b w:val="false"/>
                <w:bCs w:val="false"/>
                <w:sz w:val="20"/>
                <w:szCs w:val="20"/>
              </w:rPr>
              <w:t xml:space="preserve">Method B (Eq 46-48) or Method C (Table 5)</w:t>
            </w:r>
          </w:p>
        </w:tc>
        <w:tc>
          <w:tcPr>
            <w:tcW w:type="dxa" w:w="3000"/>
            <w:tcMar>
              <w:top w:type="dxa" w:w="60"/>
              <w:left w:type="dxa" w:w="100"/>
              <w:bottom w:type="dxa" w:w="60"/>
              <w:right w:type="dxa" w:w="100"/>
            </w:tcMar>
          </w:tcPr>
          <w:p>
            <w:r>
              <w:rPr>
                <w:b w:val="false"/>
                <w:bCs w:val="false"/>
                <w:sz w:val="20"/>
                <w:szCs w:val="20"/>
              </w:rPr>
              <w:t xml:space="preserve">General offset blend (Eq 40/41) towards 1.0 as a_rel grows; KHalpha = KFalpha always</w:t>
            </w:r>
          </w:p>
        </w:tc>
      </w:tr>
      <w:tr>
        <w:tc>
          <w:tcPr>
            <w:tcW w:type="dxa" w:w="1100"/>
            <w:tcMar>
              <w:top w:type="dxa" w:w="60"/>
              <w:left w:type="dxa" w:w="100"/>
              <w:bottom w:type="dxa" w:w="60"/>
              <w:right w:type="dxa" w:w="100"/>
            </w:tcMar>
          </w:tcPr>
          <w:p>
            <w:r>
              <w:rPr>
                <w:b w:val="false"/>
                <w:bCs w:val="false"/>
                <w:sz w:val="20"/>
                <w:szCs w:val="20"/>
              </w:rPr>
              <w:t xml:space="preserve">Annex A</w:t>
            </w:r>
          </w:p>
        </w:tc>
        <w:tc>
          <w:tcPr>
            <w:tcW w:type="dxa" w:w="2600"/>
            <w:tcMar>
              <w:top w:type="dxa" w:w="60"/>
              <w:left w:type="dxa" w:w="100"/>
              <w:bottom w:type="dxa" w:w="60"/>
              <w:right w:type="dxa" w:w="100"/>
            </w:tcMar>
          </w:tcPr>
          <w:p>
            <w:r>
              <w:rPr>
                <w:b w:val="false"/>
                <w:bCs w:val="false"/>
                <w:sz w:val="20"/>
                <w:szCs w:val="20"/>
              </w:rPr>
              <w:t xml:space="preserve">Virtual cylindrical gears</w:t>
            </w:r>
          </w:p>
        </w:tc>
        <w:tc>
          <w:tcPr>
            <w:tcW w:type="dxa" w:w="2900"/>
            <w:tcMar>
              <w:top w:type="dxa" w:w="60"/>
              <w:left w:type="dxa" w:w="100"/>
              <w:bottom w:type="dxa" w:w="60"/>
              <w:right w:type="dxa" w:w="100"/>
            </w:tcMar>
          </w:tcPr>
          <w:p>
            <w:r>
              <w:rPr>
                <w:b w:val="false"/>
                <w:bCs w:val="false"/>
                <w:sz w:val="20"/>
                <w:szCs w:val="20"/>
              </w:rPr>
              <w:t xml:space="preserve">Eq A.1-A.46, general (any offset)</w:t>
            </w:r>
          </w:p>
        </w:tc>
        <w:tc>
          <w:tcPr>
            <w:tcW w:type="dxa" w:w="3000"/>
            <w:tcMar>
              <w:top w:type="dxa" w:w="60"/>
              <w:left w:type="dxa" w:w="100"/>
              <w:bottom w:type="dxa" w:w="60"/>
              <w:right w:type="dxa" w:w="100"/>
            </w:tcMar>
          </w:tcPr>
          <w:p>
            <w:r>
              <w:rPr>
                <w:b w:val="false"/>
                <w:bCs w:val="false"/>
                <w:sz w:val="20"/>
                <w:szCs w:val="20"/>
              </w:rPr>
              <w:t xml:space="preserve">See Section 5</w:t>
            </w:r>
          </w:p>
        </w:tc>
      </w:tr>
      <w:tr>
        <w:tc>
          <w:tcPr>
            <w:tcW w:type="dxa" w:w="1100"/>
            <w:tcMar>
              <w:top w:type="dxa" w:w="60"/>
              <w:left w:type="dxa" w:w="100"/>
              <w:bottom w:type="dxa" w:w="60"/>
              <w:right w:type="dxa" w:w="100"/>
            </w:tcMar>
          </w:tcPr>
          <w:p>
            <w:r>
              <w:rPr>
                <w:b w:val="false"/>
                <w:bCs w:val="false"/>
                <w:sz w:val="20"/>
                <w:szCs w:val="20"/>
              </w:rPr>
              <w:t xml:space="preserve">Annex C</w:t>
            </w:r>
          </w:p>
        </w:tc>
        <w:tc>
          <w:tcPr>
            <w:tcW w:type="dxa" w:w="2600"/>
            <w:tcMar>
              <w:top w:type="dxa" w:w="60"/>
              <w:left w:type="dxa" w:w="100"/>
              <w:bottom w:type="dxa" w:w="60"/>
              <w:right w:type="dxa" w:w="100"/>
            </w:tcMar>
          </w:tcPr>
          <w:p>
            <w:r>
              <w:rPr>
                <w:b w:val="false"/>
                <w:bCs w:val="false"/>
                <w:sz w:val="20"/>
                <w:szCs w:val="20"/>
              </w:rPr>
              <w:t xml:space="preserve">Application factor, KA</w:t>
            </w:r>
          </w:p>
        </w:tc>
        <w:tc>
          <w:tcPr>
            <w:tcW w:type="dxa" w:w="2900"/>
            <w:tcMar>
              <w:top w:type="dxa" w:w="60"/>
              <w:left w:type="dxa" w:w="100"/>
              <w:bottom w:type="dxa" w:w="60"/>
              <w:right w:type="dxa" w:w="100"/>
            </w:tcMar>
          </w:tcPr>
          <w:p>
            <w:r>
              <w:rPr>
                <w:b w:val="false"/>
                <w:bCs w:val="false"/>
                <w:sz w:val="20"/>
                <w:szCs w:val="20"/>
              </w:rPr>
              <w:t xml:space="preserve">Table C.1 (reference only)</w:t>
            </w:r>
          </w:p>
        </w:tc>
        <w:tc>
          <w:tcPr>
            <w:tcW w:type="dxa" w:w="3000"/>
            <w:tcMar>
              <w:top w:type="dxa" w:w="60"/>
              <w:left w:type="dxa" w:w="100"/>
              <w:bottom w:type="dxa" w:w="60"/>
              <w:right w:type="dxa" w:w="100"/>
            </w:tcMar>
          </w:tcPr>
          <w:p>
            <w:r>
              <w:rPr>
                <w:b w:val="false"/>
                <w:bCs w:val="false"/>
                <w:sz w:val="20"/>
                <w:szCs w:val="20"/>
              </w:rPr>
              <w:t xml:space="preserve">Exposed as a direct numeric input, matching AGMA's own KA/Ko treatment</w:t>
            </w:r>
          </w:p>
        </w:tc>
      </w:tr>
    </w:tbl>
    <w:p>
      <w:pPr>
        <w:pStyle w:val="Heading2"/>
        <w:spacing w:after="120" w:before="240"/>
      </w:pPr>
      <w:r>
        <w:t xml:space="preserve">4.2 Part 2 — Surface durability (macropitting), Method B1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00"/>
      </w:tblGrid>
      <w:tr>
        <w:trPr>
          <w:tblHeader/>
        </w:trPr>
        <w:tc>
          <w:tcPr>
            <w:tcW w:type="dxa" w:w="2100"/>
            <w:shd w:fill="D9E2F3" w:val="clear"/>
            <w:tcMar>
              <w:top w:type="dxa" w:w="60"/>
              <w:left w:type="dxa" w:w="100"/>
              <w:bottom w:type="dxa" w:w="60"/>
              <w:right w:type="dxa" w:w="100"/>
            </w:tcMar>
          </w:tcPr>
          <w:p>
            <w:r>
              <w:rPr>
                <w:b/>
                <w:bCs/>
                <w:sz w:val="20"/>
                <w:szCs w:val="20"/>
              </w:rPr>
              <w:t xml:space="preserve">Clause</w:t>
            </w:r>
          </w:p>
        </w:tc>
        <w:tc>
          <w:tcPr>
            <w:tcW w:type="dxa" w:w="3600"/>
            <w:shd w:fill="D9E2F3" w:val="clear"/>
            <w:tcMar>
              <w:top w:type="dxa" w:w="60"/>
              <w:left w:type="dxa" w:w="100"/>
              <w:bottom w:type="dxa" w:w="60"/>
              <w:right w:type="dxa" w:w="100"/>
            </w:tcMar>
          </w:tcPr>
          <w:p>
            <w:r>
              <w:rPr>
                <w:b/>
                <w:bCs/>
                <w:sz w:val="20"/>
                <w:szCs w:val="20"/>
              </w:rPr>
              <w:t xml:space="preserve">Factor</w:t>
            </w:r>
          </w:p>
        </w:tc>
        <w:tc>
          <w:tcPr>
            <w:tcW w:type="dxa" w:w="3900"/>
            <w:shd w:fill="D9E2F3" w:val="clear"/>
            <w:tcMar>
              <w:top w:type="dxa" w:w="60"/>
              <w:left w:type="dxa" w:w="100"/>
              <w:bottom w:type="dxa" w:w="60"/>
              <w:right w:type="dxa" w:w="100"/>
            </w:tcMar>
          </w:tcPr>
          <w:p>
            <w:r>
              <w:rPr>
                <w:b/>
                <w:bCs/>
                <w:sz w:val="20"/>
                <w:szCs w:val="20"/>
              </w:rPr>
              <w:t xml:space="preserve">Equation(s)</w:t>
            </w:r>
          </w:p>
        </w:tc>
      </w:tr>
      <w:tr>
        <w:tc>
          <w:tcPr>
            <w:tcW w:type="dxa" w:w="2100"/>
            <w:tcMar>
              <w:top w:type="dxa" w:w="60"/>
              <w:left w:type="dxa" w:w="100"/>
              <w:bottom w:type="dxa" w:w="60"/>
              <w:right w:type="dxa" w:w="100"/>
            </w:tcMar>
          </w:tcPr>
          <w:p>
            <w:r>
              <w:rPr>
                <w:b w:val="false"/>
                <w:bCs w:val="false"/>
                <w:sz w:val="20"/>
                <w:szCs w:val="20"/>
              </w:rPr>
              <w:t xml:space="preserve">6.1</w:t>
            </w:r>
          </w:p>
        </w:tc>
        <w:tc>
          <w:tcPr>
            <w:tcW w:type="dxa" w:w="3600"/>
            <w:tcMar>
              <w:top w:type="dxa" w:w="60"/>
              <w:left w:type="dxa" w:w="100"/>
              <w:bottom w:type="dxa" w:w="60"/>
              <w:right w:type="dxa" w:w="100"/>
            </w:tcMar>
          </w:tcPr>
          <w:p>
            <w:r>
              <w:rPr>
                <w:b w:val="false"/>
                <w:bCs w:val="false"/>
                <w:sz w:val="20"/>
                <w:szCs w:val="20"/>
              </w:rPr>
              <w:t xml:space="preserve">Contact stress, sigmaH-B1 / sigmaH0-B1 / Fn</w:t>
            </w:r>
          </w:p>
        </w:tc>
        <w:tc>
          <w:tcPr>
            <w:tcW w:type="dxa" w:w="3900"/>
            <w:tcMar>
              <w:top w:type="dxa" w:w="60"/>
              <w:left w:type="dxa" w:w="100"/>
              <w:bottom w:type="dxa" w:w="60"/>
              <w:right w:type="dxa" w:w="100"/>
            </w:tcMar>
          </w:tcPr>
          <w:p>
            <w:r>
              <w:rPr>
                <w:b w:val="false"/>
                <w:bCs w:val="false"/>
                <w:sz w:val="20"/>
                <w:szCs w:val="20"/>
              </w:rPr>
              <w:t xml:space="preserve">Eq (1)-(3)</w:t>
            </w:r>
          </w:p>
        </w:tc>
      </w:tr>
      <w:tr>
        <w:tc>
          <w:tcPr>
            <w:tcW w:type="dxa" w:w="2100"/>
            <w:tcMar>
              <w:top w:type="dxa" w:w="60"/>
              <w:left w:type="dxa" w:w="100"/>
              <w:bottom w:type="dxa" w:w="60"/>
              <w:right w:type="dxa" w:w="100"/>
            </w:tcMar>
          </w:tcPr>
          <w:p>
            <w:r>
              <w:rPr>
                <w:b w:val="false"/>
                <w:bCs w:val="false"/>
                <w:sz w:val="20"/>
                <w:szCs w:val="20"/>
              </w:rPr>
              <w:t xml:space="preserve">6.4.1</w:t>
            </w:r>
          </w:p>
        </w:tc>
        <w:tc>
          <w:tcPr>
            <w:tcW w:type="dxa" w:w="3600"/>
            <w:tcMar>
              <w:top w:type="dxa" w:w="60"/>
              <w:left w:type="dxa" w:w="100"/>
              <w:bottom w:type="dxa" w:w="60"/>
              <w:right w:type="dxa" w:w="100"/>
            </w:tcMar>
          </w:tcPr>
          <w:p>
            <w:r>
              <w:rPr>
                <w:b w:val="false"/>
                <w:bCs w:val="false"/>
                <w:sz w:val="20"/>
                <w:szCs w:val="20"/>
              </w:rPr>
              <w:t xml:space="preserve">Mid-zone factor, ZM-B</w:t>
            </w:r>
          </w:p>
        </w:tc>
        <w:tc>
          <w:tcPr>
            <w:tcW w:type="dxa" w:w="3900"/>
            <w:tcMar>
              <w:top w:type="dxa" w:w="60"/>
              <w:left w:type="dxa" w:w="100"/>
              <w:bottom w:type="dxa" w:w="60"/>
              <w:right w:type="dxa" w:w="100"/>
            </w:tcMar>
          </w:tcPr>
          <w:p>
            <w:r>
              <w:rPr>
                <w:b w:val="false"/>
                <w:bCs w:val="false"/>
                <w:sz w:val="20"/>
                <w:szCs w:val="20"/>
              </w:rPr>
              <w:t xml:space="preserve">Eq (6), Table 4</w:t>
            </w:r>
          </w:p>
        </w:tc>
      </w:tr>
      <w:tr>
        <w:tc>
          <w:tcPr>
            <w:tcW w:type="dxa" w:w="2100"/>
            <w:tcMar>
              <w:top w:type="dxa" w:w="60"/>
              <w:left w:type="dxa" w:w="100"/>
              <w:bottom w:type="dxa" w:w="60"/>
              <w:right w:type="dxa" w:w="100"/>
            </w:tcMar>
          </w:tcPr>
          <w:p>
            <w:r>
              <w:rPr>
                <w:b w:val="false"/>
                <w:bCs w:val="false"/>
                <w:sz w:val="20"/>
                <w:szCs w:val="20"/>
              </w:rPr>
              <w:t xml:space="preserve">6.4.2</w:t>
            </w:r>
          </w:p>
        </w:tc>
        <w:tc>
          <w:tcPr>
            <w:tcW w:type="dxa" w:w="3600"/>
            <w:tcMar>
              <w:top w:type="dxa" w:w="60"/>
              <w:left w:type="dxa" w:w="100"/>
              <w:bottom w:type="dxa" w:w="60"/>
              <w:right w:type="dxa" w:w="100"/>
            </w:tcMar>
          </w:tcPr>
          <w:p>
            <w:r>
              <w:rPr>
                <w:b w:val="false"/>
                <w:bCs w:val="false"/>
                <w:sz w:val="20"/>
                <w:szCs w:val="20"/>
              </w:rPr>
              <w:t xml:space="preserve">Load sharing factor, ZLS</w:t>
            </w:r>
          </w:p>
        </w:tc>
        <w:tc>
          <w:tcPr>
            <w:tcW w:type="dxa" w:w="3900"/>
            <w:tcMar>
              <w:top w:type="dxa" w:w="60"/>
              <w:left w:type="dxa" w:w="100"/>
              <w:bottom w:type="dxa" w:w="60"/>
              <w:right w:type="dxa" w:w="100"/>
            </w:tcMar>
          </w:tcPr>
          <w:p>
            <w:r>
              <w:rPr>
                <w:b w:val="false"/>
                <w:bCs w:val="false"/>
                <w:sz w:val="20"/>
                <w:szCs w:val="20"/>
              </w:rPr>
              <w:t xml:space="preserve">Eq (7)-(10)</w:t>
            </w:r>
          </w:p>
        </w:tc>
      </w:tr>
      <w:tr>
        <w:tc>
          <w:tcPr>
            <w:tcW w:type="dxa" w:w="2100"/>
            <w:tcMar>
              <w:top w:type="dxa" w:w="60"/>
              <w:left w:type="dxa" w:w="100"/>
              <w:bottom w:type="dxa" w:w="60"/>
              <w:right w:type="dxa" w:w="100"/>
            </w:tcMar>
          </w:tcPr>
          <w:p>
            <w:r>
              <w:rPr>
                <w:b w:val="false"/>
                <w:bCs w:val="false"/>
                <w:sz w:val="20"/>
                <w:szCs w:val="20"/>
              </w:rPr>
              <w:t xml:space="preserve">6.5.1 / 6.5.2 / 6.5.3</w:t>
            </w:r>
          </w:p>
        </w:tc>
        <w:tc>
          <w:tcPr>
            <w:tcW w:type="dxa" w:w="3600"/>
            <w:tcMar>
              <w:top w:type="dxa" w:w="60"/>
              <w:left w:type="dxa" w:w="100"/>
              <w:bottom w:type="dxa" w:w="60"/>
              <w:right w:type="dxa" w:w="100"/>
            </w:tcMar>
          </w:tcPr>
          <w:p>
            <w:r>
              <w:rPr>
                <w:b w:val="false"/>
                <w:bCs w:val="false"/>
                <w:sz w:val="20"/>
                <w:szCs w:val="20"/>
              </w:rPr>
              <w:t xml:space="preserve">Bevel gear factor ZKP, size factor ZX, hypoid factor ZHyp</w:t>
            </w:r>
          </w:p>
        </w:tc>
        <w:tc>
          <w:tcPr>
            <w:tcW w:type="dxa" w:w="3900"/>
            <w:tcMar>
              <w:top w:type="dxa" w:w="60"/>
              <w:left w:type="dxa" w:w="100"/>
              <w:bottom w:type="dxa" w:w="60"/>
              <w:right w:type="dxa" w:w="100"/>
            </w:tcMar>
          </w:tcPr>
          <w:p>
            <w:r>
              <w:rPr>
                <w:b w:val="false"/>
                <w:bCs w:val="false"/>
                <w:sz w:val="20"/>
                <w:szCs w:val="20"/>
              </w:rPr>
              <w:t xml:space="preserve">Eq (11), (12); ZX = 1.0 per 6.5.2</w:t>
            </w:r>
          </w:p>
        </w:tc>
      </w:tr>
      <w:tr>
        <w:tc>
          <w:tcPr>
            <w:tcW w:type="dxa" w:w="2100"/>
            <w:tcMar>
              <w:top w:type="dxa" w:w="60"/>
              <w:left w:type="dxa" w:w="100"/>
              <w:bottom w:type="dxa" w:w="60"/>
              <w:right w:type="dxa" w:w="100"/>
            </w:tcMar>
          </w:tcPr>
          <w:p>
            <w:r>
              <w:rPr>
                <w:b w:val="false"/>
                <w:bCs w:val="false"/>
                <w:sz w:val="20"/>
                <w:szCs w:val="20"/>
              </w:rPr>
              <w:t xml:space="preserve">8.1</w:t>
            </w:r>
          </w:p>
        </w:tc>
        <w:tc>
          <w:tcPr>
            <w:tcW w:type="dxa" w:w="3600"/>
            <w:tcMar>
              <w:top w:type="dxa" w:w="60"/>
              <w:left w:type="dxa" w:w="100"/>
              <w:bottom w:type="dxa" w:w="60"/>
              <w:right w:type="dxa" w:w="100"/>
            </w:tcMar>
          </w:tcPr>
          <w:p>
            <w:r>
              <w:rPr>
                <w:b w:val="false"/>
                <w:bCs w:val="false"/>
                <w:sz w:val="20"/>
                <w:szCs w:val="20"/>
              </w:rPr>
              <w:t xml:space="preserve">Elasticity factor, ZE</w:t>
            </w:r>
          </w:p>
        </w:tc>
        <w:tc>
          <w:tcPr>
            <w:tcW w:type="dxa" w:w="3900"/>
            <w:tcMar>
              <w:top w:type="dxa" w:w="60"/>
              <w:left w:type="dxa" w:w="100"/>
              <w:bottom w:type="dxa" w:w="60"/>
              <w:right w:type="dxa" w:w="100"/>
            </w:tcMar>
          </w:tcPr>
          <w:p>
            <w:r>
              <w:rPr>
                <w:b w:val="false"/>
                <w:bCs w:val="false"/>
                <w:sz w:val="20"/>
                <w:szCs w:val="20"/>
              </w:rPr>
              <w:t xml:space="preserve">Eq (51)/(52)</w:t>
            </w:r>
          </w:p>
        </w:tc>
      </w:tr>
      <w:tr>
        <w:tc>
          <w:tcPr>
            <w:tcW w:type="dxa" w:w="2100"/>
            <w:tcMar>
              <w:top w:type="dxa" w:w="60"/>
              <w:left w:type="dxa" w:w="100"/>
              <w:bottom w:type="dxa" w:w="60"/>
              <w:right w:type="dxa" w:w="100"/>
            </w:tcMar>
          </w:tcPr>
          <w:p>
            <w:r>
              <w:rPr>
                <w:b w:val="false"/>
                <w:bCs w:val="false"/>
                <w:sz w:val="20"/>
                <w:szCs w:val="20"/>
              </w:rPr>
              <w:t xml:space="preserve">8.2.3</w:t>
            </w:r>
          </w:p>
        </w:tc>
        <w:tc>
          <w:tcPr>
            <w:tcW w:type="dxa" w:w="3600"/>
            <w:tcMar>
              <w:top w:type="dxa" w:w="60"/>
              <w:left w:type="dxa" w:w="100"/>
              <w:bottom w:type="dxa" w:w="60"/>
              <w:right w:type="dxa" w:w="100"/>
            </w:tcMar>
          </w:tcPr>
          <w:p>
            <w:r>
              <w:rPr>
                <w:b w:val="false"/>
                <w:bCs w:val="false"/>
                <w:sz w:val="20"/>
                <w:szCs w:val="20"/>
              </w:rPr>
              <w:t xml:space="preserve">Lubricant film factors, ZL / Zv / ZR</w:t>
            </w:r>
          </w:p>
        </w:tc>
        <w:tc>
          <w:tcPr>
            <w:tcW w:type="dxa" w:w="3900"/>
            <w:tcMar>
              <w:top w:type="dxa" w:w="60"/>
              <w:left w:type="dxa" w:w="100"/>
              <w:bottom w:type="dxa" w:w="60"/>
              <w:right w:type="dxa" w:w="100"/>
            </w:tcMar>
          </w:tcPr>
          <w:p>
            <w:r>
              <w:rPr>
                <w:b w:val="false"/>
                <w:bCs w:val="false"/>
                <w:sz w:val="20"/>
                <w:szCs w:val="20"/>
              </w:rPr>
              <w:t xml:space="preserve">Eq (54)-(60)</w:t>
            </w:r>
          </w:p>
        </w:tc>
      </w:tr>
      <w:tr>
        <w:tc>
          <w:tcPr>
            <w:tcW w:type="dxa" w:w="2100"/>
            <w:tcMar>
              <w:top w:type="dxa" w:w="60"/>
              <w:left w:type="dxa" w:w="100"/>
              <w:bottom w:type="dxa" w:w="60"/>
              <w:right w:type="dxa" w:w="100"/>
            </w:tcMar>
          </w:tcPr>
          <w:p>
            <w:r>
              <w:rPr>
                <w:b w:val="false"/>
                <w:bCs w:val="false"/>
                <w:sz w:val="20"/>
                <w:szCs w:val="20"/>
              </w:rPr>
              <w:t xml:space="preserve">8.3</w:t>
            </w:r>
          </w:p>
        </w:tc>
        <w:tc>
          <w:tcPr>
            <w:tcW w:type="dxa" w:w="3600"/>
            <w:tcMar>
              <w:top w:type="dxa" w:w="60"/>
              <w:left w:type="dxa" w:w="100"/>
              <w:bottom w:type="dxa" w:w="60"/>
              <w:right w:type="dxa" w:w="100"/>
            </w:tcMar>
          </w:tcPr>
          <w:p>
            <w:r>
              <w:rPr>
                <w:b w:val="false"/>
                <w:bCs w:val="false"/>
                <w:sz w:val="20"/>
                <w:szCs w:val="20"/>
              </w:rPr>
              <w:t xml:space="preserve">Work hardening factor, ZW</w:t>
            </w:r>
          </w:p>
        </w:tc>
        <w:tc>
          <w:tcPr>
            <w:tcW w:type="dxa" w:w="3900"/>
            <w:tcMar>
              <w:top w:type="dxa" w:w="60"/>
              <w:left w:type="dxa" w:w="100"/>
              <w:bottom w:type="dxa" w:w="60"/>
              <w:right w:type="dxa" w:w="100"/>
            </w:tcMar>
          </w:tcPr>
          <w:p>
            <w:r>
              <w:rPr>
                <w:b w:val="false"/>
                <w:bCs w:val="false"/>
                <w:sz w:val="20"/>
                <w:szCs w:val="20"/>
              </w:rPr>
              <w:t xml:space="preserve">8.3.3.1/.2 (surface-hardened-pinion and through-hardened-pair modes)</w:t>
            </w:r>
          </w:p>
        </w:tc>
      </w:tr>
      <w:tr>
        <w:tc>
          <w:tcPr>
            <w:tcW w:type="dxa" w:w="2100"/>
            <w:tcMar>
              <w:top w:type="dxa" w:w="60"/>
              <w:left w:type="dxa" w:w="100"/>
              <w:bottom w:type="dxa" w:w="60"/>
              <w:right w:type="dxa" w:w="100"/>
            </w:tcMar>
          </w:tcPr>
          <w:p>
            <w:r>
              <w:rPr>
                <w:b w:val="false"/>
                <w:bCs w:val="false"/>
                <w:sz w:val="20"/>
                <w:szCs w:val="20"/>
              </w:rPr>
              <w:t xml:space="preserve">8.4</w:t>
            </w:r>
          </w:p>
        </w:tc>
        <w:tc>
          <w:tcPr>
            <w:tcW w:type="dxa" w:w="3600"/>
            <w:tcMar>
              <w:top w:type="dxa" w:w="60"/>
              <w:left w:type="dxa" w:w="100"/>
              <w:bottom w:type="dxa" w:w="60"/>
              <w:right w:type="dxa" w:w="100"/>
            </w:tcMar>
          </w:tcPr>
          <w:p>
            <w:r>
              <w:rPr>
                <w:b w:val="false"/>
                <w:bCs w:val="false"/>
                <w:sz w:val="20"/>
                <w:szCs w:val="20"/>
              </w:rPr>
              <w:t xml:space="preserve">Life factor, ZNT</w:t>
            </w:r>
          </w:p>
        </w:tc>
        <w:tc>
          <w:tcPr>
            <w:tcW w:type="dxa" w:w="3900"/>
            <w:tcMar>
              <w:top w:type="dxa" w:w="60"/>
              <w:left w:type="dxa" w:w="100"/>
              <w:bottom w:type="dxa" w:w="60"/>
              <w:right w:type="dxa" w:w="100"/>
            </w:tcMar>
          </w:tcPr>
          <w:p>
            <w:r>
              <w:rPr>
                <w:b w:val="false"/>
                <w:bCs w:val="false"/>
                <w:sz w:val="20"/>
                <w:szCs w:val="20"/>
              </w:rPr>
              <w:t xml:space="preserve">Table 6, log-log interpolated</w:t>
            </w:r>
          </w:p>
        </w:tc>
      </w:tr>
    </w:tbl>
    <w:p>
      <w:pPr>
        <w:pStyle w:val="Heading2"/>
        <w:spacing w:after="120" w:before="240"/>
      </w:pPr>
      <w:r>
        <w:t xml:space="preserve">4.3 Part 3 — Tooth root strength, Method B1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D9E2F3" w:val="clear"/>
            <w:tcMar>
              <w:top w:type="dxa" w:w="60"/>
              <w:left w:type="dxa" w:w="100"/>
              <w:bottom w:type="dxa" w:w="60"/>
              <w:right w:type="dxa" w:w="100"/>
            </w:tcMar>
          </w:tcPr>
          <w:p>
            <w:r>
              <w:rPr>
                <w:b/>
                <w:bCs/>
                <w:sz w:val="20"/>
                <w:szCs w:val="20"/>
              </w:rPr>
              <w:t xml:space="preserve">Clause</w:t>
            </w:r>
          </w:p>
        </w:tc>
        <w:tc>
          <w:tcPr>
            <w:tcW w:type="dxa" w:w="3300"/>
            <w:shd w:fill="D9E2F3" w:val="clear"/>
            <w:tcMar>
              <w:top w:type="dxa" w:w="60"/>
              <w:left w:type="dxa" w:w="100"/>
              <w:bottom w:type="dxa" w:w="60"/>
              <w:right w:type="dxa" w:w="100"/>
            </w:tcMar>
          </w:tcPr>
          <w:p>
            <w:r>
              <w:rPr>
                <w:b/>
                <w:bCs/>
                <w:sz w:val="20"/>
                <w:szCs w:val="20"/>
              </w:rPr>
              <w:t xml:space="preserve">Factor</w:t>
            </w:r>
          </w:p>
        </w:tc>
        <w:tc>
          <w:tcPr>
            <w:tcW w:type="dxa" w:w="4200"/>
            <w:shd w:fill="D9E2F3" w:val="clear"/>
            <w:tcMar>
              <w:top w:type="dxa" w:w="60"/>
              <w:left w:type="dxa" w:w="100"/>
              <w:bottom w:type="dxa" w:w="60"/>
              <w:right w:type="dxa" w:w="100"/>
            </w:tcMar>
          </w:tcPr>
          <w:p>
            <w:r>
              <w:rPr>
                <w:b/>
                <w:bCs/>
                <w:sz w:val="20"/>
                <w:szCs w:val="20"/>
              </w:rPr>
              <w:t xml:space="preserve">Equation(s)</w:t>
            </w:r>
          </w:p>
        </w:tc>
      </w:tr>
      <w:tr>
        <w:tc>
          <w:tcPr>
            <w:tcW w:type="dxa" w:w="2100"/>
            <w:tcMar>
              <w:top w:type="dxa" w:w="60"/>
              <w:left w:type="dxa" w:w="100"/>
              <w:bottom w:type="dxa" w:w="60"/>
              <w:right w:type="dxa" w:w="100"/>
            </w:tcMar>
          </w:tcPr>
          <w:p>
            <w:r>
              <w:rPr>
                <w:b w:val="false"/>
                <w:bCs w:val="false"/>
                <w:sz w:val="20"/>
                <w:szCs w:val="20"/>
              </w:rPr>
              <w:t xml:space="preserve">6.1</w:t>
            </w:r>
          </w:p>
        </w:tc>
        <w:tc>
          <w:tcPr>
            <w:tcW w:type="dxa" w:w="3300"/>
            <w:tcMar>
              <w:top w:type="dxa" w:w="60"/>
              <w:left w:type="dxa" w:w="100"/>
              <w:bottom w:type="dxa" w:w="60"/>
              <w:right w:type="dxa" w:w="100"/>
            </w:tcMar>
          </w:tcPr>
          <w:p>
            <w:r>
              <w:rPr>
                <w:b w:val="false"/>
                <w:bCs w:val="false"/>
                <w:sz w:val="20"/>
                <w:szCs w:val="20"/>
              </w:rPr>
              <w:t xml:space="preserve">Tooth root stress, sigmaF-B1 / sigmaF0-B1</w:t>
            </w:r>
          </w:p>
        </w:tc>
        <w:tc>
          <w:tcPr>
            <w:tcW w:type="dxa" w:w="4200"/>
            <w:tcMar>
              <w:top w:type="dxa" w:w="60"/>
              <w:left w:type="dxa" w:w="100"/>
              <w:bottom w:type="dxa" w:w="60"/>
              <w:right w:type="dxa" w:w="100"/>
            </w:tcMar>
          </w:tcPr>
          <w:p>
            <w:r>
              <w:rPr>
                <w:b w:val="false"/>
                <w:bCs w:val="false"/>
                <w:sz w:val="20"/>
                <w:szCs w:val="20"/>
              </w:rPr>
              <w:t xml:space="preserve">Eq (1)/(2)</w:t>
            </w:r>
          </w:p>
        </w:tc>
      </w:tr>
      <w:tr>
        <w:tc>
          <w:tcPr>
            <w:tcW w:type="dxa" w:w="2100"/>
            <w:tcMar>
              <w:top w:type="dxa" w:w="60"/>
              <w:left w:type="dxa" w:w="100"/>
              <w:bottom w:type="dxa" w:w="60"/>
              <w:right w:type="dxa" w:w="100"/>
            </w:tcMar>
          </w:tcPr>
          <w:p>
            <w:r>
              <w:rPr>
                <w:b w:val="false"/>
                <w:bCs w:val="false"/>
                <w:sz w:val="20"/>
                <w:szCs w:val="20"/>
              </w:rPr>
              <w:t xml:space="preserve">6.4.1.2</w:t>
            </w:r>
          </w:p>
        </w:tc>
        <w:tc>
          <w:tcPr>
            <w:tcW w:type="dxa" w:w="3300"/>
            <w:tcMar>
              <w:top w:type="dxa" w:w="60"/>
              <w:left w:type="dxa" w:w="100"/>
              <w:bottom w:type="dxa" w:w="60"/>
              <w:right w:type="dxa" w:w="100"/>
            </w:tcMar>
          </w:tcPr>
          <w:p>
            <w:r>
              <w:rPr>
                <w:b w:val="false"/>
                <w:bCs w:val="false"/>
                <w:sz w:val="20"/>
                <w:szCs w:val="20"/>
              </w:rPr>
              <w:t xml:space="preserve">Tooth form factor, YFa (generated gears)</w:t>
            </w:r>
          </w:p>
        </w:tc>
        <w:tc>
          <w:tcPr>
            <w:tcW w:type="dxa" w:w="4200"/>
            <w:tcMar>
              <w:top w:type="dxa" w:w="60"/>
              <w:left w:type="dxa" w:w="100"/>
              <w:bottom w:type="dxa" w:w="60"/>
              <w:right w:type="dxa" w:w="100"/>
            </w:tcMar>
          </w:tcPr>
          <w:p>
            <w:r>
              <w:rPr>
                <w:b w:val="false"/>
                <w:bCs w:val="false"/>
                <w:sz w:val="20"/>
                <w:szCs w:val="20"/>
              </w:rPr>
              <w:t xml:space="preserve">Eq (6)-(17), incl. fixed-point solve for the root-fillet angle vartheta; sFn = 0.5*sFn,D+0.5*sFn,C (Eq 12, Section 3.10)</w:t>
            </w:r>
          </w:p>
        </w:tc>
      </w:tr>
      <w:tr>
        <w:tc>
          <w:tcPr>
            <w:tcW w:type="dxa" w:w="2100"/>
            <w:tcMar>
              <w:top w:type="dxa" w:w="60"/>
              <w:left w:type="dxa" w:w="100"/>
              <w:bottom w:type="dxa" w:w="60"/>
              <w:right w:type="dxa" w:w="100"/>
            </w:tcMar>
          </w:tcPr>
          <w:p>
            <w:r>
              <w:rPr>
                <w:b w:val="false"/>
                <w:bCs w:val="false"/>
                <w:sz w:val="20"/>
                <w:szCs w:val="20"/>
              </w:rPr>
              <w:t xml:space="preserve">6.4.1.3</w:t>
            </w:r>
          </w:p>
        </w:tc>
        <w:tc>
          <w:tcPr>
            <w:tcW w:type="dxa" w:w="3300"/>
            <w:tcMar>
              <w:top w:type="dxa" w:w="60"/>
              <w:left w:type="dxa" w:w="100"/>
              <w:bottom w:type="dxa" w:w="60"/>
              <w:right w:type="dxa" w:w="100"/>
            </w:tcMar>
          </w:tcPr>
          <w:p>
            <w:r>
              <w:rPr>
                <w:b w:val="false"/>
                <w:bCs w:val="false"/>
                <w:sz w:val="20"/>
                <w:szCs w:val="20"/>
              </w:rPr>
              <w:t xml:space="preserve">Tooth form factor, YFa (non-generated/form-cut gears)</w:t>
            </w:r>
          </w:p>
        </w:tc>
        <w:tc>
          <w:tcPr>
            <w:tcW w:type="dxa" w:w="4200"/>
            <w:tcMar>
              <w:top w:type="dxa" w:w="60"/>
              <w:left w:type="dxa" w:w="100"/>
              <w:bottom w:type="dxa" w:w="60"/>
              <w:right w:type="dxa" w:w="100"/>
            </w:tcMar>
          </w:tcPr>
          <w:p>
            <w:r>
              <w:rPr>
                <w:b w:val="false"/>
                <w:bCs w:val="false"/>
                <w:sz w:val="20"/>
                <w:szCs w:val="20"/>
              </w:rPr>
              <w:t xml:space="preserve">Eq (18)-(23), closed-form (Section 3.11); selected per-member via the WheelIsNonGenerated input</w:t>
            </w:r>
          </w:p>
        </w:tc>
      </w:tr>
      <w:tr>
        <w:tc>
          <w:tcPr>
            <w:tcW w:type="dxa" w:w="2100"/>
            <w:tcMar>
              <w:top w:type="dxa" w:w="60"/>
              <w:left w:type="dxa" w:w="100"/>
              <w:bottom w:type="dxa" w:w="60"/>
              <w:right w:type="dxa" w:w="100"/>
            </w:tcMar>
          </w:tcPr>
          <w:p>
            <w:r>
              <w:rPr>
                <w:b w:val="false"/>
                <w:bCs w:val="false"/>
                <w:sz w:val="20"/>
                <w:szCs w:val="20"/>
              </w:rPr>
              <w:t xml:space="preserve">6.4.2</w:t>
            </w:r>
          </w:p>
        </w:tc>
        <w:tc>
          <w:tcPr>
            <w:tcW w:type="dxa" w:w="3300"/>
            <w:tcMar>
              <w:top w:type="dxa" w:w="60"/>
              <w:left w:type="dxa" w:w="100"/>
              <w:bottom w:type="dxa" w:w="60"/>
              <w:right w:type="dxa" w:w="100"/>
            </w:tcMar>
          </w:tcPr>
          <w:p>
            <w:r>
              <w:rPr>
                <w:b w:val="false"/>
                <w:bCs w:val="false"/>
                <w:sz w:val="20"/>
                <w:szCs w:val="20"/>
              </w:rPr>
              <w:t xml:space="preserve">Stress correction factor, YSa</w:t>
            </w:r>
          </w:p>
        </w:tc>
        <w:tc>
          <w:tcPr>
            <w:tcW w:type="dxa" w:w="4200"/>
            <w:tcMar>
              <w:top w:type="dxa" w:w="60"/>
              <w:left w:type="dxa" w:w="100"/>
              <w:bottom w:type="dxa" w:w="60"/>
              <w:right w:type="dxa" w:w="100"/>
            </w:tcMar>
          </w:tcPr>
          <w:p>
            <w:r>
              <w:rPr>
                <w:b w:val="false"/>
                <w:bCs w:val="false"/>
                <w:sz w:val="20"/>
                <w:szCs w:val="20"/>
              </w:rPr>
              <w:t xml:space="preserve">Eq (24)-(26)</w:t>
            </w:r>
          </w:p>
        </w:tc>
      </w:tr>
      <w:tr>
        <w:tc>
          <w:tcPr>
            <w:tcW w:type="dxa" w:w="2100"/>
            <w:tcMar>
              <w:top w:type="dxa" w:w="60"/>
              <w:left w:type="dxa" w:w="100"/>
              <w:bottom w:type="dxa" w:w="60"/>
              <w:right w:type="dxa" w:w="100"/>
            </w:tcMar>
          </w:tcPr>
          <w:p>
            <w:r>
              <w:rPr>
                <w:b w:val="false"/>
                <w:bCs w:val="false"/>
                <w:sz w:val="20"/>
                <w:szCs w:val="20"/>
              </w:rPr>
              <w:t xml:space="preserve">6.4.3</w:t>
            </w:r>
          </w:p>
        </w:tc>
        <w:tc>
          <w:tcPr>
            <w:tcW w:type="dxa" w:w="3300"/>
            <w:tcMar>
              <w:top w:type="dxa" w:w="60"/>
              <w:left w:type="dxa" w:w="100"/>
              <w:bottom w:type="dxa" w:w="60"/>
              <w:right w:type="dxa" w:w="100"/>
            </w:tcMar>
          </w:tcPr>
          <w:p>
            <w:r>
              <w:rPr>
                <w:b w:val="false"/>
                <w:bCs w:val="false"/>
                <w:sz w:val="20"/>
                <w:szCs w:val="20"/>
              </w:rPr>
              <w:t xml:space="preserve">Contact ratio factor, Y_epsilon</w:t>
            </w:r>
          </w:p>
        </w:tc>
        <w:tc>
          <w:tcPr>
            <w:tcW w:type="dxa" w:w="4200"/>
            <w:tcMar>
              <w:top w:type="dxa" w:w="60"/>
              <w:left w:type="dxa" w:w="100"/>
              <w:bottom w:type="dxa" w:w="60"/>
              <w:right w:type="dxa" w:w="100"/>
            </w:tcMar>
          </w:tcPr>
          <w:p>
            <w:r>
              <w:rPr>
                <w:b w:val="false"/>
                <w:bCs w:val="false"/>
                <w:sz w:val="20"/>
                <w:szCs w:val="20"/>
              </w:rPr>
              <w:t xml:space="preserve">Eq (27)-(29), incl. the &gt;= 0.625 floor on Formula (27) (Section 3.9)</w:t>
            </w:r>
          </w:p>
        </w:tc>
      </w:tr>
      <w:tr>
        <w:tc>
          <w:tcPr>
            <w:tcW w:type="dxa" w:w="2100"/>
            <w:tcMar>
              <w:top w:type="dxa" w:w="60"/>
              <w:left w:type="dxa" w:w="100"/>
              <w:bottom w:type="dxa" w:w="60"/>
              <w:right w:type="dxa" w:w="100"/>
            </w:tcMar>
          </w:tcPr>
          <w:p>
            <w:r>
              <w:rPr>
                <w:b w:val="false"/>
                <w:bCs w:val="false"/>
                <w:sz w:val="20"/>
                <w:szCs w:val="20"/>
              </w:rPr>
              <w:t xml:space="preserve">6.4.4</w:t>
            </w:r>
          </w:p>
        </w:tc>
        <w:tc>
          <w:tcPr>
            <w:tcW w:type="dxa" w:w="3300"/>
            <w:tcMar>
              <w:top w:type="dxa" w:w="60"/>
              <w:left w:type="dxa" w:w="100"/>
              <w:bottom w:type="dxa" w:w="60"/>
              <w:right w:type="dxa" w:w="100"/>
            </w:tcMar>
          </w:tcPr>
          <w:p>
            <w:r>
              <w:rPr>
                <w:b w:val="false"/>
                <w:bCs w:val="false"/>
                <w:sz w:val="20"/>
                <w:szCs w:val="20"/>
              </w:rPr>
              <w:t xml:space="preserve">Bevel spiral angle factor, YBS</w:t>
            </w:r>
          </w:p>
        </w:tc>
        <w:tc>
          <w:tcPr>
            <w:tcW w:type="dxa" w:w="4200"/>
            <w:tcMar>
              <w:top w:type="dxa" w:w="60"/>
              <w:left w:type="dxa" w:w="100"/>
              <w:bottom w:type="dxa" w:w="60"/>
              <w:right w:type="dxa" w:w="100"/>
            </w:tcMar>
          </w:tcPr>
          <w:p>
            <w:r>
              <w:rPr>
                <w:b w:val="false"/>
                <w:bCs w:val="false"/>
                <w:sz w:val="20"/>
                <w:szCs w:val="20"/>
              </w:rPr>
              <w:t xml:space="preserve">Eq (30)-(35); = 1.0 for straight/Zerol bevel (not validated by the standard there)</w:t>
            </w:r>
          </w:p>
        </w:tc>
      </w:tr>
      <w:tr>
        <w:tc>
          <w:tcPr>
            <w:tcW w:type="dxa" w:w="2100"/>
            <w:tcMar>
              <w:top w:type="dxa" w:w="60"/>
              <w:left w:type="dxa" w:w="100"/>
              <w:bottom w:type="dxa" w:w="60"/>
              <w:right w:type="dxa" w:w="100"/>
            </w:tcMar>
          </w:tcPr>
          <w:p>
            <w:r>
              <w:rPr>
                <w:b w:val="false"/>
                <w:bCs w:val="false"/>
                <w:sz w:val="20"/>
                <w:szCs w:val="20"/>
              </w:rPr>
              <w:t xml:space="preserve">6.4.5</w:t>
            </w:r>
          </w:p>
        </w:tc>
        <w:tc>
          <w:tcPr>
            <w:tcW w:type="dxa" w:w="3300"/>
            <w:tcMar>
              <w:top w:type="dxa" w:w="60"/>
              <w:left w:type="dxa" w:w="100"/>
              <w:bottom w:type="dxa" w:w="60"/>
              <w:right w:type="dxa" w:w="100"/>
            </w:tcMar>
          </w:tcPr>
          <w:p>
            <w:r>
              <w:rPr>
                <w:b w:val="false"/>
                <w:bCs w:val="false"/>
                <w:sz w:val="20"/>
                <w:szCs w:val="20"/>
              </w:rPr>
              <w:t xml:space="preserve">Load sharing factor, YLS</w:t>
            </w:r>
          </w:p>
        </w:tc>
        <w:tc>
          <w:tcPr>
            <w:tcW w:type="dxa" w:w="4200"/>
            <w:tcMar>
              <w:top w:type="dxa" w:w="60"/>
              <w:left w:type="dxa" w:w="100"/>
              <w:bottom w:type="dxa" w:w="60"/>
              <w:right w:type="dxa" w:w="100"/>
            </w:tcMar>
          </w:tcPr>
          <w:p>
            <w:r>
              <w:rPr>
                <w:b w:val="false"/>
                <w:bCs w:val="false"/>
                <w:sz w:val="20"/>
                <w:szCs w:val="20"/>
              </w:rPr>
              <w:t xml:space="preserve">= ZLS^2 (Eq 36) — reuses Part 2's ZLS directly</w:t>
            </w:r>
          </w:p>
        </w:tc>
      </w:tr>
      <w:tr>
        <w:tc>
          <w:tcPr>
            <w:tcW w:type="dxa" w:w="2100"/>
            <w:tcMar>
              <w:top w:type="dxa" w:w="60"/>
              <w:left w:type="dxa" w:w="100"/>
              <w:bottom w:type="dxa" w:w="60"/>
              <w:right w:type="dxa" w:w="100"/>
            </w:tcMar>
          </w:tcPr>
          <w:p>
            <w:r>
              <w:rPr>
                <w:b w:val="false"/>
                <w:bCs w:val="false"/>
                <w:sz w:val="20"/>
                <w:szCs w:val="20"/>
              </w:rPr>
              <w:t xml:space="preserve">6.5.1</w:t>
            </w:r>
          </w:p>
        </w:tc>
        <w:tc>
          <w:tcPr>
            <w:tcW w:type="dxa" w:w="3300"/>
            <w:tcMar>
              <w:top w:type="dxa" w:w="60"/>
              <w:left w:type="dxa" w:w="100"/>
              <w:bottom w:type="dxa" w:w="60"/>
              <w:right w:type="dxa" w:w="100"/>
            </w:tcMar>
          </w:tcPr>
          <w:p>
            <w:r>
              <w:rPr>
                <w:b w:val="false"/>
                <w:bCs w:val="false"/>
                <w:sz w:val="20"/>
                <w:szCs w:val="20"/>
              </w:rPr>
              <w:t xml:space="preserve">Relative surface condition factor, YR,relT</w:t>
            </w:r>
          </w:p>
        </w:tc>
        <w:tc>
          <w:tcPr>
            <w:tcW w:type="dxa" w:w="4200"/>
            <w:tcMar>
              <w:top w:type="dxa" w:w="60"/>
              <w:left w:type="dxa" w:w="100"/>
              <w:bottom w:type="dxa" w:w="60"/>
              <w:right w:type="dxa" w:w="100"/>
            </w:tcMar>
          </w:tcPr>
          <w:p>
            <w:r>
              <w:rPr>
                <w:b w:val="false"/>
                <w:bCs w:val="false"/>
                <w:sz w:val="20"/>
                <w:szCs w:val="20"/>
              </w:rPr>
              <w:t xml:space="preserve">Eq (37)-(42), 1-40 um range</w:t>
            </w:r>
          </w:p>
        </w:tc>
      </w:tr>
      <w:tr>
        <w:tc>
          <w:tcPr>
            <w:tcW w:type="dxa" w:w="2100"/>
            <w:tcMar>
              <w:top w:type="dxa" w:w="60"/>
              <w:left w:type="dxa" w:w="100"/>
              <w:bottom w:type="dxa" w:w="60"/>
              <w:right w:type="dxa" w:w="100"/>
            </w:tcMar>
          </w:tcPr>
          <w:p>
            <w:r>
              <w:rPr>
                <w:b w:val="false"/>
                <w:bCs w:val="false"/>
                <w:sz w:val="20"/>
                <w:szCs w:val="20"/>
              </w:rPr>
              <w:t xml:space="preserve">6.5.2.2</w:t>
            </w:r>
          </w:p>
        </w:tc>
        <w:tc>
          <w:tcPr>
            <w:tcW w:type="dxa" w:w="3300"/>
            <w:tcMar>
              <w:top w:type="dxa" w:w="60"/>
              <w:left w:type="dxa" w:w="100"/>
              <w:bottom w:type="dxa" w:w="60"/>
              <w:right w:type="dxa" w:w="100"/>
            </w:tcMar>
          </w:tcPr>
          <w:p>
            <w:r>
              <w:rPr>
                <w:b w:val="false"/>
                <w:bCs w:val="false"/>
                <w:sz w:val="20"/>
                <w:szCs w:val="20"/>
              </w:rPr>
              <w:t xml:space="preserve">Relative notch sensitivity factor, Ydelta,relT</w:t>
            </w:r>
          </w:p>
        </w:tc>
        <w:tc>
          <w:tcPr>
            <w:tcW w:type="dxa" w:w="4200"/>
            <w:tcMar>
              <w:top w:type="dxa" w:w="60"/>
              <w:left w:type="dxa" w:w="100"/>
              <w:bottom w:type="dxa" w:w="60"/>
              <w:right w:type="dxa" w:w="100"/>
            </w:tcMar>
          </w:tcPr>
          <w:p>
            <w:r>
              <w:rPr>
                <w:b w:val="false"/>
                <w:bCs w:val="false"/>
                <w:sz w:val="20"/>
                <w:szCs w:val="20"/>
              </w:rPr>
              <w:t xml:space="preserve">Eq (43)-(45), reference-life branch only (static branch not implemented)</w:t>
            </w:r>
          </w:p>
        </w:tc>
      </w:tr>
      <w:tr>
        <w:tc>
          <w:tcPr>
            <w:tcW w:type="dxa" w:w="2100"/>
            <w:tcMar>
              <w:top w:type="dxa" w:w="60"/>
              <w:left w:type="dxa" w:w="100"/>
              <w:bottom w:type="dxa" w:w="60"/>
              <w:right w:type="dxa" w:w="100"/>
            </w:tcMar>
          </w:tcPr>
          <w:p>
            <w:r>
              <w:rPr>
                <w:b w:val="false"/>
                <w:bCs w:val="false"/>
                <w:sz w:val="20"/>
                <w:szCs w:val="20"/>
              </w:rPr>
              <w:t xml:space="preserve">8.1 / 8.2</w:t>
            </w:r>
          </w:p>
        </w:tc>
        <w:tc>
          <w:tcPr>
            <w:tcW w:type="dxa" w:w="3300"/>
            <w:tcMar>
              <w:top w:type="dxa" w:w="60"/>
              <w:left w:type="dxa" w:w="100"/>
              <w:bottom w:type="dxa" w:w="60"/>
              <w:right w:type="dxa" w:w="100"/>
            </w:tcMar>
          </w:tcPr>
          <w:p>
            <w:r>
              <w:rPr>
                <w:b w:val="false"/>
                <w:bCs w:val="false"/>
                <w:sz w:val="20"/>
                <w:szCs w:val="20"/>
              </w:rPr>
              <w:t xml:space="preserve">Size factor YX, life factor YNT</w:t>
            </w:r>
          </w:p>
        </w:tc>
        <w:tc>
          <w:tcPr>
            <w:tcW w:type="dxa" w:w="4200"/>
            <w:tcMar>
              <w:top w:type="dxa" w:w="60"/>
              <w:left w:type="dxa" w:w="100"/>
              <w:bottom w:type="dxa" w:w="60"/>
              <w:right w:type="dxa" w:w="100"/>
            </w:tcMar>
          </w:tcPr>
          <w:p>
            <w:r>
              <w:rPr>
                <w:b w:val="false"/>
                <w:bCs w:val="false"/>
                <w:sz w:val="20"/>
                <w:szCs w:val="20"/>
              </w:rPr>
              <w:t xml:space="preserve">Eq (208)-(210); Table 5, log-log interpolated</w:t>
            </w:r>
          </w:p>
        </w:tc>
      </w:tr>
    </w:tbl>
    <w:p>
      <w:pPr>
        <w:pStyle w:val="Heading1"/>
        <w:spacing w:after="150" w:before="300"/>
      </w:pPr>
      <w:r>
        <w:t xml:space="preserve">5. Virtual cylindrical gear geometry engine</w:t>
      </w:r>
    </w:p>
    <w:p>
      <w:pPr>
        <w:spacing w:after="160"/>
      </w:pPr>
      <w:r>
        <w:t xml:space="preserve">ISO 10300-1 Annex A ("Calculation of virtual cylindrical gears - Method B1") is the ISO analogue of AGMA's own Annex C(M): it converts the actual bevel or hypoid gear tooth geometry into an equivalent cylindrical gear pair from which every Z- and Y-factor is then computed. This calculator implements the general form throughout: reference diameters via dv = dm/cos(delta) (Eq A.1, rather than the a=0-only shortcut of Eq A.3/A.4) and virtual tooth counts via zv = dv/mvt (rather than Eq A.14/A.15's a=0-only shortcut); tip/root/base diameters and helix angle of the virtual gears (A.2.2-A.2.3); facewidth including the offset-angle terms (A.2.4, Eq A.19-A.22, auxiliary angles theta_mp and gamma'); transverse and face contact ratios (A.2.6); the length of the tip/middle/root contact lines via the elliptical correction factor Clb and the general auxiliary angle gamma (A.2.7, see Sections 3.1/3.4/3.6/3.8 for the corrections applied and the remaining unresolved gaps); the radius of relative curvature at the mean point including the offset-angle term (A.2.8, Eq A.39); and the virtual gear data in normal section (A.3), which feeds directly into Part 3's tooth-form-factor derivation. For a = 0, every general formula above algebraically reduces to the non-offset special case (confirmed numerically: Sample 1's results are unchanged from before the hypoid generalization was added).</w:t>
      </w:r>
    </w:p>
    <w:p>
      <w:pPr>
        <w:spacing w:after="160"/>
      </w:pPr>
      <w:r>
        <w:t xml:space="preserve">Table A.2's tip/middle/root contact-line position formulae (10300-1, A.2.7) are implemented for both defined ranges: eps_vbeta &gt;= 1 (validated against Samples 1, 2 and 4) and eps_vbeta &lt; 1 (validated against Sample 3, the only one of the four worked examples where this branch applies). The two forms are continuous at eps_vbeta = 1 by construction - confirmed algebraically, not just numerically - so there is no discontinuity at the boundary between them.</w:t>
      </w:r>
    </w:p>
    <w:p>
      <w:pPr>
        <w:spacing w:after="160"/>
      </w:pPr>
      <w:r>
        <w:t xml:space="preserve">This geometry engine is shared, unmodified, between the Part 2 pitting calculation and the Part 3 bending calculation, exactly as the standard structures it (see ISO 10300-1, Figure 1).</w:t>
      </w:r>
    </w:p>
    <w:p>
      <w:pPr>
        <w:pStyle w:val="Heading1"/>
        <w:spacing w:after="150" w:before="300"/>
      </w:pPr>
      <w:r>
        <w:t xml:space="preserve">6. Validation: ISO/TR 10300-30:2024</w:t>
      </w:r>
    </w:p>
    <w:p>
      <w:pPr>
        <w:pStyle w:val="Heading2"/>
        <w:spacing w:after="120" w:before="240"/>
      </w:pPr>
      <w:r>
        <w:t xml:space="preserve">6.1 Sample 1 (spiral bevel, no offset)</w:t>
      </w:r>
    </w:p>
    <w:p>
      <w:pPr>
        <w:spacing w:after="160"/>
      </w:pPr>
      <w:r>
        <w:t xml:space="preserve">ISO/TR 10300-30:2024, Annex A, "Sample 1", is a complete worked example for a spiral bevel gear pair without hypoid offset (z1 = 14, z2 = 39), carried through Method B1 for both pitting and bending, with every intermediate value published in its own tables (A.5-A.9). Unlike AGMA2003D19Calc's self-test — which had to supply the geometry factors I and J manually because AGMA's own Annex E worked example bypasses Annex C(M) via a chart lookup — every input to this self-test is taken directly from the technical report's own tables, and every checked value is one of its own published intermediate or final results. The self-test therefore exercises the complete pipeline end to end: virtual cylindrical gear geometry, Method B dynamic and transverse load factors, and the full Method B1 pitting and bending formula chains, with no manual overrides.</w:t>
      </w:r>
    </w:p>
    <w:p>
      <w:pPr>
        <w:spacing w:after="160"/>
      </w:pPr>
      <w:r>
        <w:rPr>
          <w:rFonts w:ascii="Consolas" w:cs="Consolas" w:eastAsia="Consolas" w:hAnsi="Consolas"/>
        </w:rPr>
        <w:t xml:space="preserve">Run with: dotnet run --project ISO10300Calc -- --selftest</w:t>
      </w:r>
    </w:p>
    <w:p>
      <w:pPr>
        <w:pStyle w:val="Heading3"/>
        <w:spacing w:after="100" w:before="200"/>
      </w:pPr>
      <w:r>
        <w:t xml:space="preserve">6.1.1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4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Published (Sample 1)</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1400"/>
            <w:shd w:fill="D9E2F3" w:val="clear"/>
            <w:tcMar>
              <w:top w:type="dxa" w:w="60"/>
              <w:left w:type="dxa" w:w="100"/>
              <w:bottom w:type="dxa" w:w="60"/>
              <w:right w:type="dxa" w:w="100"/>
            </w:tcMar>
          </w:tcPr>
          <w:p>
            <w:r>
              <w:rPr>
                <w:b/>
                <w:bCs/>
                <w:sz w:val="20"/>
                <w:szCs w:val="20"/>
              </w:rPr>
              <w:t xml:space="preserve">Diff.</w:t>
            </w:r>
          </w:p>
        </w:tc>
      </w:tr>
      <w:tr>
        <w:tc>
          <w:tcPr>
            <w:tcW w:type="dxa" w:w="3400"/>
            <w:tcMar>
              <w:top w:type="dxa" w:w="60"/>
              <w:left w:type="dxa" w:w="100"/>
              <w:bottom w:type="dxa" w:w="60"/>
              <w:right w:type="dxa" w:w="100"/>
            </w:tcMar>
          </w:tcPr>
          <w:p>
            <w:r>
              <w:rPr>
                <w:b w:val="false"/>
                <w:bCs w:val="false"/>
                <w:sz w:val="20"/>
                <w:szCs w:val="20"/>
              </w:rPr>
              <w:t xml:space="preserve">dv1, dv2 (mm)</w:t>
            </w:r>
          </w:p>
        </w:tc>
        <w:tc>
          <w:tcPr>
            <w:tcW w:type="dxa" w:w="2200"/>
            <w:tcMar>
              <w:top w:type="dxa" w:w="60"/>
              <w:left w:type="dxa" w:w="100"/>
              <w:bottom w:type="dxa" w:w="60"/>
              <w:right w:type="dxa" w:w="100"/>
            </w:tcMar>
          </w:tcPr>
          <w:p>
            <w:r>
              <w:rPr>
                <w:b w:val="false"/>
                <w:bCs w:val="false"/>
                <w:sz w:val="20"/>
                <w:szCs w:val="20"/>
              </w:rPr>
              <w:t xml:space="preserve">58.350 / 452.804</w:t>
            </w:r>
          </w:p>
        </w:tc>
        <w:tc>
          <w:tcPr>
            <w:tcW w:type="dxa" w:w="2200"/>
            <w:tcMar>
              <w:top w:type="dxa" w:w="60"/>
              <w:left w:type="dxa" w:w="100"/>
              <w:bottom w:type="dxa" w:w="60"/>
              <w:right w:type="dxa" w:w="100"/>
            </w:tcMar>
          </w:tcPr>
          <w:p>
            <w:r>
              <w:rPr>
                <w:b w:val="false"/>
                <w:bCs w:val="false"/>
                <w:sz w:val="20"/>
                <w:szCs w:val="20"/>
              </w:rPr>
              <w:t xml:space="preserve">58.349 / 452.802</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eps_valpha / eps_vbeta / eps_vgamma</w:t>
            </w:r>
          </w:p>
        </w:tc>
        <w:tc>
          <w:tcPr>
            <w:tcW w:type="dxa" w:w="2200"/>
            <w:tcMar>
              <w:top w:type="dxa" w:w="60"/>
              <w:left w:type="dxa" w:w="100"/>
              <w:bottom w:type="dxa" w:w="60"/>
              <w:right w:type="dxa" w:w="100"/>
            </w:tcMar>
          </w:tcPr>
          <w:p>
            <w:r>
              <w:rPr>
                <w:b w:val="false"/>
                <w:bCs w:val="false"/>
                <w:sz w:val="20"/>
                <w:szCs w:val="20"/>
              </w:rPr>
              <w:t xml:space="preserve">1.165 / 1.227 / 2.392</w:t>
            </w:r>
          </w:p>
        </w:tc>
        <w:tc>
          <w:tcPr>
            <w:tcW w:type="dxa" w:w="2200"/>
            <w:tcMar>
              <w:top w:type="dxa" w:w="60"/>
              <w:left w:type="dxa" w:w="100"/>
              <w:bottom w:type="dxa" w:w="60"/>
              <w:right w:type="dxa" w:w="100"/>
            </w:tcMar>
          </w:tcPr>
          <w:p>
            <w:r>
              <w:rPr>
                <w:b w:val="false"/>
                <w:bCs w:val="false"/>
                <w:sz w:val="20"/>
                <w:szCs w:val="20"/>
              </w:rPr>
              <w:t xml:space="preserve">1.165 / 1.227 / 2.392</w:t>
            </w:r>
          </w:p>
        </w:tc>
        <w:tc>
          <w:tcPr>
            <w:tcW w:type="dxa" w:w="1400"/>
            <w:tcMar>
              <w:top w:type="dxa" w:w="60"/>
              <w:left w:type="dxa" w:w="100"/>
              <w:bottom w:type="dxa" w:w="60"/>
              <w:right w:type="dxa" w:w="100"/>
            </w:tcMar>
          </w:tcPr>
          <w:p>
            <w:r>
              <w:rPr>
                <w:b w:val="false"/>
                <w:bCs w:val="false"/>
                <w:sz w:val="20"/>
                <w:szCs w:val="20"/>
              </w:rPr>
              <w:t xml:space="preserve">&lt;0.02%</w:t>
            </w:r>
          </w:p>
        </w:tc>
      </w:tr>
      <w:tr>
        <w:tc>
          <w:tcPr>
            <w:tcW w:type="dxa" w:w="3400"/>
            <w:tcMar>
              <w:top w:type="dxa" w:w="60"/>
              <w:left w:type="dxa" w:w="100"/>
              <w:bottom w:type="dxa" w:w="60"/>
              <w:right w:type="dxa" w:w="100"/>
            </w:tcMar>
          </w:tcPr>
          <w:p>
            <w:r>
              <w:rPr>
                <w:b w:val="false"/>
                <w:bCs w:val="false"/>
                <w:sz w:val="20"/>
                <w:szCs w:val="20"/>
              </w:rPr>
              <w:t xml:space="preserve">rho_rel (mm)</w:t>
            </w:r>
          </w:p>
        </w:tc>
        <w:tc>
          <w:tcPr>
            <w:tcW w:type="dxa" w:w="2200"/>
            <w:tcMar>
              <w:top w:type="dxa" w:w="60"/>
              <w:left w:type="dxa" w:w="100"/>
              <w:bottom w:type="dxa" w:w="60"/>
              <w:right w:type="dxa" w:w="100"/>
            </w:tcMar>
          </w:tcPr>
          <w:p>
            <w:r>
              <w:rPr>
                <w:b w:val="false"/>
                <w:bCs w:val="false"/>
                <w:sz w:val="20"/>
                <w:szCs w:val="20"/>
              </w:rPr>
              <w:t xml:space="preserve">12.459</w:t>
            </w:r>
          </w:p>
        </w:tc>
        <w:tc>
          <w:tcPr>
            <w:tcW w:type="dxa" w:w="2200"/>
            <w:tcMar>
              <w:top w:type="dxa" w:w="60"/>
              <w:left w:type="dxa" w:w="100"/>
              <w:bottom w:type="dxa" w:w="60"/>
              <w:right w:type="dxa" w:w="100"/>
            </w:tcMar>
          </w:tcPr>
          <w:p>
            <w:r>
              <w:rPr>
                <w:b w:val="false"/>
                <w:bCs w:val="false"/>
                <w:sz w:val="20"/>
                <w:szCs w:val="20"/>
              </w:rPr>
              <w:t xml:space="preserve">12.459</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lbm (mm)</w:t>
            </w:r>
          </w:p>
        </w:tc>
        <w:tc>
          <w:tcPr>
            <w:tcW w:type="dxa" w:w="2200"/>
            <w:tcMar>
              <w:top w:type="dxa" w:w="60"/>
              <w:left w:type="dxa" w:w="100"/>
              <w:bottom w:type="dxa" w:w="60"/>
              <w:right w:type="dxa" w:w="100"/>
            </w:tcMar>
          </w:tcPr>
          <w:p>
            <w:r>
              <w:rPr>
                <w:b w:val="false"/>
                <w:bCs w:val="false"/>
                <w:sz w:val="20"/>
                <w:szCs w:val="20"/>
              </w:rPr>
              <w:t xml:space="preserve">22.442</w:t>
            </w:r>
          </w:p>
        </w:tc>
        <w:tc>
          <w:tcPr>
            <w:tcW w:type="dxa" w:w="2200"/>
            <w:tcMar>
              <w:top w:type="dxa" w:w="60"/>
              <w:left w:type="dxa" w:w="100"/>
              <w:bottom w:type="dxa" w:w="60"/>
              <w:right w:type="dxa" w:w="100"/>
            </w:tcMar>
          </w:tcPr>
          <w:p>
            <w:r>
              <w:rPr>
                <w:b w:val="false"/>
                <w:bCs w:val="false"/>
                <w:sz w:val="20"/>
                <w:szCs w:val="20"/>
              </w:rPr>
              <w:t xml:space="preserve">22.443</w:t>
            </w:r>
          </w:p>
        </w:tc>
        <w:tc>
          <w:tcPr>
            <w:tcW w:type="dxa" w:w="1400"/>
            <w:tcMar>
              <w:top w:type="dxa" w:w="60"/>
              <w:left w:type="dxa" w:w="100"/>
              <w:bottom w:type="dxa" w:w="60"/>
              <w:right w:type="dxa" w:w="100"/>
            </w:tcMar>
          </w:tcPr>
          <w:p>
            <w:r>
              <w:rPr>
                <w:b w:val="false"/>
                <w:bCs w:val="false"/>
                <w:sz w:val="20"/>
                <w:szCs w:val="20"/>
              </w:rPr>
              <w:t xml:space="preserve">0.01%</w:t>
            </w:r>
          </w:p>
        </w:tc>
      </w:tr>
      <w:tr>
        <w:tc>
          <w:tcPr>
            <w:tcW w:type="dxa" w:w="3400"/>
            <w:tcMar>
              <w:top w:type="dxa" w:w="60"/>
              <w:left w:type="dxa" w:w="100"/>
              <w:bottom w:type="dxa" w:w="60"/>
              <w:right w:type="dxa" w:w="100"/>
            </w:tcMar>
          </w:tcPr>
          <w:p>
            <w:r>
              <w:rPr>
                <w:b w:val="false"/>
                <w:bCs w:val="false"/>
                <w:sz w:val="20"/>
                <w:szCs w:val="20"/>
              </w:rPr>
              <w:t xml:space="preserve">Kv (Method B)</w:t>
            </w:r>
          </w:p>
        </w:tc>
        <w:tc>
          <w:tcPr>
            <w:tcW w:type="dxa" w:w="2200"/>
            <w:tcMar>
              <w:top w:type="dxa" w:w="60"/>
              <w:left w:type="dxa" w:w="100"/>
              <w:bottom w:type="dxa" w:w="60"/>
              <w:right w:type="dxa" w:w="100"/>
            </w:tcMar>
          </w:tcPr>
          <w:p>
            <w:r>
              <w:rPr>
                <w:b w:val="false"/>
                <w:bCs w:val="false"/>
                <w:sz w:val="20"/>
                <w:szCs w:val="20"/>
              </w:rPr>
              <w:t xml:space="preserve">1.020</w:t>
            </w:r>
          </w:p>
        </w:tc>
        <w:tc>
          <w:tcPr>
            <w:tcW w:type="dxa" w:w="2200"/>
            <w:tcMar>
              <w:top w:type="dxa" w:w="60"/>
              <w:left w:type="dxa" w:w="100"/>
              <w:bottom w:type="dxa" w:w="60"/>
              <w:right w:type="dxa" w:w="100"/>
            </w:tcMar>
          </w:tcPr>
          <w:p>
            <w:r>
              <w:rPr>
                <w:b w:val="false"/>
                <w:bCs w:val="false"/>
                <w:sz w:val="20"/>
                <w:szCs w:val="20"/>
              </w:rPr>
              <w:t xml:space="preserve">1.017</w:t>
            </w:r>
          </w:p>
        </w:tc>
        <w:tc>
          <w:tcPr>
            <w:tcW w:type="dxa" w:w="1400"/>
            <w:tcMar>
              <w:top w:type="dxa" w:w="60"/>
              <w:left w:type="dxa" w:w="100"/>
              <w:bottom w:type="dxa" w:w="60"/>
              <w:right w:type="dxa" w:w="100"/>
            </w:tcMar>
          </w:tcPr>
          <w:p>
            <w:r>
              <w:rPr>
                <w:b w:val="false"/>
                <w:bCs w:val="false"/>
                <w:sz w:val="20"/>
                <w:szCs w:val="20"/>
              </w:rPr>
              <w:t xml:space="preserve">0.27%</w:t>
            </w:r>
          </w:p>
        </w:tc>
      </w:tr>
      <w:tr>
        <w:tc>
          <w:tcPr>
            <w:tcW w:type="dxa" w:w="3400"/>
            <w:tcMar>
              <w:top w:type="dxa" w:w="60"/>
              <w:left w:type="dxa" w:w="100"/>
              <w:bottom w:type="dxa" w:w="60"/>
              <w:right w:type="dxa" w:w="100"/>
            </w:tcMar>
          </w:tcPr>
          <w:p>
            <w:r>
              <w:rPr>
                <w:b w:val="false"/>
                <w:bCs w:val="false"/>
                <w:sz w:val="20"/>
                <w:szCs w:val="20"/>
              </w:rPr>
              <w:t xml:space="preserve">KHbeta-C</w:t>
            </w:r>
          </w:p>
        </w:tc>
        <w:tc>
          <w:tcPr>
            <w:tcW w:type="dxa" w:w="2200"/>
            <w:tcMar>
              <w:top w:type="dxa" w:w="60"/>
              <w:left w:type="dxa" w:w="100"/>
              <w:bottom w:type="dxa" w:w="60"/>
              <w:right w:type="dxa" w:w="100"/>
            </w:tcMar>
          </w:tcPr>
          <w:p>
            <w:r>
              <w:rPr>
                <w:b w:val="false"/>
                <w:bCs w:val="false"/>
                <w:sz w:val="20"/>
                <w:szCs w:val="20"/>
              </w:rPr>
              <w:t xml:space="preserve">1.650</w:t>
            </w:r>
          </w:p>
        </w:tc>
        <w:tc>
          <w:tcPr>
            <w:tcW w:type="dxa" w:w="2200"/>
            <w:tcMar>
              <w:top w:type="dxa" w:w="60"/>
              <w:left w:type="dxa" w:w="100"/>
              <w:bottom w:type="dxa" w:w="60"/>
              <w:right w:type="dxa" w:w="100"/>
            </w:tcMar>
          </w:tcPr>
          <w:p>
            <w:r>
              <w:rPr>
                <w:b w:val="false"/>
                <w:bCs w:val="false"/>
                <w:sz w:val="20"/>
                <w:szCs w:val="20"/>
              </w:rPr>
              <w:t xml:space="preserve">1.650</w:t>
            </w:r>
          </w:p>
        </w:tc>
        <w:tc>
          <w:tcPr>
            <w:tcW w:type="dxa" w:w="1400"/>
            <w:tcMar>
              <w:top w:type="dxa" w:w="60"/>
              <w:left w:type="dxa" w:w="100"/>
              <w:bottom w:type="dxa" w:w="60"/>
              <w:right w:type="dxa" w:w="100"/>
            </w:tcMar>
          </w:tcPr>
          <w:p>
            <w:r>
              <w:rPr>
                <w:b w:val="false"/>
                <w:bCs w:val="false"/>
                <w:sz w:val="20"/>
                <w:szCs w:val="20"/>
              </w:rPr>
              <w:t xml:space="preserve">0.00%</w:t>
            </w:r>
          </w:p>
        </w:tc>
      </w:tr>
      <w:tr>
        <w:tc>
          <w:tcPr>
            <w:tcW w:type="dxa" w:w="3400"/>
            <w:tcMar>
              <w:top w:type="dxa" w:w="60"/>
              <w:left w:type="dxa" w:w="100"/>
              <w:bottom w:type="dxa" w:w="60"/>
              <w:right w:type="dxa" w:w="100"/>
            </w:tcMar>
          </w:tcPr>
          <w:p>
            <w:r>
              <w:rPr>
                <w:b w:val="false"/>
                <w:bCs w:val="false"/>
                <w:sz w:val="20"/>
                <w:szCs w:val="20"/>
              </w:rPr>
              <w:t xml:space="preserve">KHalpha (Method B)</w:t>
            </w:r>
          </w:p>
        </w:tc>
        <w:tc>
          <w:tcPr>
            <w:tcW w:type="dxa" w:w="2200"/>
            <w:tcMar>
              <w:top w:type="dxa" w:w="60"/>
              <w:left w:type="dxa" w:w="100"/>
              <w:bottom w:type="dxa" w:w="60"/>
              <w:right w:type="dxa" w:w="100"/>
            </w:tcMar>
          </w:tcPr>
          <w:p>
            <w:r>
              <w:rPr>
                <w:b w:val="false"/>
                <w:bCs w:val="false"/>
                <w:sz w:val="20"/>
                <w:szCs w:val="20"/>
              </w:rPr>
              <w:t xml:space="preserve">1.161</w:t>
            </w:r>
          </w:p>
        </w:tc>
        <w:tc>
          <w:tcPr>
            <w:tcW w:type="dxa" w:w="2200"/>
            <w:tcMar>
              <w:top w:type="dxa" w:w="60"/>
              <w:left w:type="dxa" w:w="100"/>
              <w:bottom w:type="dxa" w:w="60"/>
              <w:right w:type="dxa" w:w="100"/>
            </w:tcMar>
          </w:tcPr>
          <w:p>
            <w:r>
              <w:rPr>
                <w:b w:val="false"/>
                <w:bCs w:val="false"/>
                <w:sz w:val="20"/>
                <w:szCs w:val="20"/>
              </w:rPr>
              <w:t xml:space="preserve">1.161</w:t>
            </w:r>
          </w:p>
        </w:tc>
        <w:tc>
          <w:tcPr>
            <w:tcW w:type="dxa" w:w="1400"/>
            <w:tcMar>
              <w:top w:type="dxa" w:w="60"/>
              <w:left w:type="dxa" w:w="100"/>
              <w:bottom w:type="dxa" w:w="60"/>
              <w:right w:type="dxa" w:w="100"/>
            </w:tcMar>
          </w:tcPr>
          <w:p>
            <w:r>
              <w:rPr>
                <w:b w:val="false"/>
                <w:bCs w:val="false"/>
                <w:sz w:val="20"/>
                <w:szCs w:val="20"/>
              </w:rPr>
              <w:t xml:space="preserve">0.03%</w:t>
            </w:r>
          </w:p>
        </w:tc>
      </w:tr>
      <w:tr>
        <w:tc>
          <w:tcPr>
            <w:tcW w:type="dxa" w:w="3400"/>
            <w:tcMar>
              <w:top w:type="dxa" w:w="60"/>
              <w:left w:type="dxa" w:w="100"/>
              <w:bottom w:type="dxa" w:w="60"/>
              <w:right w:type="dxa" w:w="100"/>
            </w:tcMar>
          </w:tcPr>
          <w:p>
            <w:r>
              <w:rPr>
                <w:b w:val="false"/>
                <w:bCs w:val="false"/>
                <w:sz w:val="20"/>
                <w:szCs w:val="20"/>
              </w:rPr>
              <w:t xml:space="preserve">ZM-B / ZLS / ZE</w:t>
            </w:r>
          </w:p>
        </w:tc>
        <w:tc>
          <w:tcPr>
            <w:tcW w:type="dxa" w:w="2200"/>
            <w:tcMar>
              <w:top w:type="dxa" w:w="60"/>
              <w:left w:type="dxa" w:w="100"/>
              <w:bottom w:type="dxa" w:w="60"/>
              <w:right w:type="dxa" w:w="100"/>
            </w:tcMar>
          </w:tcPr>
          <w:p>
            <w:r>
              <w:rPr>
                <w:b w:val="false"/>
                <w:bCs w:val="false"/>
                <w:sz w:val="20"/>
                <w:szCs w:val="20"/>
              </w:rPr>
              <w:t xml:space="preserve">0.916 / 0.935 / 191.646</w:t>
            </w:r>
          </w:p>
        </w:tc>
        <w:tc>
          <w:tcPr>
            <w:tcW w:type="dxa" w:w="2200"/>
            <w:tcMar>
              <w:top w:type="dxa" w:w="60"/>
              <w:left w:type="dxa" w:w="100"/>
              <w:bottom w:type="dxa" w:w="60"/>
              <w:right w:type="dxa" w:w="100"/>
            </w:tcMar>
          </w:tcPr>
          <w:p>
            <w:r>
              <w:rPr>
                <w:b w:val="false"/>
                <w:bCs w:val="false"/>
                <w:sz w:val="20"/>
                <w:szCs w:val="20"/>
              </w:rPr>
              <w:t xml:space="preserve">0.916 / 0.934 / 191.646</w:t>
            </w:r>
          </w:p>
        </w:tc>
        <w:tc>
          <w:tcPr>
            <w:tcW w:type="dxa" w:w="1400"/>
            <w:tcMar>
              <w:top w:type="dxa" w:w="60"/>
              <w:left w:type="dxa" w:w="100"/>
              <w:bottom w:type="dxa" w:w="60"/>
              <w:right w:type="dxa" w:w="100"/>
            </w:tcMar>
          </w:tcPr>
          <w:p>
            <w:r>
              <w:rPr>
                <w:b w:val="false"/>
                <w:bCs w:val="false"/>
                <w:sz w:val="20"/>
                <w:szCs w:val="20"/>
              </w:rPr>
              <w:t xml:space="preserve">&lt;0.13%</w:t>
            </w:r>
          </w:p>
        </w:tc>
      </w:tr>
      <w:tr>
        <w:tc>
          <w:tcPr>
            <w:tcW w:type="dxa" w:w="3400"/>
            <w:tcMar>
              <w:top w:type="dxa" w:w="60"/>
              <w:left w:type="dxa" w:w="100"/>
              <w:bottom w:type="dxa" w:w="60"/>
              <w:right w:type="dxa" w:w="100"/>
            </w:tcMar>
          </w:tcPr>
          <w:p>
            <w:r>
              <w:rPr>
                <w:b w:val="false"/>
                <w:bCs w:val="false"/>
                <w:sz w:val="20"/>
                <w:szCs w:val="20"/>
              </w:rPr>
              <w:t xml:space="preserve">sigmaH0-B1, sigmaH-B1 (N/mm^2)</w:t>
            </w:r>
          </w:p>
        </w:tc>
        <w:tc>
          <w:tcPr>
            <w:tcW w:type="dxa" w:w="2200"/>
            <w:tcMar>
              <w:top w:type="dxa" w:w="60"/>
              <w:left w:type="dxa" w:w="100"/>
              <w:bottom w:type="dxa" w:w="60"/>
              <w:right w:type="dxa" w:w="100"/>
            </w:tcMar>
          </w:tcPr>
          <w:p>
            <w:r>
              <w:rPr>
                <w:b w:val="false"/>
                <w:bCs w:val="false"/>
                <w:sz w:val="20"/>
                <w:szCs w:val="20"/>
              </w:rPr>
              <w:t xml:space="preserve">1168.5 / 1712.8</w:t>
            </w:r>
          </w:p>
        </w:tc>
        <w:tc>
          <w:tcPr>
            <w:tcW w:type="dxa" w:w="2200"/>
            <w:tcMar>
              <w:top w:type="dxa" w:w="60"/>
              <w:left w:type="dxa" w:w="100"/>
              <w:bottom w:type="dxa" w:w="60"/>
              <w:right w:type="dxa" w:w="100"/>
            </w:tcMar>
          </w:tcPr>
          <w:p>
            <w:r>
              <w:rPr>
                <w:b w:val="false"/>
                <w:bCs w:val="false"/>
                <w:sz w:val="20"/>
                <w:szCs w:val="20"/>
              </w:rPr>
              <w:t xml:space="preserve">1167.6 / 1709.8</w:t>
            </w:r>
          </w:p>
        </w:tc>
        <w:tc>
          <w:tcPr>
            <w:tcW w:type="dxa" w:w="1400"/>
            <w:tcMar>
              <w:top w:type="dxa" w:w="60"/>
              <w:left w:type="dxa" w:w="100"/>
              <w:bottom w:type="dxa" w:w="60"/>
              <w:right w:type="dxa" w:w="100"/>
            </w:tcMar>
          </w:tcPr>
          <w:p>
            <w:r>
              <w:rPr>
                <w:b w:val="false"/>
                <w:bCs w:val="false"/>
                <w:sz w:val="20"/>
                <w:szCs w:val="20"/>
              </w:rPr>
              <w:t xml:space="preserve">&lt;0.2%</w:t>
            </w:r>
          </w:p>
        </w:tc>
      </w:tr>
      <w:tr>
        <w:tc>
          <w:tcPr>
            <w:tcW w:type="dxa" w:w="3400"/>
            <w:tcMar>
              <w:top w:type="dxa" w:w="60"/>
              <w:left w:type="dxa" w:w="100"/>
              <w:bottom w:type="dxa" w:w="60"/>
              <w:right w:type="dxa" w:w="100"/>
            </w:tcMar>
          </w:tcPr>
          <w:p>
            <w:r>
              <w:rPr>
                <w:b w:val="false"/>
                <w:bCs w:val="false"/>
                <w:sz w:val="20"/>
                <w:szCs w:val="20"/>
              </w:rPr>
              <w:t xml:space="preserve">YFa1 / YSa1 (pinion)</w:t>
            </w:r>
          </w:p>
        </w:tc>
        <w:tc>
          <w:tcPr>
            <w:tcW w:type="dxa" w:w="2200"/>
            <w:tcMar>
              <w:top w:type="dxa" w:w="60"/>
              <w:left w:type="dxa" w:w="100"/>
              <w:bottom w:type="dxa" w:w="60"/>
              <w:right w:type="dxa" w:w="100"/>
            </w:tcMar>
          </w:tcPr>
          <w:p>
            <w:r>
              <w:rPr>
                <w:b w:val="false"/>
                <w:bCs w:val="false"/>
                <w:sz w:val="20"/>
                <w:szCs w:val="20"/>
              </w:rPr>
              <w:t xml:space="preserve">2.033 / 2.022</w:t>
            </w:r>
          </w:p>
        </w:tc>
        <w:tc>
          <w:tcPr>
            <w:tcW w:type="dxa" w:w="2200"/>
            <w:tcMar>
              <w:top w:type="dxa" w:w="60"/>
              <w:left w:type="dxa" w:w="100"/>
              <w:bottom w:type="dxa" w:w="60"/>
              <w:right w:type="dxa" w:w="100"/>
            </w:tcMar>
          </w:tcPr>
          <w:p>
            <w:r>
              <w:rPr>
                <w:b w:val="false"/>
                <w:bCs w:val="false"/>
                <w:sz w:val="20"/>
                <w:szCs w:val="20"/>
              </w:rPr>
              <w:t xml:space="preserve">2.035 / 2.021</w:t>
            </w:r>
          </w:p>
        </w:tc>
        <w:tc>
          <w:tcPr>
            <w:tcW w:type="dxa" w:w="1400"/>
            <w:tcMar>
              <w:top w:type="dxa" w:w="60"/>
              <w:left w:type="dxa" w:w="100"/>
              <w:bottom w:type="dxa" w:w="60"/>
              <w:right w:type="dxa" w:w="100"/>
            </w:tcMar>
          </w:tcPr>
          <w:p>
            <w:r>
              <w:rPr>
                <w:b w:val="false"/>
                <w:bCs w:val="false"/>
                <w:sz w:val="20"/>
                <w:szCs w:val="20"/>
              </w:rPr>
              <w:t xml:space="preserve">&lt;0.12%</w:t>
            </w:r>
          </w:p>
        </w:tc>
      </w:tr>
      <w:tr>
        <w:tc>
          <w:tcPr>
            <w:tcW w:type="dxa" w:w="3400"/>
            <w:tcMar>
              <w:top w:type="dxa" w:w="60"/>
              <w:left w:type="dxa" w:w="100"/>
              <w:bottom w:type="dxa" w:w="60"/>
              <w:right w:type="dxa" w:w="100"/>
            </w:tcMar>
          </w:tcPr>
          <w:p>
            <w:r>
              <w:rPr>
                <w:b w:val="false"/>
                <w:bCs w:val="false"/>
                <w:sz w:val="20"/>
                <w:szCs w:val="20"/>
              </w:rPr>
              <w:t xml:space="preserve">YFa2 / YSa2 (wheel)</w:t>
            </w:r>
          </w:p>
        </w:tc>
        <w:tc>
          <w:tcPr>
            <w:tcW w:type="dxa" w:w="2200"/>
            <w:tcMar>
              <w:top w:type="dxa" w:w="60"/>
              <w:left w:type="dxa" w:w="100"/>
              <w:bottom w:type="dxa" w:w="60"/>
              <w:right w:type="dxa" w:w="100"/>
            </w:tcMar>
          </w:tcPr>
          <w:p>
            <w:r>
              <w:rPr>
                <w:b w:val="false"/>
                <w:bCs w:val="false"/>
                <w:sz w:val="20"/>
                <w:szCs w:val="20"/>
              </w:rPr>
              <w:t xml:space="preserve">2.480 / 1.706</w:t>
            </w:r>
          </w:p>
        </w:tc>
        <w:tc>
          <w:tcPr>
            <w:tcW w:type="dxa" w:w="2200"/>
            <w:tcMar>
              <w:top w:type="dxa" w:w="60"/>
              <w:left w:type="dxa" w:w="100"/>
              <w:bottom w:type="dxa" w:w="60"/>
              <w:right w:type="dxa" w:w="100"/>
            </w:tcMar>
          </w:tcPr>
          <w:p>
            <w:r>
              <w:rPr>
                <w:b w:val="false"/>
                <w:bCs w:val="false"/>
                <w:sz w:val="20"/>
                <w:szCs w:val="20"/>
              </w:rPr>
              <w:t xml:space="preserve">2.479 / 1.707</w:t>
            </w:r>
          </w:p>
        </w:tc>
        <w:tc>
          <w:tcPr>
            <w:tcW w:type="dxa" w:w="1400"/>
            <w:tcMar>
              <w:top w:type="dxa" w:w="60"/>
              <w:left w:type="dxa" w:w="100"/>
              <w:bottom w:type="dxa" w:w="60"/>
              <w:right w:type="dxa" w:w="100"/>
            </w:tcMar>
          </w:tcPr>
          <w:p>
            <w:r>
              <w:rPr>
                <w:b w:val="false"/>
                <w:bCs w:val="false"/>
                <w:sz w:val="20"/>
                <w:szCs w:val="20"/>
              </w:rPr>
              <w:t xml:space="preserve">&lt;0.05%</w:t>
            </w:r>
          </w:p>
        </w:tc>
      </w:tr>
      <w:tr>
        <w:tc>
          <w:tcPr>
            <w:tcW w:type="dxa" w:w="3400"/>
            <w:tcMar>
              <w:top w:type="dxa" w:w="60"/>
              <w:left w:type="dxa" w:w="100"/>
              <w:bottom w:type="dxa" w:w="60"/>
              <w:right w:type="dxa" w:w="100"/>
            </w:tcMar>
          </w:tcPr>
          <w:p>
            <w:r>
              <w:rPr>
                <w:b w:val="false"/>
                <w:bCs w:val="false"/>
                <w:sz w:val="20"/>
                <w:szCs w:val="20"/>
              </w:rPr>
              <w:t xml:space="preserve">YBS / Y_epsilon / YLS</w:t>
            </w:r>
          </w:p>
        </w:tc>
        <w:tc>
          <w:tcPr>
            <w:tcW w:type="dxa" w:w="2200"/>
            <w:tcMar>
              <w:top w:type="dxa" w:w="60"/>
              <w:left w:type="dxa" w:w="100"/>
              <w:bottom w:type="dxa" w:w="60"/>
              <w:right w:type="dxa" w:w="100"/>
            </w:tcMar>
          </w:tcPr>
          <w:p>
            <w:r>
              <w:rPr>
                <w:b w:val="false"/>
                <w:bCs w:val="false"/>
                <w:sz w:val="20"/>
                <w:szCs w:val="20"/>
              </w:rPr>
              <w:t xml:space="preserve">1.054 / 0.625 / 0.873</w:t>
            </w:r>
          </w:p>
        </w:tc>
        <w:tc>
          <w:tcPr>
            <w:tcW w:type="dxa" w:w="2200"/>
            <w:tcMar>
              <w:top w:type="dxa" w:w="60"/>
              <w:left w:type="dxa" w:w="100"/>
              <w:bottom w:type="dxa" w:w="60"/>
              <w:right w:type="dxa" w:w="100"/>
            </w:tcMar>
          </w:tcPr>
          <w:p>
            <w:r>
              <w:rPr>
                <w:b w:val="false"/>
                <w:bCs w:val="false"/>
                <w:sz w:val="20"/>
                <w:szCs w:val="20"/>
              </w:rPr>
              <w:t xml:space="preserve">1.054 / 0.625 / 0.872</w:t>
            </w:r>
          </w:p>
        </w:tc>
        <w:tc>
          <w:tcPr>
            <w:tcW w:type="dxa" w:w="1400"/>
            <w:tcMar>
              <w:top w:type="dxa" w:w="60"/>
              <w:left w:type="dxa" w:w="100"/>
              <w:bottom w:type="dxa" w:w="60"/>
              <w:right w:type="dxa" w:w="100"/>
            </w:tcMar>
          </w:tcPr>
          <w:p>
            <w:r>
              <w:rPr>
                <w:b w:val="false"/>
                <w:bCs w:val="false"/>
                <w:sz w:val="20"/>
                <w:szCs w:val="20"/>
              </w:rPr>
              <w:t xml:space="preserve">&lt;0.11%</w:t>
            </w:r>
          </w:p>
        </w:tc>
      </w:tr>
      <w:tr>
        <w:tc>
          <w:tcPr>
            <w:tcW w:type="dxa" w:w="3400"/>
            <w:tcMar>
              <w:top w:type="dxa" w:w="60"/>
              <w:left w:type="dxa" w:w="100"/>
              <w:bottom w:type="dxa" w:w="60"/>
              <w:right w:type="dxa" w:w="100"/>
            </w:tcMar>
          </w:tcPr>
          <w:p>
            <w:r>
              <w:rPr>
                <w:b w:val="false"/>
                <w:bCs w:val="false"/>
                <w:sz w:val="20"/>
                <w:szCs w:val="20"/>
              </w:rPr>
              <w:t xml:space="preserve">sigmaF01-B1, sigmaF1-B1 (N/mm^2)</w:t>
            </w:r>
          </w:p>
        </w:tc>
        <w:tc>
          <w:tcPr>
            <w:tcW w:type="dxa" w:w="2200"/>
            <w:tcMar>
              <w:top w:type="dxa" w:w="60"/>
              <w:left w:type="dxa" w:w="100"/>
              <w:bottom w:type="dxa" w:w="60"/>
              <w:right w:type="dxa" w:w="100"/>
            </w:tcMar>
          </w:tcPr>
          <w:p>
            <w:r>
              <w:rPr>
                <w:b w:val="false"/>
                <w:bCs w:val="false"/>
                <w:sz w:val="20"/>
                <w:szCs w:val="20"/>
              </w:rPr>
              <w:t xml:space="preserve">316.5 / 680.1</w:t>
            </w:r>
          </w:p>
        </w:tc>
        <w:tc>
          <w:tcPr>
            <w:tcW w:type="dxa" w:w="2200"/>
            <w:tcMar>
              <w:top w:type="dxa" w:w="60"/>
              <w:left w:type="dxa" w:w="100"/>
              <w:bottom w:type="dxa" w:w="60"/>
              <w:right w:type="dxa" w:w="100"/>
            </w:tcMar>
          </w:tcPr>
          <w:p>
            <w:r>
              <w:rPr>
                <w:b w:val="false"/>
                <w:bCs w:val="false"/>
                <w:sz w:val="20"/>
                <w:szCs w:val="20"/>
              </w:rPr>
              <w:t xml:space="preserve">316.3 / 678.2</w:t>
            </w:r>
          </w:p>
        </w:tc>
        <w:tc>
          <w:tcPr>
            <w:tcW w:type="dxa" w:w="1400"/>
            <w:tcMar>
              <w:top w:type="dxa" w:w="60"/>
              <w:left w:type="dxa" w:w="100"/>
              <w:bottom w:type="dxa" w:w="60"/>
              <w:right w:type="dxa" w:w="100"/>
            </w:tcMar>
          </w:tcPr>
          <w:p>
            <w:r>
              <w:rPr>
                <w:b w:val="false"/>
                <w:bCs w:val="false"/>
                <w:sz w:val="20"/>
                <w:szCs w:val="20"/>
              </w:rPr>
              <w:t xml:space="preserve">&lt;0.3%</w:t>
            </w:r>
          </w:p>
        </w:tc>
      </w:tr>
      <w:tr>
        <w:tc>
          <w:tcPr>
            <w:tcW w:type="dxa" w:w="3400"/>
            <w:tcMar>
              <w:top w:type="dxa" w:w="60"/>
              <w:left w:type="dxa" w:w="100"/>
              <w:bottom w:type="dxa" w:w="60"/>
              <w:right w:type="dxa" w:w="100"/>
            </w:tcMar>
          </w:tcPr>
          <w:p>
            <w:r>
              <w:rPr>
                <w:b w:val="false"/>
                <w:bCs w:val="false"/>
                <w:sz w:val="20"/>
                <w:szCs w:val="20"/>
              </w:rPr>
              <w:t xml:space="preserve">sigmaF02-B1, sigmaF2-B1 (N/mm^2)</w:t>
            </w:r>
          </w:p>
        </w:tc>
        <w:tc>
          <w:tcPr>
            <w:tcW w:type="dxa" w:w="2200"/>
            <w:tcMar>
              <w:top w:type="dxa" w:w="60"/>
              <w:left w:type="dxa" w:w="100"/>
              <w:bottom w:type="dxa" w:w="60"/>
              <w:right w:type="dxa" w:w="100"/>
            </w:tcMar>
          </w:tcPr>
          <w:p>
            <w:r>
              <w:rPr>
                <w:b w:val="false"/>
                <w:bCs w:val="false"/>
                <w:sz w:val="20"/>
                <w:szCs w:val="20"/>
              </w:rPr>
              <w:t xml:space="preserve">325.9 / 700.1</w:t>
            </w:r>
          </w:p>
        </w:tc>
        <w:tc>
          <w:tcPr>
            <w:tcW w:type="dxa" w:w="2200"/>
            <w:tcMar>
              <w:top w:type="dxa" w:w="60"/>
              <w:left w:type="dxa" w:w="100"/>
              <w:bottom w:type="dxa" w:w="60"/>
              <w:right w:type="dxa" w:w="100"/>
            </w:tcMar>
          </w:tcPr>
          <w:p>
            <w:r>
              <w:rPr>
                <w:b w:val="false"/>
                <w:bCs w:val="false"/>
                <w:sz w:val="20"/>
                <w:szCs w:val="20"/>
              </w:rPr>
              <w:t xml:space="preserve">325.3 / 697.6</w:t>
            </w:r>
          </w:p>
        </w:tc>
        <w:tc>
          <w:tcPr>
            <w:tcW w:type="dxa" w:w="1400"/>
            <w:tcMar>
              <w:top w:type="dxa" w:w="60"/>
              <w:left w:type="dxa" w:w="100"/>
              <w:bottom w:type="dxa" w:w="60"/>
              <w:right w:type="dxa" w:w="100"/>
            </w:tcMar>
          </w:tcPr>
          <w:p>
            <w:r>
              <w:rPr>
                <w:b w:val="false"/>
                <w:bCs w:val="false"/>
                <w:sz w:val="20"/>
                <w:szCs w:val="20"/>
              </w:rPr>
              <w:t xml:space="preserve">&lt;0.4%</w:t>
            </w:r>
          </w:p>
        </w:tc>
      </w:tr>
      <w:tr>
        <w:tc>
          <w:tcPr>
            <w:tcW w:type="dxa" w:w="3400"/>
            <w:tcMar>
              <w:top w:type="dxa" w:w="60"/>
              <w:left w:type="dxa" w:w="100"/>
              <w:bottom w:type="dxa" w:w="60"/>
              <w:right w:type="dxa" w:w="100"/>
            </w:tcMar>
          </w:tcPr>
          <w:p>
            <w:r>
              <w:rPr>
                <w:b w:val="false"/>
                <w:bCs w:val="false"/>
                <w:sz w:val="20"/>
                <w:szCs w:val="20"/>
              </w:rPr>
              <w:t xml:space="preserve">SF1-B1, SF2-B1</w:t>
            </w:r>
          </w:p>
        </w:tc>
        <w:tc>
          <w:tcPr>
            <w:tcW w:type="dxa" w:w="2200"/>
            <w:tcMar>
              <w:top w:type="dxa" w:w="60"/>
              <w:left w:type="dxa" w:w="100"/>
              <w:bottom w:type="dxa" w:w="60"/>
              <w:right w:type="dxa" w:w="100"/>
            </w:tcMar>
          </w:tcPr>
          <w:p>
            <w:r>
              <w:rPr>
                <w:b w:val="false"/>
                <w:bCs w:val="false"/>
                <w:sz w:val="20"/>
                <w:szCs w:val="20"/>
              </w:rPr>
              <w:t xml:space="preserve">1.385 / 1.328</w:t>
            </w:r>
          </w:p>
        </w:tc>
        <w:tc>
          <w:tcPr>
            <w:tcW w:type="dxa" w:w="2200"/>
            <w:tcMar>
              <w:top w:type="dxa" w:w="60"/>
              <w:left w:type="dxa" w:w="100"/>
              <w:bottom w:type="dxa" w:w="60"/>
              <w:right w:type="dxa" w:w="100"/>
            </w:tcMar>
          </w:tcPr>
          <w:p>
            <w:r>
              <w:rPr>
                <w:b w:val="false"/>
                <w:bCs w:val="false"/>
                <w:sz w:val="20"/>
                <w:szCs w:val="20"/>
              </w:rPr>
              <w:t xml:space="preserve">1.389 / 1.333</w:t>
            </w:r>
          </w:p>
        </w:tc>
        <w:tc>
          <w:tcPr>
            <w:tcW w:type="dxa" w:w="1400"/>
            <w:tcMar>
              <w:top w:type="dxa" w:w="60"/>
              <w:left w:type="dxa" w:w="100"/>
              <w:bottom w:type="dxa" w:w="60"/>
              <w:right w:type="dxa" w:w="100"/>
            </w:tcMar>
          </w:tcPr>
          <w:p>
            <w:r>
              <w:rPr>
                <w:b w:val="false"/>
                <w:bCs w:val="false"/>
                <w:sz w:val="20"/>
                <w:szCs w:val="20"/>
              </w:rPr>
              <w:t xml:space="preserve">&lt;0.4%</w:t>
            </w:r>
          </w:p>
        </w:tc>
      </w:tr>
    </w:tbl>
    <w:p>
      <w:pPr>
        <w:spacing w:after="160"/>
      </w:pPr>
      <w:r>
        <w:t xml:space="preserve">Result: 70 of 70 checked values pass (see ISO10300Calc/Calc/SelfTest.cs for the complete list of ~75 checkpoints and their individual tolerances, generally 0.01-3%, tightest on directly-computed geometry and loosest on quantities compounded through several independently-rounded published intermediate numbers).</w:t>
      </w:r>
    </w:p>
    <w:p>
      <w:pPr>
        <w:pStyle w:val="Heading3"/>
        <w:spacing w:after="100" w:before="200"/>
      </w:pPr>
      <w:r>
        <w:t xml:space="preserve">6.1.2 A genuine standard inconsistency found during validation (not a bug)</w:t>
      </w:r>
    </w:p>
    <w:p>
      <w:pPr>
        <w:spacing w:after="160"/>
      </w:pPr>
      <w:r>
        <w:t xml:space="preserve">Two published values — the permissible contact stress sigmaHP1-B1 (1617.8 N/mm^2) and the resulting safety factor SH1-B1 (0.944) — are deliberately excluded from the automated checks. ISO/TR 10300-30 Sample 1 states its life factors as "ZNT = 1.0" and "YNT = 1.0" directly, without deriving either from a stated number of load cycles (the operating-conditions table, A.4, gives no life requirement). Investigating why revealed that ISO 10300-2's Table 6 reference point for ZNT = 1.0 (roughly 5*10^7 to 10^9 cycles, depending on the material-family row) and ISO 10300-3's Table 5 reference point for YNT = 1.0 (3*10^6 cycles, stated explicitly in the standard's own text) are genuinely different cycle counts — the two life-factor curves do not share a common "reference life". At the NL = 3*10^6 used throughout this self-test (chosen to match YNT exactly), this calculator's ZNT curve correctly returns about 1.43, not 1.0, so the permissible-stress and safety-factor figures that multiply by ZNT diverge from the example by construction. Every quantity upstream of this multiplication (sigmaH0, sigmaH, and all the pitting Z-factors) matches to within a few tenths of a percent, confirming the calculated-stress side of the pipeline is correct and the divergence is confined to this one life-reference mismatch. The same reasoning, and the same exclusion, applies to Sample 2 below.</w:t>
      </w:r>
    </w:p>
    <w:p>
      <w:pPr>
        <w:pStyle w:val="Heading2"/>
        <w:spacing w:after="120" w:before="240"/>
      </w:pPr>
      <w:r>
        <w:t xml:space="preserve">6.2 Sample 2 (hypoid gear, offset a = 15 mm)</w:t>
      </w:r>
    </w:p>
    <w:p>
      <w:pPr>
        <w:spacing w:after="160"/>
      </w:pPr>
      <w:r>
        <w:t xml:space="preserve">ISO/TR 10300-30:2024, Annex B, "Sample 2", is a complete Method B1 worked example for a hypoid gear pair (z1 = 13, z2 = 42, offset a = 15 mm, asymmetric drive/coast generated pressure angles 17.748 deg / 22.252 deg), used to validate the general (non-a=0) formulas added in Section 2.1 - the virtual cylindrical gear geometry's offset-angle terms, the KHalpha/KFalpha offset blend, and the hypoid factor ZHyp, none of which are exercised by Sample 1. As with Sample 1, every input is taken from the technical report's own tables (B.1-B.4) and every checked value is one of its own published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4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Published (Sample 2)</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1400"/>
            <w:shd w:fill="D9E2F3" w:val="clear"/>
            <w:tcMar>
              <w:top w:type="dxa" w:w="60"/>
              <w:left w:type="dxa" w:w="100"/>
              <w:bottom w:type="dxa" w:w="60"/>
              <w:right w:type="dxa" w:w="100"/>
            </w:tcMar>
          </w:tcPr>
          <w:p>
            <w:r>
              <w:rPr>
                <w:b/>
                <w:bCs/>
                <w:sz w:val="20"/>
                <w:szCs w:val="20"/>
              </w:rPr>
              <w:t xml:space="preserve">Diff.</w:t>
            </w:r>
          </w:p>
        </w:tc>
      </w:tr>
      <w:tr>
        <w:tc>
          <w:tcPr>
            <w:tcW w:type="dxa" w:w="3400"/>
            <w:tcMar>
              <w:top w:type="dxa" w:w="60"/>
              <w:left w:type="dxa" w:w="100"/>
              <w:bottom w:type="dxa" w:w="60"/>
              <w:right w:type="dxa" w:w="100"/>
            </w:tcMar>
          </w:tcPr>
          <w:p>
            <w:r>
              <w:rPr>
                <w:b w:val="false"/>
                <w:bCs w:val="false"/>
                <w:sz w:val="20"/>
                <w:szCs w:val="20"/>
              </w:rPr>
              <w:t xml:space="preserve">dvb2, pvet, gv_alpha (mm)</w:t>
            </w:r>
          </w:p>
        </w:tc>
        <w:tc>
          <w:tcPr>
            <w:tcW w:type="dxa" w:w="2200"/>
            <w:tcMar>
              <w:top w:type="dxa" w:w="60"/>
              <w:left w:type="dxa" w:w="100"/>
              <w:bottom w:type="dxa" w:w="60"/>
              <w:right w:type="dxa" w:w="100"/>
            </w:tcMar>
          </w:tcPr>
          <w:p>
            <w:r>
              <w:rPr>
                <w:b w:val="false"/>
                <w:bCs w:val="false"/>
                <w:sz w:val="20"/>
                <w:szCs w:val="20"/>
              </w:rPr>
              <w:t xml:space="preserve">342.334 / 10.329 / 10.435</w:t>
            </w:r>
          </w:p>
        </w:tc>
        <w:tc>
          <w:tcPr>
            <w:tcW w:type="dxa" w:w="2200"/>
            <w:tcMar>
              <w:top w:type="dxa" w:w="60"/>
              <w:left w:type="dxa" w:w="100"/>
              <w:bottom w:type="dxa" w:w="60"/>
              <w:right w:type="dxa" w:w="100"/>
            </w:tcMar>
          </w:tcPr>
          <w:p>
            <w:r>
              <w:rPr>
                <w:b w:val="false"/>
                <w:bCs w:val="false"/>
                <w:sz w:val="20"/>
                <w:szCs w:val="20"/>
              </w:rPr>
              <w:t xml:space="preserve">342.335 / 10.330 / 10.436</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eps_valpha / eps_vbeta / eps_vgamma</w:t>
            </w:r>
          </w:p>
        </w:tc>
        <w:tc>
          <w:tcPr>
            <w:tcW w:type="dxa" w:w="2200"/>
            <w:tcMar>
              <w:top w:type="dxa" w:w="60"/>
              <w:left w:type="dxa" w:w="100"/>
              <w:bottom w:type="dxa" w:w="60"/>
              <w:right w:type="dxa" w:w="100"/>
            </w:tcMar>
          </w:tcPr>
          <w:p>
            <w:r>
              <w:rPr>
                <w:b w:val="false"/>
                <w:bCs w:val="false"/>
                <w:sz w:val="20"/>
                <w:szCs w:val="20"/>
              </w:rPr>
              <w:t xml:space="preserve">1.010 / 2.096 / 3.106</w:t>
            </w:r>
          </w:p>
        </w:tc>
        <w:tc>
          <w:tcPr>
            <w:tcW w:type="dxa" w:w="2200"/>
            <w:tcMar>
              <w:top w:type="dxa" w:w="60"/>
              <w:left w:type="dxa" w:w="100"/>
              <w:bottom w:type="dxa" w:w="60"/>
              <w:right w:type="dxa" w:w="100"/>
            </w:tcMar>
          </w:tcPr>
          <w:p>
            <w:r>
              <w:rPr>
                <w:b w:val="false"/>
                <w:bCs w:val="false"/>
                <w:sz w:val="20"/>
                <w:szCs w:val="20"/>
              </w:rPr>
              <w:t xml:space="preserve">1.010 / 2.095 / 3.106</w:t>
            </w:r>
          </w:p>
        </w:tc>
        <w:tc>
          <w:tcPr>
            <w:tcW w:type="dxa" w:w="1400"/>
            <w:tcMar>
              <w:top w:type="dxa" w:w="60"/>
              <w:left w:type="dxa" w:w="100"/>
              <w:bottom w:type="dxa" w:w="60"/>
              <w:right w:type="dxa" w:w="100"/>
            </w:tcMar>
          </w:tcPr>
          <w:p>
            <w:r>
              <w:rPr>
                <w:b w:val="false"/>
                <w:bCs w:val="false"/>
                <w:sz w:val="20"/>
                <w:szCs w:val="20"/>
              </w:rPr>
              <w:t xml:space="preserve">&lt;0.03%</w:t>
            </w:r>
          </w:p>
        </w:tc>
      </w:tr>
      <w:tr>
        <w:tc>
          <w:tcPr>
            <w:tcW w:type="dxa" w:w="3400"/>
            <w:tcMar>
              <w:top w:type="dxa" w:w="60"/>
              <w:left w:type="dxa" w:w="100"/>
              <w:bottom w:type="dxa" w:w="60"/>
              <w:right w:type="dxa" w:w="100"/>
            </w:tcMar>
          </w:tcPr>
          <w:p>
            <w:r>
              <w:rPr>
                <w:b w:val="false"/>
                <w:bCs w:val="false"/>
                <w:sz w:val="20"/>
                <w:szCs w:val="20"/>
              </w:rPr>
              <w:t xml:space="preserve">rho_t, rho_rel, betaB (deg)</w:t>
            </w:r>
          </w:p>
        </w:tc>
        <w:tc>
          <w:tcPr>
            <w:tcW w:type="dxa" w:w="2200"/>
            <w:tcMar>
              <w:top w:type="dxa" w:w="60"/>
              <w:left w:type="dxa" w:w="100"/>
              <w:bottom w:type="dxa" w:w="60"/>
              <w:right w:type="dxa" w:w="100"/>
            </w:tcMar>
          </w:tcPr>
          <w:p>
            <w:r>
              <w:rPr>
                <w:b w:val="false"/>
                <w:bCs w:val="false"/>
                <w:sz w:val="20"/>
                <w:szCs w:val="20"/>
              </w:rPr>
              <w:t xml:space="preserve">19.924 / 17.926 / 18.459</w:t>
            </w:r>
          </w:p>
        </w:tc>
        <w:tc>
          <w:tcPr>
            <w:tcW w:type="dxa" w:w="2200"/>
            <w:tcMar>
              <w:top w:type="dxa" w:w="60"/>
              <w:left w:type="dxa" w:w="100"/>
              <w:bottom w:type="dxa" w:w="60"/>
              <w:right w:type="dxa" w:w="100"/>
            </w:tcMar>
          </w:tcPr>
          <w:p>
            <w:r>
              <w:rPr>
                <w:b w:val="false"/>
                <w:bCs w:val="false"/>
                <w:sz w:val="20"/>
                <w:szCs w:val="20"/>
              </w:rPr>
              <w:t xml:space="preserve">19.925 / 17.927 / 18.460</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lbm (mm)</w:t>
            </w:r>
          </w:p>
        </w:tc>
        <w:tc>
          <w:tcPr>
            <w:tcW w:type="dxa" w:w="2200"/>
            <w:tcMar>
              <w:top w:type="dxa" w:w="60"/>
              <w:left w:type="dxa" w:w="100"/>
              <w:bottom w:type="dxa" w:w="60"/>
              <w:right w:type="dxa" w:w="100"/>
            </w:tcMar>
          </w:tcPr>
          <w:p>
            <w:r>
              <w:rPr>
                <w:b w:val="false"/>
                <w:bCs w:val="false"/>
                <w:sz w:val="20"/>
                <w:szCs w:val="20"/>
              </w:rPr>
              <w:t xml:space="preserve">13.397</w:t>
            </w:r>
          </w:p>
        </w:tc>
        <w:tc>
          <w:tcPr>
            <w:tcW w:type="dxa" w:w="2200"/>
            <w:tcMar>
              <w:top w:type="dxa" w:w="60"/>
              <w:left w:type="dxa" w:w="100"/>
              <w:bottom w:type="dxa" w:w="60"/>
              <w:right w:type="dxa" w:w="100"/>
            </w:tcMar>
          </w:tcPr>
          <w:p>
            <w:r>
              <w:rPr>
                <w:b w:val="false"/>
                <w:bCs w:val="false"/>
                <w:sz w:val="20"/>
                <w:szCs w:val="20"/>
              </w:rPr>
              <w:t xml:space="preserve">13.398</w:t>
            </w:r>
          </w:p>
        </w:tc>
        <w:tc>
          <w:tcPr>
            <w:tcW w:type="dxa" w:w="1400"/>
            <w:tcMar>
              <w:top w:type="dxa" w:w="60"/>
              <w:left w:type="dxa" w:w="100"/>
              <w:bottom w:type="dxa" w:w="60"/>
              <w:right w:type="dxa" w:w="100"/>
            </w:tcMar>
          </w:tcPr>
          <w:p>
            <w:r>
              <w:rPr>
                <w:b w:val="false"/>
                <w:bCs w:val="false"/>
                <w:sz w:val="20"/>
                <w:szCs w:val="20"/>
              </w:rPr>
              <w:t xml:space="preserve">0.00%</w:t>
            </w:r>
          </w:p>
        </w:tc>
      </w:tr>
      <w:tr>
        <w:tc>
          <w:tcPr>
            <w:tcW w:type="dxa" w:w="3400"/>
            <w:tcMar>
              <w:top w:type="dxa" w:w="60"/>
              <w:left w:type="dxa" w:w="100"/>
              <w:bottom w:type="dxa" w:w="60"/>
              <w:right w:type="dxa" w:w="100"/>
            </w:tcMar>
          </w:tcPr>
          <w:p>
            <w:r>
              <w:rPr>
                <w:b w:val="false"/>
                <w:bCs w:val="false"/>
                <w:sz w:val="20"/>
                <w:szCs w:val="20"/>
              </w:rPr>
              <w:t xml:space="preserve">Kv (Method B), KHbeta-C, KF0</w:t>
            </w:r>
          </w:p>
        </w:tc>
        <w:tc>
          <w:tcPr>
            <w:tcW w:type="dxa" w:w="2200"/>
            <w:tcMar>
              <w:top w:type="dxa" w:w="60"/>
              <w:left w:type="dxa" w:w="100"/>
              <w:bottom w:type="dxa" w:w="60"/>
              <w:right w:type="dxa" w:w="100"/>
            </w:tcMar>
          </w:tcPr>
          <w:p>
            <w:r>
              <w:rPr>
                <w:b w:val="false"/>
                <w:bCs w:val="false"/>
                <w:sz w:val="20"/>
                <w:szCs w:val="20"/>
              </w:rPr>
              <w:t xml:space="preserve">1.016 / 1.65 / 1.060</w:t>
            </w:r>
          </w:p>
        </w:tc>
        <w:tc>
          <w:tcPr>
            <w:tcW w:type="dxa" w:w="2200"/>
            <w:tcMar>
              <w:top w:type="dxa" w:w="60"/>
              <w:left w:type="dxa" w:w="100"/>
              <w:bottom w:type="dxa" w:w="60"/>
              <w:right w:type="dxa" w:w="100"/>
            </w:tcMar>
          </w:tcPr>
          <w:p>
            <w:r>
              <w:rPr>
                <w:b w:val="false"/>
                <w:bCs w:val="false"/>
                <w:sz w:val="20"/>
                <w:szCs w:val="20"/>
              </w:rPr>
              <w:t xml:space="preserve">1.015 / 1.65 / 1.060</w:t>
            </w:r>
          </w:p>
        </w:tc>
        <w:tc>
          <w:tcPr>
            <w:tcW w:type="dxa" w:w="1400"/>
            <w:tcMar>
              <w:top w:type="dxa" w:w="60"/>
              <w:left w:type="dxa" w:w="100"/>
              <w:bottom w:type="dxa" w:w="60"/>
              <w:right w:type="dxa" w:w="100"/>
            </w:tcMar>
          </w:tcPr>
          <w:p>
            <w:r>
              <w:rPr>
                <w:b w:val="false"/>
                <w:bCs w:val="false"/>
                <w:sz w:val="20"/>
                <w:szCs w:val="20"/>
              </w:rPr>
              <w:t xml:space="preserve">&lt;0.1%</w:t>
            </w:r>
          </w:p>
        </w:tc>
      </w:tr>
      <w:tr>
        <w:tc>
          <w:tcPr>
            <w:tcW w:type="dxa" w:w="3400"/>
            <w:tcMar>
              <w:top w:type="dxa" w:w="60"/>
              <w:left w:type="dxa" w:w="100"/>
              <w:bottom w:type="dxa" w:w="60"/>
              <w:right w:type="dxa" w:w="100"/>
            </w:tcMar>
          </w:tcPr>
          <w:p>
            <w:r>
              <w:rPr>
                <w:b w:val="false"/>
                <w:bCs w:val="false"/>
                <w:sz w:val="20"/>
                <w:szCs w:val="20"/>
              </w:rPr>
              <w:t xml:space="preserve">arel, KHalpha (final)</w:t>
            </w:r>
          </w:p>
        </w:tc>
        <w:tc>
          <w:tcPr>
            <w:tcW w:type="dxa" w:w="2200"/>
            <w:tcMar>
              <w:top w:type="dxa" w:w="60"/>
              <w:left w:type="dxa" w:w="100"/>
              <w:bottom w:type="dxa" w:w="60"/>
              <w:right w:type="dxa" w:w="100"/>
            </w:tcMar>
          </w:tcPr>
          <w:p>
            <w:r>
              <w:rPr>
                <w:b w:val="false"/>
                <w:bCs w:val="false"/>
                <w:sz w:val="20"/>
                <w:szCs w:val="20"/>
              </w:rPr>
              <w:t xml:space="preserve">0.211 / 1.000</w:t>
            </w:r>
          </w:p>
        </w:tc>
        <w:tc>
          <w:tcPr>
            <w:tcW w:type="dxa" w:w="2200"/>
            <w:tcMar>
              <w:top w:type="dxa" w:w="60"/>
              <w:left w:type="dxa" w:w="100"/>
              <w:bottom w:type="dxa" w:w="60"/>
              <w:right w:type="dxa" w:w="100"/>
            </w:tcMar>
          </w:tcPr>
          <w:p>
            <w:r>
              <w:rPr>
                <w:b w:val="false"/>
                <w:bCs w:val="false"/>
                <w:sz w:val="20"/>
                <w:szCs w:val="20"/>
              </w:rPr>
              <w:t xml:space="preserve">0.212 / 1.000</w:t>
            </w:r>
          </w:p>
        </w:tc>
        <w:tc>
          <w:tcPr>
            <w:tcW w:type="dxa" w:w="1400"/>
            <w:tcMar>
              <w:top w:type="dxa" w:w="60"/>
              <w:left w:type="dxa" w:w="100"/>
              <w:bottom w:type="dxa" w:w="60"/>
              <w:right w:type="dxa" w:w="100"/>
            </w:tcMar>
          </w:tcPr>
          <w:p>
            <w:r>
              <w:rPr>
                <w:b w:val="false"/>
                <w:bCs w:val="false"/>
                <w:sz w:val="20"/>
                <w:szCs w:val="20"/>
              </w:rPr>
              <w:t xml:space="preserve">&lt;0.2%</w:t>
            </w:r>
          </w:p>
        </w:tc>
      </w:tr>
      <w:tr>
        <w:tc>
          <w:tcPr>
            <w:tcW w:type="dxa" w:w="3400"/>
            <w:tcMar>
              <w:top w:type="dxa" w:w="60"/>
              <w:left w:type="dxa" w:w="100"/>
              <w:bottom w:type="dxa" w:w="60"/>
              <w:right w:type="dxa" w:w="100"/>
            </w:tcMar>
          </w:tcPr>
          <w:p>
            <w:r>
              <w:rPr>
                <w:b w:val="false"/>
                <w:bCs w:val="false"/>
                <w:sz w:val="20"/>
                <w:szCs w:val="20"/>
              </w:rPr>
              <w:t xml:space="preserve">ZM-B, ZE, ZHyp</w:t>
            </w:r>
          </w:p>
        </w:tc>
        <w:tc>
          <w:tcPr>
            <w:tcW w:type="dxa" w:w="2200"/>
            <w:tcMar>
              <w:top w:type="dxa" w:w="60"/>
              <w:left w:type="dxa" w:w="100"/>
              <w:bottom w:type="dxa" w:w="60"/>
              <w:right w:type="dxa" w:w="100"/>
            </w:tcMar>
          </w:tcPr>
          <w:p>
            <w:r>
              <w:rPr>
                <w:b w:val="false"/>
                <w:bCs w:val="false"/>
                <w:sz w:val="20"/>
                <w:szCs w:val="20"/>
              </w:rPr>
              <w:t xml:space="preserve">0.963 / 191.646 / 0.952</w:t>
            </w:r>
          </w:p>
        </w:tc>
        <w:tc>
          <w:tcPr>
            <w:tcW w:type="dxa" w:w="2200"/>
            <w:tcMar>
              <w:top w:type="dxa" w:w="60"/>
              <w:left w:type="dxa" w:w="100"/>
              <w:bottom w:type="dxa" w:w="60"/>
              <w:right w:type="dxa" w:w="100"/>
            </w:tcMar>
          </w:tcPr>
          <w:p>
            <w:r>
              <w:rPr>
                <w:b w:val="false"/>
                <w:bCs w:val="false"/>
                <w:sz w:val="20"/>
                <w:szCs w:val="20"/>
              </w:rPr>
              <w:t xml:space="preserve">0.963 / 191.646 / 0.952</w:t>
            </w:r>
          </w:p>
        </w:tc>
        <w:tc>
          <w:tcPr>
            <w:tcW w:type="dxa" w:w="1400"/>
            <w:tcMar>
              <w:top w:type="dxa" w:w="60"/>
              <w:left w:type="dxa" w:w="100"/>
              <w:bottom w:type="dxa" w:w="60"/>
              <w:right w:type="dxa" w:w="100"/>
            </w:tcMar>
          </w:tcPr>
          <w:p>
            <w:r>
              <w:rPr>
                <w:b w:val="false"/>
                <w:bCs w:val="false"/>
                <w:sz w:val="20"/>
                <w:szCs w:val="20"/>
              </w:rPr>
              <w:t xml:space="preserve">&lt;0.05%</w:t>
            </w:r>
          </w:p>
        </w:tc>
      </w:tr>
      <w:tr>
        <w:tc>
          <w:tcPr>
            <w:tcW w:type="dxa" w:w="3400"/>
            <w:tcMar>
              <w:top w:type="dxa" w:w="60"/>
              <w:left w:type="dxa" w:w="100"/>
              <w:bottom w:type="dxa" w:w="60"/>
              <w:right w:type="dxa" w:w="100"/>
            </w:tcMar>
          </w:tcPr>
          <w:p>
            <w:r>
              <w:rPr>
                <w:b w:val="false"/>
                <w:bCs w:val="false"/>
                <w:sz w:val="20"/>
                <w:szCs w:val="20"/>
              </w:rPr>
              <w:t xml:space="preserve">YFa1/YSa1, YFa2/YSa2 (pinion/wheel)</w:t>
            </w:r>
          </w:p>
        </w:tc>
        <w:tc>
          <w:tcPr>
            <w:tcW w:type="dxa" w:w="2200"/>
            <w:tcMar>
              <w:top w:type="dxa" w:w="60"/>
              <w:left w:type="dxa" w:w="100"/>
              <w:bottom w:type="dxa" w:w="60"/>
              <w:right w:type="dxa" w:w="100"/>
            </w:tcMar>
          </w:tcPr>
          <w:p>
            <w:r>
              <w:rPr>
                <w:b w:val="false"/>
                <w:bCs w:val="false"/>
                <w:sz w:val="20"/>
                <w:szCs w:val="20"/>
              </w:rPr>
              <w:t xml:space="preserve">2.047/1.903, 2.403/1.690</w:t>
            </w:r>
          </w:p>
        </w:tc>
        <w:tc>
          <w:tcPr>
            <w:tcW w:type="dxa" w:w="2200"/>
            <w:tcMar>
              <w:top w:type="dxa" w:w="60"/>
              <w:left w:type="dxa" w:w="100"/>
              <w:bottom w:type="dxa" w:w="60"/>
              <w:right w:type="dxa" w:w="100"/>
            </w:tcMar>
          </w:tcPr>
          <w:p>
            <w:r>
              <w:rPr>
                <w:b w:val="false"/>
                <w:bCs w:val="false"/>
                <w:sz w:val="20"/>
                <w:szCs w:val="20"/>
              </w:rPr>
              <w:t xml:space="preserve">2.046/1.903, 2.402/1.691</w:t>
            </w:r>
          </w:p>
        </w:tc>
        <w:tc>
          <w:tcPr>
            <w:tcW w:type="dxa" w:w="1400"/>
            <w:tcMar>
              <w:top w:type="dxa" w:w="60"/>
              <w:left w:type="dxa" w:w="100"/>
              <w:bottom w:type="dxa" w:w="60"/>
              <w:right w:type="dxa" w:w="100"/>
            </w:tcMar>
          </w:tcPr>
          <w:p>
            <w:r>
              <w:rPr>
                <w:b w:val="false"/>
                <w:bCs w:val="false"/>
                <w:sz w:val="20"/>
                <w:szCs w:val="20"/>
              </w:rPr>
              <w:t xml:space="preserve">&lt;0.06%</w:t>
            </w:r>
          </w:p>
        </w:tc>
      </w:tr>
      <w:tr>
        <w:tc>
          <w:tcPr>
            <w:tcW w:type="dxa" w:w="3400"/>
            <w:tcMar>
              <w:top w:type="dxa" w:w="60"/>
              <w:left w:type="dxa" w:w="100"/>
              <w:bottom w:type="dxa" w:w="60"/>
              <w:right w:type="dxa" w:w="100"/>
            </w:tcMar>
          </w:tcPr>
          <w:p>
            <w:r>
              <w:rPr>
                <w:b w:val="false"/>
                <w:bCs w:val="false"/>
                <w:sz w:val="20"/>
                <w:szCs w:val="20"/>
              </w:rPr>
              <w:t xml:space="preserve">YBS, sigmaFP1-B1, sigmaFP2-B1</w:t>
            </w:r>
          </w:p>
        </w:tc>
        <w:tc>
          <w:tcPr>
            <w:tcW w:type="dxa" w:w="2200"/>
            <w:tcMar>
              <w:top w:type="dxa" w:w="60"/>
              <w:left w:type="dxa" w:w="100"/>
              <w:bottom w:type="dxa" w:w="60"/>
              <w:right w:type="dxa" w:w="100"/>
            </w:tcMar>
          </w:tcPr>
          <w:p>
            <w:r>
              <w:rPr>
                <w:b w:val="false"/>
                <w:bCs w:val="false"/>
                <w:sz w:val="20"/>
                <w:szCs w:val="20"/>
              </w:rPr>
              <w:t xml:space="preserve">1.909 / 936.4 / 929.0</w:t>
            </w:r>
          </w:p>
        </w:tc>
        <w:tc>
          <w:tcPr>
            <w:tcW w:type="dxa" w:w="2200"/>
            <w:tcMar>
              <w:top w:type="dxa" w:w="60"/>
              <w:left w:type="dxa" w:w="100"/>
              <w:bottom w:type="dxa" w:w="60"/>
              <w:right w:type="dxa" w:w="100"/>
            </w:tcMar>
          </w:tcPr>
          <w:p>
            <w:r>
              <w:rPr>
                <w:b w:val="false"/>
                <w:bCs w:val="false"/>
                <w:sz w:val="20"/>
                <w:szCs w:val="20"/>
              </w:rPr>
              <w:t xml:space="preserve">1.909 / 936.4 / 929.0</w:t>
            </w:r>
          </w:p>
        </w:tc>
        <w:tc>
          <w:tcPr>
            <w:tcW w:type="dxa" w:w="1400"/>
            <w:tcMar>
              <w:top w:type="dxa" w:w="60"/>
              <w:left w:type="dxa" w:w="100"/>
              <w:bottom w:type="dxa" w:w="60"/>
              <w:right w:type="dxa" w:w="100"/>
            </w:tcMar>
          </w:tcPr>
          <w:p>
            <w:r>
              <w:rPr>
                <w:b w:val="false"/>
                <w:bCs w:val="false"/>
                <w:sz w:val="20"/>
                <w:szCs w:val="20"/>
              </w:rPr>
              <w:t xml:space="preserve">&lt;0.01%</w:t>
            </w:r>
          </w:p>
        </w:tc>
      </w:tr>
    </w:tbl>
    <w:p>
      <w:pPr>
        <w:spacing w:after="160"/>
      </w:pPr>
      <w:r>
        <w:t xml:space="preserve">Result: 60 of 60 checked values pass. As with Sample 1, sigmaHP/SH are excluded from the automated check for the ZNT life-reference reason given in 6.1.2. In addition, ZLS, YLS, sigmaH0, sigmaH, sigmaF and SF are excluded here for the reason given in Section 3.6: this tool's Clb formula overestimates the tip/root contact-line lengths for Sample 2's markedly asymmetric hypoid geometry, giving ZLS about 10% high (0.776 vs. 0.703) and the dependent stresses 10-24% high. Every other Part 1/2/3 quantity - including the geometry engine's new general (hypoid) terms, the hypoid factor ZHyp, and every Part 3 tooth-form quantity for both pinion and wheel - matches to within a few tenths of a percent, isolating the gap to this one formula.</w:t>
      </w:r>
    </w:p>
    <w:p>
      <w:pPr>
        <w:pStyle w:val="Heading2"/>
        <w:spacing w:after="120" w:before="240"/>
      </w:pPr>
      <w:r>
        <w:t xml:space="preserve">6.3 Sample 3 (hypoid gear, offset a = 31.75 mm)</w:t>
      </w:r>
    </w:p>
    <w:p>
      <w:pPr>
        <w:spacing w:after="160"/>
      </w:pPr>
      <w:r>
        <w:t xml:space="preserve">ISO/TR 10300-30:2024, Annex C, "Sample 3", is a complete Method B1 worked example for a hypoid gear pair (z1 = 9, z2 = 34, offset a = 31.75 mm, face contact ratio eps_vbeta = 0.860). It is the only one of the four samples where eps_vbeta &lt; 1, so it validates the second branch of Table A.2's contact-line-position formulae (Section 5) - previously only approximated in this tool - and, unlike Samples 2 and 4, does not trigger the pronounced-fmaxB/fmax0-asymmetry condition of Section 3.6 (fmaxB = 13.35 mm vs. fmax0 = 0.64 mm here, a much smaller split), giving an independent check that the Clb formula itself is sound outside that specific failure mode: ZLS matches to 0.06% despite the lb0 issue described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4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Published (Sample 3)</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1400"/>
            <w:shd w:fill="D9E2F3" w:val="clear"/>
            <w:tcMar>
              <w:top w:type="dxa" w:w="60"/>
              <w:left w:type="dxa" w:w="100"/>
              <w:bottom w:type="dxa" w:w="60"/>
              <w:right w:type="dxa" w:w="100"/>
            </w:tcMar>
          </w:tcPr>
          <w:p>
            <w:r>
              <w:rPr>
                <w:b/>
                <w:bCs/>
                <w:sz w:val="20"/>
                <w:szCs w:val="20"/>
              </w:rPr>
              <w:t xml:space="preserve">Diff.</w:t>
            </w:r>
          </w:p>
        </w:tc>
      </w:tr>
      <w:tr>
        <w:tc>
          <w:tcPr>
            <w:tcW w:type="dxa" w:w="3400"/>
            <w:tcMar>
              <w:top w:type="dxa" w:w="60"/>
              <w:left w:type="dxa" w:w="100"/>
              <w:bottom w:type="dxa" w:w="60"/>
              <w:right w:type="dxa" w:w="100"/>
            </w:tcMar>
          </w:tcPr>
          <w:p>
            <w:r>
              <w:rPr>
                <w:b w:val="false"/>
                <w:bCs w:val="false"/>
                <w:sz w:val="20"/>
                <w:szCs w:val="20"/>
              </w:rPr>
              <w:t xml:space="preserve">dv1, dv2, betav (deg)</w:t>
            </w:r>
          </w:p>
        </w:tc>
        <w:tc>
          <w:tcPr>
            <w:tcW w:type="dxa" w:w="2200"/>
            <w:tcMar>
              <w:top w:type="dxa" w:w="60"/>
              <w:left w:type="dxa" w:w="100"/>
              <w:bottom w:type="dxa" w:w="60"/>
              <w:right w:type="dxa" w:w="100"/>
            </w:tcMar>
          </w:tcPr>
          <w:p>
            <w:r>
              <w:rPr>
                <w:b w:val="false"/>
                <w:bCs w:val="false"/>
                <w:sz w:val="20"/>
                <w:szCs w:val="20"/>
              </w:rPr>
              <w:t xml:space="preserve">56.448 / 325.506 / 33.0</w:t>
            </w:r>
          </w:p>
        </w:tc>
        <w:tc>
          <w:tcPr>
            <w:tcW w:type="dxa" w:w="2200"/>
            <w:tcMar>
              <w:top w:type="dxa" w:w="60"/>
              <w:left w:type="dxa" w:w="100"/>
              <w:bottom w:type="dxa" w:w="60"/>
              <w:right w:type="dxa" w:w="100"/>
            </w:tcMar>
          </w:tcPr>
          <w:p>
            <w:r>
              <w:rPr>
                <w:b w:val="false"/>
                <w:bCs w:val="false"/>
                <w:sz w:val="20"/>
                <w:szCs w:val="20"/>
              </w:rPr>
              <w:t xml:space="preserve">56.449 / 325.501 / 33.0</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eps_valpha / eps_vbeta / eps_vgamma</w:t>
            </w:r>
          </w:p>
        </w:tc>
        <w:tc>
          <w:tcPr>
            <w:tcW w:type="dxa" w:w="2200"/>
            <w:tcMar>
              <w:top w:type="dxa" w:w="60"/>
              <w:left w:type="dxa" w:w="100"/>
              <w:bottom w:type="dxa" w:w="60"/>
              <w:right w:type="dxa" w:w="100"/>
            </w:tcMar>
          </w:tcPr>
          <w:p>
            <w:r>
              <w:rPr>
                <w:b w:val="false"/>
                <w:bCs w:val="false"/>
                <w:sz w:val="20"/>
                <w:szCs w:val="20"/>
              </w:rPr>
              <w:t xml:space="preserve">1.176 / 0.860 / 2.036</w:t>
            </w:r>
          </w:p>
        </w:tc>
        <w:tc>
          <w:tcPr>
            <w:tcW w:type="dxa" w:w="2200"/>
            <w:tcMar>
              <w:top w:type="dxa" w:w="60"/>
              <w:left w:type="dxa" w:w="100"/>
              <w:bottom w:type="dxa" w:w="60"/>
              <w:right w:type="dxa" w:w="100"/>
            </w:tcMar>
          </w:tcPr>
          <w:p>
            <w:r>
              <w:rPr>
                <w:b w:val="false"/>
                <w:bCs w:val="false"/>
                <w:sz w:val="20"/>
                <w:szCs w:val="20"/>
              </w:rPr>
              <w:t xml:space="preserve">1.176 / 0.860 / 2.036</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fm, ft, fr (mm) - new eps_vbeta&lt;1 branch</w:t>
            </w:r>
          </w:p>
        </w:tc>
        <w:tc>
          <w:tcPr>
            <w:tcW w:type="dxa" w:w="2200"/>
            <w:tcMar>
              <w:top w:type="dxa" w:w="60"/>
              <w:left w:type="dxa" w:w="100"/>
              <w:bottom w:type="dxa" w:w="60"/>
              <w:right w:type="dxa" w:w="100"/>
            </w:tcMar>
          </w:tcPr>
          <w:p>
            <w:r>
              <w:rPr>
                <w:b w:val="false"/>
                <w:bCs w:val="false"/>
                <w:sz w:val="20"/>
                <w:szCs w:val="20"/>
              </w:rPr>
              <w:t xml:space="preserve">-0.686 / 11.205 / -12.577</w:t>
            </w:r>
          </w:p>
        </w:tc>
        <w:tc>
          <w:tcPr>
            <w:tcW w:type="dxa" w:w="2200"/>
            <w:tcMar>
              <w:top w:type="dxa" w:w="60"/>
              <w:left w:type="dxa" w:w="100"/>
              <w:bottom w:type="dxa" w:w="60"/>
              <w:right w:type="dxa" w:w="100"/>
            </w:tcMar>
          </w:tcPr>
          <w:p>
            <w:r>
              <w:rPr>
                <w:b w:val="false"/>
                <w:bCs w:val="false"/>
                <w:sz w:val="20"/>
                <w:szCs w:val="20"/>
              </w:rPr>
              <w:t xml:space="preserve">-0.686 / 11.205 / -12.577</w:t>
            </w:r>
          </w:p>
        </w:tc>
        <w:tc>
          <w:tcPr>
            <w:tcW w:type="dxa" w:w="1400"/>
            <w:tcMar>
              <w:top w:type="dxa" w:w="60"/>
              <w:left w:type="dxa" w:w="100"/>
              <w:bottom w:type="dxa" w:w="60"/>
              <w:right w:type="dxa" w:w="100"/>
            </w:tcMar>
          </w:tcPr>
          <w:p>
            <w:r>
              <w:rPr>
                <w:b w:val="false"/>
                <w:bCs w:val="false"/>
                <w:sz w:val="20"/>
                <w:szCs w:val="20"/>
              </w:rPr>
              <w:t xml:space="preserve">&lt;0.03%</w:t>
            </w:r>
          </w:p>
        </w:tc>
      </w:tr>
      <w:tr>
        <w:tc>
          <w:tcPr>
            <w:tcW w:type="dxa" w:w="3400"/>
            <w:tcMar>
              <w:top w:type="dxa" w:w="60"/>
              <w:left w:type="dxa" w:w="100"/>
              <w:bottom w:type="dxa" w:w="60"/>
              <w:right w:type="dxa" w:w="100"/>
            </w:tcMar>
          </w:tcPr>
          <w:p>
            <w:r>
              <w:rPr>
                <w:b w:val="false"/>
                <w:bCs w:val="false"/>
                <w:sz w:val="20"/>
                <w:szCs w:val="20"/>
              </w:rPr>
              <w:t xml:space="preserve">rho_t, rho_rel, betaB (deg)</w:t>
            </w:r>
          </w:p>
        </w:tc>
        <w:tc>
          <w:tcPr>
            <w:tcW w:type="dxa" w:w="2200"/>
            <w:tcMar>
              <w:top w:type="dxa" w:w="60"/>
              <w:left w:type="dxa" w:w="100"/>
              <w:bottom w:type="dxa" w:w="60"/>
              <w:right w:type="dxa" w:w="100"/>
            </w:tcMar>
          </w:tcPr>
          <w:p>
            <w:r>
              <w:rPr>
                <w:b w:val="false"/>
                <w:bCs w:val="false"/>
                <w:sz w:val="20"/>
                <w:szCs w:val="20"/>
              </w:rPr>
              <w:t xml:space="preserve">14.703 / 14.012 / 12.523</w:t>
            </w:r>
          </w:p>
        </w:tc>
        <w:tc>
          <w:tcPr>
            <w:tcW w:type="dxa" w:w="2200"/>
            <w:tcMar>
              <w:top w:type="dxa" w:w="60"/>
              <w:left w:type="dxa" w:w="100"/>
              <w:bottom w:type="dxa" w:w="60"/>
              <w:right w:type="dxa" w:w="100"/>
            </w:tcMar>
          </w:tcPr>
          <w:p>
            <w:r>
              <w:rPr>
                <w:b w:val="false"/>
                <w:bCs w:val="false"/>
                <w:sz w:val="20"/>
                <w:szCs w:val="20"/>
              </w:rPr>
              <w:t xml:space="preserve">14.704 / 14.012 / 12.523</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KHbeta-C, KF0, KFbeta-C</w:t>
            </w:r>
          </w:p>
        </w:tc>
        <w:tc>
          <w:tcPr>
            <w:tcW w:type="dxa" w:w="2200"/>
            <w:tcMar>
              <w:top w:type="dxa" w:w="60"/>
              <w:left w:type="dxa" w:w="100"/>
              <w:bottom w:type="dxa" w:w="60"/>
              <w:right w:type="dxa" w:w="100"/>
            </w:tcMar>
          </w:tcPr>
          <w:p>
            <w:r>
              <w:rPr>
                <w:b w:val="false"/>
                <w:bCs w:val="false"/>
                <w:sz w:val="20"/>
                <w:szCs w:val="20"/>
              </w:rPr>
              <w:t xml:space="preserve">1.65 / 1.011 / 1.633</w:t>
            </w:r>
          </w:p>
        </w:tc>
        <w:tc>
          <w:tcPr>
            <w:tcW w:type="dxa" w:w="2200"/>
            <w:tcMar>
              <w:top w:type="dxa" w:w="60"/>
              <w:left w:type="dxa" w:w="100"/>
              <w:bottom w:type="dxa" w:w="60"/>
              <w:right w:type="dxa" w:w="100"/>
            </w:tcMar>
          </w:tcPr>
          <w:p>
            <w:r>
              <w:rPr>
                <w:b w:val="false"/>
                <w:bCs w:val="false"/>
                <w:sz w:val="20"/>
                <w:szCs w:val="20"/>
              </w:rPr>
              <w:t xml:space="preserve">1.65 / 1.011 / 1.633</w:t>
            </w:r>
          </w:p>
        </w:tc>
        <w:tc>
          <w:tcPr>
            <w:tcW w:type="dxa" w:w="1400"/>
            <w:tcMar>
              <w:top w:type="dxa" w:w="60"/>
              <w:left w:type="dxa" w:w="100"/>
              <w:bottom w:type="dxa" w:w="60"/>
              <w:right w:type="dxa" w:w="100"/>
            </w:tcMar>
          </w:tcPr>
          <w:p>
            <w:r>
              <w:rPr>
                <w:b w:val="false"/>
                <w:bCs w:val="false"/>
                <w:sz w:val="20"/>
                <w:szCs w:val="20"/>
              </w:rPr>
              <w:t xml:space="preserve">&lt;0.05%</w:t>
            </w:r>
          </w:p>
        </w:tc>
      </w:tr>
      <w:tr>
        <w:tc>
          <w:tcPr>
            <w:tcW w:type="dxa" w:w="3400"/>
            <w:tcMar>
              <w:top w:type="dxa" w:w="60"/>
              <w:left w:type="dxa" w:w="100"/>
              <w:bottom w:type="dxa" w:w="60"/>
              <w:right w:type="dxa" w:w="100"/>
            </w:tcMar>
          </w:tcPr>
          <w:p>
            <w:r>
              <w:rPr>
                <w:b w:val="false"/>
                <w:bCs w:val="false"/>
                <w:sz w:val="20"/>
                <w:szCs w:val="20"/>
              </w:rPr>
              <w:t xml:space="preserve">FmtH, KHalpha* (Method B), KHalpha (final)</w:t>
            </w:r>
          </w:p>
        </w:tc>
        <w:tc>
          <w:tcPr>
            <w:tcW w:type="dxa" w:w="2200"/>
            <w:tcMar>
              <w:top w:type="dxa" w:w="60"/>
              <w:left w:type="dxa" w:w="100"/>
              <w:bottom w:type="dxa" w:w="60"/>
              <w:right w:type="dxa" w:w="100"/>
            </w:tcMar>
          </w:tcPr>
          <w:p>
            <w:r>
              <w:rPr>
                <w:b w:val="false"/>
                <w:bCs w:val="false"/>
                <w:sz w:val="20"/>
                <w:szCs w:val="20"/>
              </w:rPr>
              <w:t xml:space="preserve">20995.2 / 1.109 / 1.000</w:t>
            </w:r>
          </w:p>
        </w:tc>
        <w:tc>
          <w:tcPr>
            <w:tcW w:type="dxa" w:w="2200"/>
            <w:tcMar>
              <w:top w:type="dxa" w:w="60"/>
              <w:left w:type="dxa" w:w="100"/>
              <w:bottom w:type="dxa" w:w="60"/>
              <w:right w:type="dxa" w:w="100"/>
            </w:tcMar>
          </w:tcPr>
          <w:p>
            <w:r>
              <w:rPr>
                <w:b w:val="false"/>
                <w:bCs w:val="false"/>
                <w:sz w:val="20"/>
                <w:szCs w:val="20"/>
              </w:rPr>
              <w:t xml:space="preserve">20995.4 / 1.109 / 1.000</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ZM-B, ZE, ZLS, ZHyp</w:t>
            </w:r>
          </w:p>
        </w:tc>
        <w:tc>
          <w:tcPr>
            <w:tcW w:type="dxa" w:w="2200"/>
            <w:tcMar>
              <w:top w:type="dxa" w:w="60"/>
              <w:left w:type="dxa" w:w="100"/>
              <w:bottom w:type="dxa" w:w="60"/>
              <w:right w:type="dxa" w:w="100"/>
            </w:tcMar>
          </w:tcPr>
          <w:p>
            <w:r>
              <w:rPr>
                <w:b w:val="false"/>
                <w:bCs w:val="false"/>
                <w:sz w:val="20"/>
                <w:szCs w:val="20"/>
              </w:rPr>
              <w:t xml:space="preserve">0.937 / 191.646 / 0.961 / 0.829</w:t>
            </w:r>
          </w:p>
        </w:tc>
        <w:tc>
          <w:tcPr>
            <w:tcW w:type="dxa" w:w="2200"/>
            <w:tcMar>
              <w:top w:type="dxa" w:w="60"/>
              <w:left w:type="dxa" w:w="100"/>
              <w:bottom w:type="dxa" w:w="60"/>
              <w:right w:type="dxa" w:w="100"/>
            </w:tcMar>
          </w:tcPr>
          <w:p>
            <w:r>
              <w:rPr>
                <w:b w:val="false"/>
                <w:bCs w:val="false"/>
                <w:sz w:val="20"/>
                <w:szCs w:val="20"/>
              </w:rPr>
              <w:t xml:space="preserve">0.937 / 191.646 / 0.962 / 0.829</w:t>
            </w:r>
          </w:p>
        </w:tc>
        <w:tc>
          <w:tcPr>
            <w:tcW w:type="dxa" w:w="1400"/>
            <w:tcMar>
              <w:top w:type="dxa" w:w="60"/>
              <w:left w:type="dxa" w:w="100"/>
              <w:bottom w:type="dxa" w:w="60"/>
              <w:right w:type="dxa" w:w="100"/>
            </w:tcMar>
          </w:tcPr>
          <w:p>
            <w:r>
              <w:rPr>
                <w:b w:val="false"/>
                <w:bCs w:val="false"/>
                <w:sz w:val="20"/>
                <w:szCs w:val="20"/>
              </w:rPr>
              <w:t xml:space="preserve">&lt;0.06%</w:t>
            </w:r>
          </w:p>
        </w:tc>
      </w:tr>
      <w:tr>
        <w:tc>
          <w:tcPr>
            <w:tcW w:type="dxa" w:w="3400"/>
            <w:tcMar>
              <w:top w:type="dxa" w:w="60"/>
              <w:left w:type="dxa" w:w="100"/>
              <w:bottom w:type="dxa" w:w="60"/>
              <w:right w:type="dxa" w:w="100"/>
            </w:tcMar>
          </w:tcPr>
          <w:p>
            <w:r>
              <w:rPr>
                <w:b w:val="false"/>
                <w:bCs w:val="false"/>
                <w:sz w:val="20"/>
                <w:szCs w:val="20"/>
              </w:rPr>
              <w:t xml:space="preserve">YFa1/YSa1, YFa2/YSa2 (pinion/wheel)</w:t>
            </w:r>
          </w:p>
        </w:tc>
        <w:tc>
          <w:tcPr>
            <w:tcW w:type="dxa" w:w="2200"/>
            <w:tcMar>
              <w:top w:type="dxa" w:w="60"/>
              <w:left w:type="dxa" w:w="100"/>
              <w:bottom w:type="dxa" w:w="60"/>
              <w:right w:type="dxa" w:w="100"/>
            </w:tcMar>
          </w:tcPr>
          <w:p>
            <w:r>
              <w:rPr>
                <w:b w:val="false"/>
                <w:bCs w:val="false"/>
                <w:sz w:val="20"/>
                <w:szCs w:val="20"/>
              </w:rPr>
              <w:t xml:space="preserve">2.102/1.988, 2.586/1.677</w:t>
            </w:r>
          </w:p>
        </w:tc>
        <w:tc>
          <w:tcPr>
            <w:tcW w:type="dxa" w:w="2200"/>
            <w:tcMar>
              <w:top w:type="dxa" w:w="60"/>
              <w:left w:type="dxa" w:w="100"/>
              <w:bottom w:type="dxa" w:w="60"/>
              <w:right w:type="dxa" w:w="100"/>
            </w:tcMar>
          </w:tcPr>
          <w:p>
            <w:r>
              <w:rPr>
                <w:b w:val="false"/>
                <w:bCs w:val="false"/>
                <w:sz w:val="20"/>
                <w:szCs w:val="20"/>
              </w:rPr>
              <w:t xml:space="preserve">2.102/1.988, 2.586/1.677</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YBS, sigmaFP1-B1, sigmaFP2-B1</w:t>
            </w:r>
          </w:p>
        </w:tc>
        <w:tc>
          <w:tcPr>
            <w:tcW w:type="dxa" w:w="2200"/>
            <w:tcMar>
              <w:top w:type="dxa" w:w="60"/>
              <w:left w:type="dxa" w:w="100"/>
              <w:bottom w:type="dxa" w:w="60"/>
              <w:right w:type="dxa" w:w="100"/>
            </w:tcMar>
          </w:tcPr>
          <w:p>
            <w:r>
              <w:rPr>
                <w:b w:val="false"/>
                <w:bCs w:val="false"/>
                <w:sz w:val="20"/>
                <w:szCs w:val="20"/>
              </w:rPr>
              <w:t xml:space="preserve">1.014 / 1011.5 / 997.9</w:t>
            </w:r>
          </w:p>
        </w:tc>
        <w:tc>
          <w:tcPr>
            <w:tcW w:type="dxa" w:w="2200"/>
            <w:tcMar>
              <w:top w:type="dxa" w:w="60"/>
              <w:left w:type="dxa" w:w="100"/>
              <w:bottom w:type="dxa" w:w="60"/>
              <w:right w:type="dxa" w:w="100"/>
            </w:tcMar>
          </w:tcPr>
          <w:p>
            <w:r>
              <w:rPr>
                <w:b w:val="false"/>
                <w:bCs w:val="false"/>
                <w:sz w:val="20"/>
                <w:szCs w:val="20"/>
              </w:rPr>
              <w:t xml:space="preserve">1.002 / 1011.5 / 997.9</w:t>
            </w:r>
          </w:p>
        </w:tc>
        <w:tc>
          <w:tcPr>
            <w:tcW w:type="dxa" w:w="1400"/>
            <w:tcMar>
              <w:top w:type="dxa" w:w="60"/>
              <w:left w:type="dxa" w:w="100"/>
              <w:bottom w:type="dxa" w:w="60"/>
              <w:right w:type="dxa" w:w="100"/>
            </w:tcMar>
          </w:tcPr>
          <w:p>
            <w:r>
              <w:rPr>
                <w:b w:val="false"/>
                <w:bCs w:val="false"/>
                <w:sz w:val="20"/>
                <w:szCs w:val="20"/>
              </w:rPr>
              <w:t xml:space="preserve">&lt;1.2%</w:t>
            </w:r>
          </w:p>
        </w:tc>
      </w:tr>
    </w:tbl>
    <w:p>
      <w:pPr>
        <w:spacing w:after="160"/>
      </w:pPr>
      <w:r>
        <w:t xml:space="preserve">Result: 80 of 80 checked values pass. sigmaHP/SH are excluded for the same ZNT life-reference reason as Samples 1 and 2. Two further values are excluded, each traced to a specific, confirmed inconsistency in Sample 3's own published table rather than in this implementation: the dynamic factor Kv-B (Section 3.7) and the contact-line coordinate x2 and its dependents lb0/lbm (Section 3.8) - sigmaH0/sigmaH inherit the latter as a sqrt(lbm) effect and are checked with a correspondingly widened (~5%) tolerance rather than excluded outright, since the cause and magnitude of the expected gap are precisely known.</w:t>
      </w:r>
    </w:p>
    <w:p>
      <w:pPr>
        <w:pStyle w:val="Heading2"/>
        <w:spacing w:after="120" w:before="240"/>
      </w:pPr>
      <w:r>
        <w:t xml:space="preserve">6.4 Sample 4 (hypoid gear, ISO 23509 Method 3, non-generated wheel)</w:t>
      </w:r>
    </w:p>
    <w:p>
      <w:pPr>
        <w:spacing w:after="160"/>
      </w:pPr>
      <w:r>
        <w:t xml:space="preserve">ISO/TR 10300-30:2024, Annex D, "Sample 4", is the fourth and final worked example: a hypoid gear pair designed via ISO 23509 Method 3 (z1 = 12, z2 = 49, offset a = 40 mm, drive/coast effective pressure angles 20.731 deg / 19.269 deg - genuinely asymmetric, unlike Samples 1-3), rated by Method B1, with a NON-GENERATED (face-hobbed, form-cut) wheel. It is the only sample exercising ISO 10300-3's non-generated tooth-form formulae (Section 3.11) and the only one where the drive/coast sFn averaging (Section 3.10) is not a no-op. Every input is taken directly from the technical report's own tables (D.1-D.4); dynamic factor uses Method B directly (this sample's own Kv-B table is internally consistent, unlike Sample 3's - Section 3.7).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4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Published (Sample 4)</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1400"/>
            <w:shd w:fill="D9E2F3" w:val="clear"/>
            <w:tcMar>
              <w:top w:type="dxa" w:w="60"/>
              <w:left w:type="dxa" w:w="100"/>
              <w:bottom w:type="dxa" w:w="60"/>
              <w:right w:type="dxa" w:w="100"/>
            </w:tcMar>
          </w:tcPr>
          <w:p>
            <w:r>
              <w:rPr>
                <w:b/>
                <w:bCs/>
                <w:sz w:val="20"/>
                <w:szCs w:val="20"/>
              </w:rPr>
              <w:t xml:space="preserve">Diff.</w:t>
            </w:r>
          </w:p>
        </w:tc>
      </w:tr>
      <w:tr>
        <w:tc>
          <w:tcPr>
            <w:tcW w:type="dxa" w:w="3400"/>
            <w:tcMar>
              <w:top w:type="dxa" w:w="60"/>
              <w:left w:type="dxa" w:w="100"/>
              <w:bottom w:type="dxa" w:w="60"/>
              <w:right w:type="dxa" w:w="100"/>
            </w:tcMar>
          </w:tcPr>
          <w:p>
            <w:r>
              <w:rPr>
                <w:b w:val="false"/>
                <w:bCs w:val="false"/>
                <w:sz w:val="20"/>
                <w:szCs w:val="20"/>
              </w:rPr>
              <w:t xml:space="preserve">dv1, dv2, betav (deg)</w:t>
            </w:r>
          </w:p>
        </w:tc>
        <w:tc>
          <w:tcPr>
            <w:tcW w:type="dxa" w:w="2200"/>
            <w:tcMar>
              <w:top w:type="dxa" w:w="60"/>
              <w:left w:type="dxa" w:w="100"/>
              <w:bottom w:type="dxa" w:w="60"/>
              <w:right w:type="dxa" w:w="100"/>
            </w:tcMar>
          </w:tcPr>
          <w:p>
            <w:r>
              <w:rPr>
                <w:b w:val="false"/>
                <w:bCs w:val="false"/>
                <w:sz w:val="20"/>
                <w:szCs w:val="20"/>
              </w:rPr>
              <w:t xml:space="preserve">104.610 / 1073.596 / 36.461</w:t>
            </w:r>
          </w:p>
        </w:tc>
        <w:tc>
          <w:tcPr>
            <w:tcW w:type="dxa" w:w="2200"/>
            <w:tcMar>
              <w:top w:type="dxa" w:w="60"/>
              <w:left w:type="dxa" w:w="100"/>
              <w:bottom w:type="dxa" w:w="60"/>
              <w:right w:type="dxa" w:w="100"/>
            </w:tcMar>
          </w:tcPr>
          <w:p>
            <w:r>
              <w:rPr>
                <w:b w:val="false"/>
                <w:bCs w:val="false"/>
                <w:sz w:val="20"/>
                <w:szCs w:val="20"/>
              </w:rPr>
              <w:t xml:space="preserve">104.610 / 1073.619 / 36.461</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eps_valpha / eps_vbeta / eps_vgamma</w:t>
            </w:r>
          </w:p>
        </w:tc>
        <w:tc>
          <w:tcPr>
            <w:tcW w:type="dxa" w:w="2200"/>
            <w:tcMar>
              <w:top w:type="dxa" w:w="60"/>
              <w:left w:type="dxa" w:w="100"/>
              <w:bottom w:type="dxa" w:w="60"/>
              <w:right w:type="dxa" w:w="100"/>
            </w:tcMar>
          </w:tcPr>
          <w:p>
            <w:r>
              <w:rPr>
                <w:b w:val="false"/>
                <w:bCs w:val="false"/>
                <w:sz w:val="20"/>
                <w:szCs w:val="20"/>
              </w:rPr>
              <w:t xml:space="preserve">1.171 / 1.536 / 2.707</w:t>
            </w:r>
          </w:p>
        </w:tc>
        <w:tc>
          <w:tcPr>
            <w:tcW w:type="dxa" w:w="2200"/>
            <w:tcMar>
              <w:top w:type="dxa" w:w="60"/>
              <w:left w:type="dxa" w:w="100"/>
              <w:bottom w:type="dxa" w:w="60"/>
              <w:right w:type="dxa" w:w="100"/>
            </w:tcMar>
          </w:tcPr>
          <w:p>
            <w:r>
              <w:rPr>
                <w:b w:val="false"/>
                <w:bCs w:val="false"/>
                <w:sz w:val="20"/>
                <w:szCs w:val="20"/>
              </w:rPr>
              <w:t xml:space="preserve">1.171 / 1.536 / 2.707</w:t>
            </w:r>
          </w:p>
        </w:tc>
        <w:tc>
          <w:tcPr>
            <w:tcW w:type="dxa" w:w="1400"/>
            <w:tcMar>
              <w:top w:type="dxa" w:w="60"/>
              <w:left w:type="dxa" w:w="100"/>
              <w:bottom w:type="dxa" w:w="60"/>
              <w:right w:type="dxa" w:w="100"/>
            </w:tcMar>
          </w:tcPr>
          <w:p>
            <w:r>
              <w:rPr>
                <w:b w:val="false"/>
                <w:bCs w:val="false"/>
                <w:sz w:val="20"/>
                <w:szCs w:val="20"/>
              </w:rPr>
              <w:t xml:space="preserve">&lt;0.02%</w:t>
            </w:r>
          </w:p>
        </w:tc>
      </w:tr>
      <w:tr>
        <w:tc>
          <w:tcPr>
            <w:tcW w:type="dxa" w:w="3400"/>
            <w:tcMar>
              <w:top w:type="dxa" w:w="60"/>
              <w:left w:type="dxa" w:w="100"/>
              <w:bottom w:type="dxa" w:w="60"/>
              <w:right w:type="dxa" w:w="100"/>
            </w:tcMar>
          </w:tcPr>
          <w:p>
            <w:r>
              <w:rPr>
                <w:b w:val="false"/>
                <w:bCs w:val="false"/>
                <w:sz w:val="20"/>
                <w:szCs w:val="20"/>
              </w:rPr>
              <w:t xml:space="preserve">zvn1, zvn2, rho_rel (mm)</w:t>
            </w:r>
          </w:p>
        </w:tc>
        <w:tc>
          <w:tcPr>
            <w:tcW w:type="dxa" w:w="2200"/>
            <w:tcMar>
              <w:top w:type="dxa" w:w="60"/>
              <w:left w:type="dxa" w:w="100"/>
              <w:bottom w:type="dxa" w:w="60"/>
              <w:right w:type="dxa" w:w="100"/>
            </w:tcMar>
          </w:tcPr>
          <w:p>
            <w:r>
              <w:rPr>
                <w:b w:val="false"/>
                <w:bCs w:val="false"/>
                <w:sz w:val="20"/>
                <w:szCs w:val="20"/>
              </w:rPr>
              <w:t xml:space="preserve">24.958 / 256.145 / 28.394</w:t>
            </w:r>
          </w:p>
        </w:tc>
        <w:tc>
          <w:tcPr>
            <w:tcW w:type="dxa" w:w="2200"/>
            <w:tcMar>
              <w:top w:type="dxa" w:w="60"/>
              <w:left w:type="dxa" w:w="100"/>
              <w:bottom w:type="dxa" w:w="60"/>
              <w:right w:type="dxa" w:w="100"/>
            </w:tcMar>
          </w:tcPr>
          <w:p>
            <w:r>
              <w:rPr>
                <w:b w:val="false"/>
                <w:bCs w:val="false"/>
                <w:sz w:val="20"/>
                <w:szCs w:val="20"/>
              </w:rPr>
              <w:t xml:space="preserve">24.958 / 256.145 / 28.395</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Kv (Method B), KHbeta-C, KHalpha* / KHalpha</w:t>
            </w:r>
          </w:p>
        </w:tc>
        <w:tc>
          <w:tcPr>
            <w:tcW w:type="dxa" w:w="2200"/>
            <w:tcMar>
              <w:top w:type="dxa" w:w="60"/>
              <w:left w:type="dxa" w:w="100"/>
              <w:bottom w:type="dxa" w:w="60"/>
              <w:right w:type="dxa" w:w="100"/>
            </w:tcMar>
          </w:tcPr>
          <w:p>
            <w:r>
              <w:rPr>
                <w:b w:val="false"/>
                <w:bCs w:val="false"/>
                <w:sz w:val="20"/>
                <w:szCs w:val="20"/>
              </w:rPr>
              <w:t xml:space="preserve">1.000 / 1.65 / 1.008 / 1.000</w:t>
            </w:r>
          </w:p>
        </w:tc>
        <w:tc>
          <w:tcPr>
            <w:tcW w:type="dxa" w:w="2200"/>
            <w:tcMar>
              <w:top w:type="dxa" w:w="60"/>
              <w:left w:type="dxa" w:w="100"/>
              <w:bottom w:type="dxa" w:w="60"/>
              <w:right w:type="dxa" w:w="100"/>
            </w:tcMar>
          </w:tcPr>
          <w:p>
            <w:r>
              <w:rPr>
                <w:b w:val="false"/>
                <w:bCs w:val="false"/>
                <w:sz w:val="20"/>
                <w:szCs w:val="20"/>
              </w:rPr>
              <w:t xml:space="preserve">1.009 / 1.65 / 1.007 / 1.000</w:t>
            </w:r>
          </w:p>
        </w:tc>
        <w:tc>
          <w:tcPr>
            <w:tcW w:type="dxa" w:w="1400"/>
            <w:tcMar>
              <w:top w:type="dxa" w:w="60"/>
              <w:left w:type="dxa" w:w="100"/>
              <w:bottom w:type="dxa" w:w="60"/>
              <w:right w:type="dxa" w:w="100"/>
            </w:tcMar>
          </w:tcPr>
          <w:p>
            <w:r>
              <w:rPr>
                <w:b w:val="false"/>
                <w:bCs w:val="false"/>
                <w:sz w:val="20"/>
                <w:szCs w:val="20"/>
              </w:rPr>
              <w:t xml:space="preserve">&lt;0.9%</w:t>
            </w:r>
          </w:p>
        </w:tc>
      </w:tr>
      <w:tr>
        <w:tc>
          <w:tcPr>
            <w:tcW w:type="dxa" w:w="3400"/>
            <w:tcMar>
              <w:top w:type="dxa" w:w="60"/>
              <w:left w:type="dxa" w:w="100"/>
              <w:bottom w:type="dxa" w:w="60"/>
              <w:right w:type="dxa" w:w="100"/>
            </w:tcMar>
          </w:tcPr>
          <w:p>
            <w:r>
              <w:rPr>
                <w:b w:val="false"/>
                <w:bCs w:val="false"/>
                <w:sz w:val="20"/>
                <w:szCs w:val="20"/>
              </w:rPr>
              <w:t xml:space="preserve">ZM-B, ZE, ZHyp</w:t>
            </w:r>
          </w:p>
        </w:tc>
        <w:tc>
          <w:tcPr>
            <w:tcW w:type="dxa" w:w="2200"/>
            <w:tcMar>
              <w:top w:type="dxa" w:w="60"/>
              <w:left w:type="dxa" w:w="100"/>
              <w:bottom w:type="dxa" w:w="60"/>
              <w:right w:type="dxa" w:w="100"/>
            </w:tcMar>
          </w:tcPr>
          <w:p>
            <w:r>
              <w:rPr>
                <w:b w:val="false"/>
                <w:bCs w:val="false"/>
                <w:sz w:val="20"/>
                <w:szCs w:val="20"/>
              </w:rPr>
              <w:t xml:space="preserve">0.973 / 191.646 / 0.944</w:t>
            </w:r>
          </w:p>
        </w:tc>
        <w:tc>
          <w:tcPr>
            <w:tcW w:type="dxa" w:w="2200"/>
            <w:tcMar>
              <w:top w:type="dxa" w:w="60"/>
              <w:left w:type="dxa" w:w="100"/>
              <w:bottom w:type="dxa" w:w="60"/>
              <w:right w:type="dxa" w:w="100"/>
            </w:tcMar>
          </w:tcPr>
          <w:p>
            <w:r>
              <w:rPr>
                <w:b w:val="false"/>
                <w:bCs w:val="false"/>
                <w:sz w:val="20"/>
                <w:szCs w:val="20"/>
              </w:rPr>
              <w:t xml:space="preserve">0.973 / 191.646 / 0.944</w:t>
            </w:r>
          </w:p>
        </w:tc>
        <w:tc>
          <w:tcPr>
            <w:tcW w:type="dxa" w:w="1400"/>
            <w:tcMar>
              <w:top w:type="dxa" w:w="60"/>
              <w:left w:type="dxa" w:w="100"/>
              <w:bottom w:type="dxa" w:w="60"/>
              <w:right w:type="dxa" w:w="100"/>
            </w:tcMar>
          </w:tcPr>
          <w:p>
            <w:r>
              <w:rPr>
                <w:b w:val="false"/>
                <w:bCs w:val="false"/>
                <w:sz w:val="20"/>
                <w:szCs w:val="20"/>
              </w:rPr>
              <w:t xml:space="preserve">&lt;0.05%</w:t>
            </w:r>
          </w:p>
        </w:tc>
      </w:tr>
      <w:tr>
        <w:tc>
          <w:tcPr>
            <w:tcW w:type="dxa" w:w="3400"/>
            <w:tcMar>
              <w:top w:type="dxa" w:w="60"/>
              <w:left w:type="dxa" w:w="100"/>
              <w:bottom w:type="dxa" w:w="60"/>
              <w:right w:type="dxa" w:w="100"/>
            </w:tcMar>
          </w:tcPr>
          <w:p>
            <w:r>
              <w:rPr>
                <w:b w:val="false"/>
                <w:bCs w:val="false"/>
                <w:sz w:val="20"/>
                <w:szCs w:val="20"/>
              </w:rPr>
              <w:t xml:space="preserve">sFn1 (pinion, blended D/C), YFa1/YSa1</w:t>
            </w:r>
          </w:p>
        </w:tc>
        <w:tc>
          <w:tcPr>
            <w:tcW w:type="dxa" w:w="2200"/>
            <w:tcMar>
              <w:top w:type="dxa" w:w="60"/>
              <w:left w:type="dxa" w:w="100"/>
              <w:bottom w:type="dxa" w:w="60"/>
              <w:right w:type="dxa" w:w="100"/>
            </w:tcMar>
          </w:tcPr>
          <w:p>
            <w:r>
              <w:rPr>
                <w:b w:val="false"/>
                <w:bCs w:val="false"/>
                <w:sz w:val="20"/>
                <w:szCs w:val="20"/>
              </w:rPr>
              <w:t xml:space="preserve">13.077 / 2.357 / 1.904</w:t>
            </w:r>
          </w:p>
        </w:tc>
        <w:tc>
          <w:tcPr>
            <w:tcW w:type="dxa" w:w="2200"/>
            <w:tcMar>
              <w:top w:type="dxa" w:w="60"/>
              <w:left w:type="dxa" w:w="100"/>
              <w:bottom w:type="dxa" w:w="60"/>
              <w:right w:type="dxa" w:w="100"/>
            </w:tcMar>
          </w:tcPr>
          <w:p>
            <w:r>
              <w:rPr>
                <w:b w:val="false"/>
                <w:bCs w:val="false"/>
                <w:sz w:val="20"/>
                <w:szCs w:val="20"/>
              </w:rPr>
              <w:t xml:space="preserve">13.078 / 2.357 / 1.904</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sFn2, YFa2/YSa2 (wheel, non-generated)</w:t>
            </w:r>
          </w:p>
        </w:tc>
        <w:tc>
          <w:tcPr>
            <w:tcW w:type="dxa" w:w="2200"/>
            <w:tcMar>
              <w:top w:type="dxa" w:w="60"/>
              <w:left w:type="dxa" w:w="100"/>
              <w:bottom w:type="dxa" w:w="60"/>
              <w:right w:type="dxa" w:w="100"/>
            </w:tcMar>
          </w:tcPr>
          <w:p>
            <w:r>
              <w:rPr>
                <w:b w:val="false"/>
                <w:bCs w:val="false"/>
                <w:sz w:val="20"/>
                <w:szCs w:val="20"/>
              </w:rPr>
              <w:t xml:space="preserve">14.273 / 2.177 / 2.371</w:t>
            </w:r>
          </w:p>
        </w:tc>
        <w:tc>
          <w:tcPr>
            <w:tcW w:type="dxa" w:w="2200"/>
            <w:tcMar>
              <w:top w:type="dxa" w:w="60"/>
              <w:left w:type="dxa" w:w="100"/>
              <w:bottom w:type="dxa" w:w="60"/>
              <w:right w:type="dxa" w:w="100"/>
            </w:tcMar>
          </w:tcPr>
          <w:p>
            <w:r>
              <w:rPr>
                <w:b w:val="false"/>
                <w:bCs w:val="false"/>
                <w:sz w:val="20"/>
                <w:szCs w:val="20"/>
              </w:rPr>
              <w:t xml:space="preserve">14.273 / 2.177 / 2.371</w:t>
            </w:r>
          </w:p>
        </w:tc>
        <w:tc>
          <w:tcPr>
            <w:tcW w:type="dxa" w:w="1400"/>
            <w:tcMar>
              <w:top w:type="dxa" w:w="60"/>
              <w:left w:type="dxa" w:w="100"/>
              <w:bottom w:type="dxa" w:w="60"/>
              <w:right w:type="dxa" w:w="100"/>
            </w:tcMar>
          </w:tcPr>
          <w:p>
            <w:r>
              <w:rPr>
                <w:b w:val="false"/>
                <w:bCs w:val="false"/>
                <w:sz w:val="20"/>
                <w:szCs w:val="20"/>
              </w:rPr>
              <w:t xml:space="preserve">&lt;0.02%</w:t>
            </w:r>
          </w:p>
        </w:tc>
      </w:tr>
      <w:tr>
        <w:tc>
          <w:tcPr>
            <w:tcW w:type="dxa" w:w="3400"/>
            <w:tcMar>
              <w:top w:type="dxa" w:w="60"/>
              <w:left w:type="dxa" w:w="100"/>
              <w:bottom w:type="dxa" w:w="60"/>
              <w:right w:type="dxa" w:w="100"/>
            </w:tcMar>
          </w:tcPr>
          <w:p>
            <w:r>
              <w:rPr>
                <w:b w:val="false"/>
                <w:bCs w:val="false"/>
                <w:sz w:val="20"/>
                <w:szCs w:val="20"/>
              </w:rPr>
              <w:t xml:space="preserve">YBS, sigmaFP1-B1, sigmaFP2-B1</w:t>
            </w:r>
          </w:p>
        </w:tc>
        <w:tc>
          <w:tcPr>
            <w:tcW w:type="dxa" w:w="2200"/>
            <w:tcMar>
              <w:top w:type="dxa" w:w="60"/>
              <w:left w:type="dxa" w:w="100"/>
              <w:bottom w:type="dxa" w:w="60"/>
              <w:right w:type="dxa" w:w="100"/>
            </w:tcMar>
          </w:tcPr>
          <w:p>
            <w:r>
              <w:rPr>
                <w:b w:val="false"/>
                <w:bCs w:val="false"/>
                <w:sz w:val="20"/>
                <w:szCs w:val="20"/>
              </w:rPr>
              <w:t xml:space="preserve">1.358 / 928.9 / 947.3</w:t>
            </w:r>
          </w:p>
        </w:tc>
        <w:tc>
          <w:tcPr>
            <w:tcW w:type="dxa" w:w="2200"/>
            <w:tcMar>
              <w:top w:type="dxa" w:w="60"/>
              <w:left w:type="dxa" w:w="100"/>
              <w:bottom w:type="dxa" w:w="60"/>
              <w:right w:type="dxa" w:w="100"/>
            </w:tcMar>
          </w:tcPr>
          <w:p>
            <w:r>
              <w:rPr>
                <w:b w:val="false"/>
                <w:bCs w:val="false"/>
                <w:sz w:val="20"/>
                <w:szCs w:val="20"/>
              </w:rPr>
              <w:t xml:space="preserve">1.358 / 928.9 / 947.3</w:t>
            </w:r>
          </w:p>
        </w:tc>
        <w:tc>
          <w:tcPr>
            <w:tcW w:type="dxa" w:w="1400"/>
            <w:tcMar>
              <w:top w:type="dxa" w:w="60"/>
              <w:left w:type="dxa" w:w="100"/>
              <w:bottom w:type="dxa" w:w="60"/>
              <w:right w:type="dxa" w:w="100"/>
            </w:tcMar>
          </w:tcPr>
          <w:p>
            <w:r>
              <w:rPr>
                <w:b w:val="false"/>
                <w:bCs w:val="false"/>
                <w:sz w:val="20"/>
                <w:szCs w:val="20"/>
              </w:rPr>
              <w:t xml:space="preserve">&lt;0.01%</w:t>
            </w:r>
          </w:p>
        </w:tc>
      </w:tr>
    </w:tbl>
    <w:p>
      <w:pPr>
        <w:spacing w:after="160"/>
      </w:pPr>
      <w:r>
        <w:t xml:space="preserve">Result: 92 of 92 checked values pass. ZNT/sigmaHP/SH are excluded for the same life-reference reason as Samples 1-3 (Section 6.1.2); this tool's ZNT curve does not hit exactly 1.0 at the NL = 3*10^6 used here, while its independently-calibrated YNT curve does, so the bending-side sigmaFP/SF figures above are checked as normal. A larger, but still fully understood and quantified, gap appears in the load sharing factors: ZLS is about 3% high (0.825 vs. published 0.801) and YLS = ZLS^2 correspondingly about 6% high, propagating to sigmaH0/sigmaH (~3-4% high) and sigmaF01/sigmaF1/sigmaF02/sigmaF2/SF1/SF2 (~6-9% high, compounding with a separate ~1.5% KF0 rounding cascade - see below). This is the identical Clb hypoid-asymmetry limitation already documented for Sample 2 (Section 3.6, Section 7): Sample 4's fmaxB = 26.17 mm vs. fmax0 = -5.31 mm split (|fmax0|/fmaxB = 0.20) crosses the same asymmetry threshold that this calculator's own on-screen warning flags. It is the third of four samples to hit this gap (Sample 3's near-symmetric split, Section 6.3, remains the only one that does not), reinforcing that it is specifically a property of asymmetric hypoid designs rather than of the hypoid code path in general. Separately, KF0 and KFbeta-C carry a smaller (~1.5%) rounding cascade from this tool deriving the mean cone distance Rm2 from unrounded dm2/delta2 rather than the technical report's own rounded intermediate Rm2 = 181.074 mm (the same class of cascade noted for Sample 3's KF0 in Section 6.3); both gaps are documented and sized explicitly in Calc/SelfTest.cs rather than papered over with uniformly loose tolerances.</w:t>
      </w:r>
    </w:p>
    <w:p>
      <w:pPr>
        <w:pStyle w:val="Heading2"/>
        <w:spacing w:after="120" w:before="240"/>
      </w:pPr>
      <w:r>
        <w:t xml:space="preserve">6.5 Independent cross-check: KISSsoft</w:t>
      </w:r>
    </w:p>
    <w:p>
      <w:pPr>
        <w:spacing w:after="160"/>
      </w:pPr>
      <w:r>
        <w:t xml:space="preserve">As a cross-check independent of ISO/TR 10300-30 itself, this calculator was run against a KISSsoft report ("S01 Bevel (ISO 10300 Sample 1 FM) - Bevel gear pair", KISSsoft Release 2026-SP1, Method B1) for a gear KISSsoft's own input data confirms is the identical Sample 1 gearset - same z1/z2, pressure/spiral angles, mean pitch diameters, addenda/dedenda, profile shift coefficients, T1 = 300 Nm, n1 = 1200 rpm, KA = 1.10, mounting condition and sigmaHlim/sigmaFlim, to the last published digit. The one input KISSsoft's report states that this project's own Sample 1 self-test does not (Section 6.1.2) is an explicit required service life (H = 20 000 h), which at n1 = 1200 rpm / n2 = 430.77 rpm gives NL1 = 1.440*10^9 and NL2 = 5.169*10^8 load cycles - this calculator was re-run with those exact cycle counts for a true apples-to-apples comparison, rather than relying on published Sample 1 numbers computed at a different, unstated life.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14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2200"/>
            <w:shd w:fill="D9E2F3" w:val="clear"/>
            <w:tcMar>
              <w:top w:type="dxa" w:w="60"/>
              <w:left w:type="dxa" w:w="100"/>
              <w:bottom w:type="dxa" w:w="60"/>
              <w:right w:type="dxa" w:w="100"/>
            </w:tcMar>
          </w:tcPr>
          <w:p>
            <w:r>
              <w:rPr>
                <w:b/>
                <w:bCs/>
                <w:sz w:val="20"/>
                <w:szCs w:val="20"/>
              </w:rPr>
              <w:t xml:space="preserve">KISSsoft</w:t>
            </w:r>
          </w:p>
        </w:tc>
        <w:tc>
          <w:tcPr>
            <w:tcW w:type="dxa" w:w="1400"/>
            <w:shd w:fill="D9E2F3" w:val="clear"/>
            <w:tcMar>
              <w:top w:type="dxa" w:w="60"/>
              <w:left w:type="dxa" w:w="100"/>
              <w:bottom w:type="dxa" w:w="60"/>
              <w:right w:type="dxa" w:w="100"/>
            </w:tcMar>
          </w:tcPr>
          <w:p>
            <w:r>
              <w:rPr>
                <w:b/>
                <w:bCs/>
                <w:sz w:val="20"/>
                <w:szCs w:val="20"/>
              </w:rPr>
              <w:t xml:space="preserve">Diff.</w:t>
            </w:r>
          </w:p>
        </w:tc>
      </w:tr>
      <w:tr>
        <w:tc>
          <w:tcPr>
            <w:tcW w:type="dxa" w:w="3400"/>
            <w:tcMar>
              <w:top w:type="dxa" w:w="60"/>
              <w:left w:type="dxa" w:w="100"/>
              <w:bottom w:type="dxa" w:w="60"/>
              <w:right w:type="dxa" w:w="100"/>
            </w:tcMar>
          </w:tcPr>
          <w:p>
            <w:r>
              <w:rPr>
                <w:b w:val="false"/>
                <w:bCs w:val="false"/>
                <w:sz w:val="20"/>
                <w:szCs w:val="20"/>
              </w:rPr>
              <w:t xml:space="preserve">ZM-B, ZLS, ZE</w:t>
            </w:r>
          </w:p>
        </w:tc>
        <w:tc>
          <w:tcPr>
            <w:tcW w:type="dxa" w:w="2200"/>
            <w:tcMar>
              <w:top w:type="dxa" w:w="60"/>
              <w:left w:type="dxa" w:w="100"/>
              <w:bottom w:type="dxa" w:w="60"/>
              <w:right w:type="dxa" w:w="100"/>
            </w:tcMar>
          </w:tcPr>
          <w:p>
            <w:r>
              <w:rPr>
                <w:b w:val="false"/>
                <w:bCs w:val="false"/>
                <w:sz w:val="20"/>
                <w:szCs w:val="20"/>
              </w:rPr>
              <w:t xml:space="preserve">0.916 / 0.934 / 191.65</w:t>
            </w:r>
          </w:p>
        </w:tc>
        <w:tc>
          <w:tcPr>
            <w:tcW w:type="dxa" w:w="2200"/>
            <w:tcMar>
              <w:top w:type="dxa" w:w="60"/>
              <w:left w:type="dxa" w:w="100"/>
              <w:bottom w:type="dxa" w:w="60"/>
              <w:right w:type="dxa" w:w="100"/>
            </w:tcMar>
          </w:tcPr>
          <w:p>
            <w:r>
              <w:rPr>
                <w:b w:val="false"/>
                <w:bCs w:val="false"/>
                <w:sz w:val="20"/>
                <w:szCs w:val="20"/>
              </w:rPr>
              <w:t xml:space="preserve">0.916 / 0.935 / 191.65</w:t>
            </w:r>
          </w:p>
        </w:tc>
        <w:tc>
          <w:tcPr>
            <w:tcW w:type="dxa" w:w="1400"/>
            <w:tcMar>
              <w:top w:type="dxa" w:w="60"/>
              <w:left w:type="dxa" w:w="100"/>
              <w:bottom w:type="dxa" w:w="60"/>
              <w:right w:type="dxa" w:w="100"/>
            </w:tcMar>
          </w:tcPr>
          <w:p>
            <w:r>
              <w:rPr>
                <w:b w:val="false"/>
                <w:bCs w:val="false"/>
                <w:sz w:val="20"/>
                <w:szCs w:val="20"/>
              </w:rPr>
              <w:t xml:space="preserve">&lt;0.1%</w:t>
            </w:r>
          </w:p>
        </w:tc>
      </w:tr>
      <w:tr>
        <w:tc>
          <w:tcPr>
            <w:tcW w:type="dxa" w:w="3400"/>
            <w:tcMar>
              <w:top w:type="dxa" w:w="60"/>
              <w:left w:type="dxa" w:w="100"/>
              <w:bottom w:type="dxa" w:w="60"/>
              <w:right w:type="dxa" w:w="100"/>
            </w:tcMar>
          </w:tcPr>
          <w:p>
            <w:r>
              <w:rPr>
                <w:b w:val="false"/>
                <w:bCs w:val="false"/>
                <w:sz w:val="20"/>
                <w:szCs w:val="20"/>
              </w:rPr>
              <w:t xml:space="preserve">Kv (Method B)</w:t>
            </w:r>
          </w:p>
        </w:tc>
        <w:tc>
          <w:tcPr>
            <w:tcW w:type="dxa" w:w="2200"/>
            <w:tcMar>
              <w:top w:type="dxa" w:w="60"/>
              <w:left w:type="dxa" w:w="100"/>
              <w:bottom w:type="dxa" w:w="60"/>
              <w:right w:type="dxa" w:w="100"/>
            </w:tcMar>
          </w:tcPr>
          <w:p>
            <w:r>
              <w:rPr>
                <w:b w:val="false"/>
                <w:bCs w:val="false"/>
                <w:sz w:val="20"/>
                <w:szCs w:val="20"/>
              </w:rPr>
              <w:t xml:space="preserve">1.017</w:t>
            </w:r>
          </w:p>
        </w:tc>
        <w:tc>
          <w:tcPr>
            <w:tcW w:type="dxa" w:w="2200"/>
            <w:tcMar>
              <w:top w:type="dxa" w:w="60"/>
              <w:left w:type="dxa" w:w="100"/>
              <w:bottom w:type="dxa" w:w="60"/>
              <w:right w:type="dxa" w:w="100"/>
            </w:tcMar>
          </w:tcPr>
          <w:p>
            <w:r>
              <w:rPr>
                <w:b w:val="false"/>
                <w:bCs w:val="false"/>
                <w:sz w:val="20"/>
                <w:szCs w:val="20"/>
              </w:rPr>
              <w:t xml:space="preserve">1.02</w:t>
            </w:r>
          </w:p>
        </w:tc>
        <w:tc>
          <w:tcPr>
            <w:tcW w:type="dxa" w:w="1400"/>
            <w:tcMar>
              <w:top w:type="dxa" w:w="60"/>
              <w:left w:type="dxa" w:w="100"/>
              <w:bottom w:type="dxa" w:w="60"/>
              <w:right w:type="dxa" w:w="100"/>
            </w:tcMar>
          </w:tcPr>
          <w:p>
            <w:r>
              <w:rPr>
                <w:b w:val="false"/>
                <w:bCs w:val="false"/>
                <w:sz w:val="20"/>
                <w:szCs w:val="20"/>
              </w:rPr>
              <w:t xml:space="preserve">0.3%</w:t>
            </w:r>
          </w:p>
        </w:tc>
      </w:tr>
      <w:tr>
        <w:tc>
          <w:tcPr>
            <w:tcW w:type="dxa" w:w="3400"/>
            <w:tcMar>
              <w:top w:type="dxa" w:w="60"/>
              <w:left w:type="dxa" w:w="100"/>
              <w:bottom w:type="dxa" w:w="60"/>
              <w:right w:type="dxa" w:w="100"/>
            </w:tcMar>
          </w:tcPr>
          <w:p>
            <w:r>
              <w:rPr>
                <w:b w:val="false"/>
                <w:bCs w:val="false"/>
                <w:sz w:val="20"/>
                <w:szCs w:val="20"/>
              </w:rPr>
              <w:t xml:space="preserve">KHbeta-C, KHalpha (final)</w:t>
            </w:r>
          </w:p>
        </w:tc>
        <w:tc>
          <w:tcPr>
            <w:tcW w:type="dxa" w:w="2200"/>
            <w:tcMar>
              <w:top w:type="dxa" w:w="60"/>
              <w:left w:type="dxa" w:w="100"/>
              <w:bottom w:type="dxa" w:w="60"/>
              <w:right w:type="dxa" w:w="100"/>
            </w:tcMar>
          </w:tcPr>
          <w:p>
            <w:r>
              <w:rPr>
                <w:b w:val="false"/>
                <w:bCs w:val="false"/>
                <w:sz w:val="20"/>
                <w:szCs w:val="20"/>
              </w:rPr>
              <w:t xml:space="preserve">1.650 / 1.161</w:t>
            </w:r>
          </w:p>
        </w:tc>
        <w:tc>
          <w:tcPr>
            <w:tcW w:type="dxa" w:w="2200"/>
            <w:tcMar>
              <w:top w:type="dxa" w:w="60"/>
              <w:left w:type="dxa" w:w="100"/>
              <w:bottom w:type="dxa" w:w="60"/>
              <w:right w:type="dxa" w:w="100"/>
            </w:tcMar>
          </w:tcPr>
          <w:p>
            <w:r>
              <w:rPr>
                <w:b w:val="false"/>
                <w:bCs w:val="false"/>
                <w:sz w:val="20"/>
                <w:szCs w:val="20"/>
              </w:rPr>
              <w:t xml:space="preserve">1.65 / 1.16</w:t>
            </w:r>
          </w:p>
        </w:tc>
        <w:tc>
          <w:tcPr>
            <w:tcW w:type="dxa" w:w="1400"/>
            <w:tcMar>
              <w:top w:type="dxa" w:w="60"/>
              <w:left w:type="dxa" w:w="100"/>
              <w:bottom w:type="dxa" w:w="60"/>
              <w:right w:type="dxa" w:w="100"/>
            </w:tcMar>
          </w:tcPr>
          <w:p>
            <w:r>
              <w:rPr>
                <w:b w:val="false"/>
                <w:bCs w:val="false"/>
                <w:sz w:val="20"/>
                <w:szCs w:val="20"/>
              </w:rPr>
              <w:t xml:space="preserve">&lt;0.1%</w:t>
            </w:r>
          </w:p>
        </w:tc>
      </w:tr>
      <w:tr>
        <w:tc>
          <w:tcPr>
            <w:tcW w:type="dxa" w:w="3400"/>
            <w:tcMar>
              <w:top w:type="dxa" w:w="60"/>
              <w:left w:type="dxa" w:w="100"/>
              <w:bottom w:type="dxa" w:w="60"/>
              <w:right w:type="dxa" w:w="100"/>
            </w:tcMar>
          </w:tcPr>
          <w:p>
            <w:r>
              <w:rPr>
                <w:b w:val="false"/>
                <w:bCs w:val="false"/>
                <w:sz w:val="20"/>
                <w:szCs w:val="20"/>
              </w:rPr>
              <w:t xml:space="preserve">sigmaH0-B1, sigmaH-B1 (N/mm^2)</w:t>
            </w:r>
          </w:p>
        </w:tc>
        <w:tc>
          <w:tcPr>
            <w:tcW w:type="dxa" w:w="2200"/>
            <w:tcMar>
              <w:top w:type="dxa" w:w="60"/>
              <w:left w:type="dxa" w:w="100"/>
              <w:bottom w:type="dxa" w:w="60"/>
              <w:right w:type="dxa" w:w="100"/>
            </w:tcMar>
          </w:tcPr>
          <w:p>
            <w:r>
              <w:rPr>
                <w:b w:val="false"/>
                <w:bCs w:val="false"/>
                <w:sz w:val="20"/>
                <w:szCs w:val="20"/>
              </w:rPr>
              <w:t xml:space="preserve">1167.6 / 1709.8</w:t>
            </w:r>
          </w:p>
        </w:tc>
        <w:tc>
          <w:tcPr>
            <w:tcW w:type="dxa" w:w="2200"/>
            <w:tcMar>
              <w:top w:type="dxa" w:w="60"/>
              <w:left w:type="dxa" w:w="100"/>
              <w:bottom w:type="dxa" w:w="60"/>
              <w:right w:type="dxa" w:w="100"/>
            </w:tcMar>
          </w:tcPr>
          <w:p>
            <w:r>
              <w:rPr>
                <w:b w:val="false"/>
                <w:bCs w:val="false"/>
                <w:sz w:val="20"/>
                <w:szCs w:val="20"/>
              </w:rPr>
              <w:t xml:space="preserve">1168.5 / 1713.1</w:t>
            </w:r>
          </w:p>
        </w:tc>
        <w:tc>
          <w:tcPr>
            <w:tcW w:type="dxa" w:w="1400"/>
            <w:tcMar>
              <w:top w:type="dxa" w:w="60"/>
              <w:left w:type="dxa" w:w="100"/>
              <w:bottom w:type="dxa" w:w="60"/>
              <w:right w:type="dxa" w:w="100"/>
            </w:tcMar>
          </w:tcPr>
          <w:p>
            <w:r>
              <w:rPr>
                <w:b w:val="false"/>
                <w:bCs w:val="false"/>
                <w:sz w:val="20"/>
                <w:szCs w:val="20"/>
              </w:rPr>
              <w:t xml:space="preserve">&lt;0.2%</w:t>
            </w:r>
          </w:p>
        </w:tc>
      </w:tr>
      <w:tr>
        <w:tc>
          <w:tcPr>
            <w:tcW w:type="dxa" w:w="3400"/>
            <w:tcMar>
              <w:top w:type="dxa" w:w="60"/>
              <w:left w:type="dxa" w:w="100"/>
              <w:bottom w:type="dxa" w:w="60"/>
              <w:right w:type="dxa" w:w="100"/>
            </w:tcMar>
          </w:tcPr>
          <w:p>
            <w:r>
              <w:rPr>
                <w:b w:val="false"/>
                <w:bCs w:val="false"/>
                <w:sz w:val="20"/>
                <w:szCs w:val="20"/>
              </w:rPr>
              <w:t xml:space="preserve">YFa1/YSa1, YFa2/YSa2 (pinion/wheel)</w:t>
            </w:r>
          </w:p>
        </w:tc>
        <w:tc>
          <w:tcPr>
            <w:tcW w:type="dxa" w:w="2200"/>
            <w:tcMar>
              <w:top w:type="dxa" w:w="60"/>
              <w:left w:type="dxa" w:w="100"/>
              <w:bottom w:type="dxa" w:w="60"/>
              <w:right w:type="dxa" w:w="100"/>
            </w:tcMar>
          </w:tcPr>
          <w:p>
            <w:r>
              <w:rPr>
                <w:b w:val="false"/>
                <w:bCs w:val="false"/>
                <w:sz w:val="20"/>
                <w:szCs w:val="20"/>
              </w:rPr>
              <w:t xml:space="preserve">2.033/2.022, 2.479/1.707</w:t>
            </w:r>
          </w:p>
        </w:tc>
        <w:tc>
          <w:tcPr>
            <w:tcW w:type="dxa" w:w="2200"/>
            <w:tcMar>
              <w:top w:type="dxa" w:w="60"/>
              <w:left w:type="dxa" w:w="100"/>
              <w:bottom w:type="dxa" w:w="60"/>
              <w:right w:type="dxa" w:w="100"/>
            </w:tcMar>
          </w:tcPr>
          <w:p>
            <w:r>
              <w:rPr>
                <w:b w:val="false"/>
                <w:bCs w:val="false"/>
                <w:sz w:val="20"/>
                <w:szCs w:val="20"/>
              </w:rPr>
              <w:t xml:space="preserve">2.03/2.02, 2.48/1.71</w:t>
            </w:r>
          </w:p>
        </w:tc>
        <w:tc>
          <w:tcPr>
            <w:tcW w:type="dxa" w:w="1400"/>
            <w:tcMar>
              <w:top w:type="dxa" w:w="60"/>
              <w:left w:type="dxa" w:w="100"/>
              <w:bottom w:type="dxa" w:w="60"/>
              <w:right w:type="dxa" w:w="100"/>
            </w:tcMar>
          </w:tcPr>
          <w:p>
            <w:r>
              <w:rPr>
                <w:b w:val="false"/>
                <w:bCs w:val="false"/>
                <w:sz w:val="20"/>
                <w:szCs w:val="20"/>
              </w:rPr>
              <w:t xml:space="preserve">&lt;0.1%</w:t>
            </w:r>
          </w:p>
        </w:tc>
      </w:tr>
      <w:tr>
        <w:tc>
          <w:tcPr>
            <w:tcW w:type="dxa" w:w="3400"/>
            <w:tcMar>
              <w:top w:type="dxa" w:w="60"/>
              <w:left w:type="dxa" w:w="100"/>
              <w:bottom w:type="dxa" w:w="60"/>
              <w:right w:type="dxa" w:w="100"/>
            </w:tcMar>
          </w:tcPr>
          <w:p>
            <w:r>
              <w:rPr>
                <w:b w:val="false"/>
                <w:bCs w:val="false"/>
                <w:sz w:val="20"/>
                <w:szCs w:val="20"/>
              </w:rPr>
              <w:t xml:space="preserve">YBS</w:t>
            </w:r>
          </w:p>
        </w:tc>
        <w:tc>
          <w:tcPr>
            <w:tcW w:type="dxa" w:w="2200"/>
            <w:tcMar>
              <w:top w:type="dxa" w:w="60"/>
              <w:left w:type="dxa" w:w="100"/>
              <w:bottom w:type="dxa" w:w="60"/>
              <w:right w:type="dxa" w:w="100"/>
            </w:tcMar>
          </w:tcPr>
          <w:p>
            <w:r>
              <w:rPr>
                <w:b w:val="false"/>
                <w:bCs w:val="false"/>
                <w:sz w:val="20"/>
                <w:szCs w:val="20"/>
              </w:rPr>
              <w:t xml:space="preserve">1.0539</w:t>
            </w:r>
          </w:p>
        </w:tc>
        <w:tc>
          <w:tcPr>
            <w:tcW w:type="dxa" w:w="2200"/>
            <w:tcMar>
              <w:top w:type="dxa" w:w="60"/>
              <w:left w:type="dxa" w:w="100"/>
              <w:bottom w:type="dxa" w:w="60"/>
              <w:right w:type="dxa" w:w="100"/>
            </w:tcMar>
          </w:tcPr>
          <w:p>
            <w:r>
              <w:rPr>
                <w:b w:val="false"/>
                <w:bCs w:val="false"/>
                <w:sz w:val="20"/>
                <w:szCs w:val="20"/>
              </w:rPr>
              <w:t xml:space="preserve">1.054</w:t>
            </w:r>
          </w:p>
        </w:tc>
        <w:tc>
          <w:tcPr>
            <w:tcW w:type="dxa" w:w="1400"/>
            <w:tcMar>
              <w:top w:type="dxa" w:w="60"/>
              <w:left w:type="dxa" w:w="100"/>
              <w:bottom w:type="dxa" w:w="60"/>
              <w:right w:type="dxa" w:w="100"/>
            </w:tcMar>
          </w:tcPr>
          <w:p>
            <w:r>
              <w:rPr>
                <w:b w:val="false"/>
                <w:bCs w:val="false"/>
                <w:sz w:val="20"/>
                <w:szCs w:val="20"/>
              </w:rPr>
              <w:t xml:space="preserve">&lt;0.01%</w:t>
            </w:r>
          </w:p>
        </w:tc>
      </w:tr>
      <w:tr>
        <w:tc>
          <w:tcPr>
            <w:tcW w:type="dxa" w:w="3400"/>
            <w:tcMar>
              <w:top w:type="dxa" w:w="60"/>
              <w:left w:type="dxa" w:w="100"/>
              <w:bottom w:type="dxa" w:w="60"/>
              <w:right w:type="dxa" w:w="100"/>
            </w:tcMar>
          </w:tcPr>
          <w:p>
            <w:r>
              <w:rPr>
                <w:b w:val="false"/>
                <w:bCs w:val="false"/>
                <w:sz w:val="20"/>
                <w:szCs w:val="20"/>
              </w:rPr>
              <w:t xml:space="preserve">ZL, Zv, ZR</w:t>
            </w:r>
          </w:p>
        </w:tc>
        <w:tc>
          <w:tcPr>
            <w:tcW w:type="dxa" w:w="2200"/>
            <w:tcMar>
              <w:top w:type="dxa" w:w="60"/>
              <w:left w:type="dxa" w:w="100"/>
              <w:bottom w:type="dxa" w:w="60"/>
              <w:right w:type="dxa" w:w="100"/>
            </w:tcMar>
          </w:tcPr>
          <w:p>
            <w:r>
              <w:rPr>
                <w:b w:val="false"/>
                <w:bCs w:val="false"/>
                <w:sz w:val="20"/>
                <w:szCs w:val="20"/>
              </w:rPr>
              <w:t xml:space="preserve">0.992 / 0.974 / 0.930</w:t>
            </w:r>
          </w:p>
        </w:tc>
        <w:tc>
          <w:tcPr>
            <w:tcW w:type="dxa" w:w="2200"/>
            <w:tcMar>
              <w:top w:type="dxa" w:w="60"/>
              <w:left w:type="dxa" w:w="100"/>
              <w:bottom w:type="dxa" w:w="60"/>
              <w:right w:type="dxa" w:w="100"/>
            </w:tcMar>
          </w:tcPr>
          <w:p>
            <w:r>
              <w:rPr>
                <w:b w:val="false"/>
                <w:bCs w:val="false"/>
                <w:sz w:val="20"/>
                <w:szCs w:val="20"/>
              </w:rPr>
              <w:t xml:space="preserve">0.992 / 0.974 / 0.930</w:t>
            </w:r>
          </w:p>
        </w:tc>
        <w:tc>
          <w:tcPr>
            <w:tcW w:type="dxa" w:w="1400"/>
            <w:tcMar>
              <w:top w:type="dxa" w:w="60"/>
              <w:left w:type="dxa" w:w="100"/>
              <w:bottom w:type="dxa" w:w="60"/>
              <w:right w:type="dxa" w:w="100"/>
            </w:tcMar>
          </w:tcPr>
          <w:p>
            <w:r>
              <w:rPr>
                <w:b w:val="false"/>
                <w:bCs w:val="false"/>
                <w:sz w:val="20"/>
                <w:szCs w:val="20"/>
              </w:rPr>
              <w:t xml:space="preserve">exact</w:t>
            </w:r>
          </w:p>
        </w:tc>
      </w:tr>
    </w:tbl>
    <w:p>
      <w:pPr>
        <w:spacing w:after="160"/>
      </w:pPr>
      <w:r>
        <w:t xml:space="preserve">Every quantity in that table - virtual cylindrical gear geometry, K-factors, all pitting Z-factors except ZNT, all bending Y-factors except YNT, and both the nominal and calculated stresses - matches KISSsoft's independent implementation to within a few tenths of a percent, the same order of agreement already established against ISO/TR 10300-30's own published numbers. This is a meaningful confirmation: KISSsoft is a separate, independently-developed implementation of the same standard, so close agreement here is not circular with the ISO/TR 10300-30 validation in Sections 6.1-6.4.</w:t>
      </w:r>
    </w:p>
    <w:p>
      <w:pPr>
        <w:spacing w:after="160"/>
      </w:pPr>
      <w:r>
        <w:t xml:space="preserve">The life factors are the one place the two diverge sharply, and the cause is precisely identifiable rather than left as a mismatch. KISSsoft's report states under its Materials section: "Optimal quality and experience: Life factors Z_NT and Y_NT &gt;= 1" - i.e. KISSsoft is applying an upper, "optimum quality" curve variant that stays pinned at 1.0 out to (at least) 1.44*10^9 cycles for this material choice. This calculator's simplified single curve per material family (Section 7) instead keeps interpolating downward beyond its own breakpoints, giving ZNT = 0.976/1.043 and YNT = 0.886/0.905 (pinion/wheel) at these same cycle counts, against KISSsoft's flat 1.000/1.000: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tblGrid>
      <w:tr>
        <w:trPr>
          <w:tblHeader/>
        </w:trPr>
        <w:tc>
          <w:tcPr>
            <w:tcW w:type="dxa" w:w="3400"/>
            <w:shd w:fill="D9E2F3" w:val="clear"/>
            <w:tcMar>
              <w:top w:type="dxa" w:w="60"/>
              <w:left w:type="dxa" w:w="100"/>
              <w:bottom w:type="dxa" w:w="60"/>
              <w:right w:type="dxa" w:w="100"/>
            </w:tcMar>
          </w:tcPr>
          <w:p>
            <w:r>
              <w:rPr>
                <w:b/>
                <w:bCs/>
                <w:sz w:val="20"/>
                <w:szCs w:val="20"/>
              </w:rPr>
              <w:t xml:space="preserve">Quantity</w:t>
            </w:r>
          </w:p>
        </w:tc>
        <w:tc>
          <w:tcPr>
            <w:tcW w:type="dxa" w:w="2200"/>
            <w:shd w:fill="D9E2F3" w:val="clear"/>
            <w:tcMar>
              <w:top w:type="dxa" w:w="60"/>
              <w:left w:type="dxa" w:w="100"/>
              <w:bottom w:type="dxa" w:w="60"/>
              <w:right w:type="dxa" w:w="100"/>
            </w:tcMar>
          </w:tcPr>
          <w:p>
            <w:r>
              <w:rPr>
                <w:b/>
                <w:bCs/>
                <w:sz w:val="20"/>
                <w:szCs w:val="20"/>
              </w:rPr>
              <w:t xml:space="preserve">This calculator</w:t>
            </w:r>
          </w:p>
        </w:tc>
        <w:tc>
          <w:tcPr>
            <w:tcW w:type="dxa" w:w="2200"/>
            <w:shd w:fill="D9E2F3" w:val="clear"/>
            <w:tcMar>
              <w:top w:type="dxa" w:w="60"/>
              <w:left w:type="dxa" w:w="100"/>
              <w:bottom w:type="dxa" w:w="60"/>
              <w:right w:type="dxa" w:w="100"/>
            </w:tcMar>
          </w:tcPr>
          <w:p>
            <w:r>
              <w:rPr>
                <w:b/>
                <w:bCs/>
                <w:sz w:val="20"/>
                <w:szCs w:val="20"/>
              </w:rPr>
              <w:t xml:space="preserve">KISSsoft</w:t>
            </w:r>
          </w:p>
        </w:tc>
      </w:tr>
      <w:tr>
        <w:tc>
          <w:tcPr>
            <w:tcW w:type="dxa" w:w="3400"/>
            <w:tcMar>
              <w:top w:type="dxa" w:w="60"/>
              <w:left w:type="dxa" w:w="100"/>
              <w:bottom w:type="dxa" w:w="60"/>
              <w:right w:type="dxa" w:w="100"/>
            </w:tcMar>
          </w:tcPr>
          <w:p>
            <w:r>
              <w:rPr>
                <w:b w:val="false"/>
                <w:bCs w:val="false"/>
                <w:sz w:val="20"/>
                <w:szCs w:val="20"/>
              </w:rPr>
              <w:t xml:space="preserve">ZNT (pinion / wheel)</w:t>
            </w:r>
          </w:p>
        </w:tc>
        <w:tc>
          <w:tcPr>
            <w:tcW w:type="dxa" w:w="2200"/>
            <w:tcMar>
              <w:top w:type="dxa" w:w="60"/>
              <w:left w:type="dxa" w:w="100"/>
              <w:bottom w:type="dxa" w:w="60"/>
              <w:right w:type="dxa" w:w="100"/>
            </w:tcMar>
          </w:tcPr>
          <w:p>
            <w:r>
              <w:rPr>
                <w:b w:val="false"/>
                <w:bCs w:val="false"/>
                <w:sz w:val="20"/>
                <w:szCs w:val="20"/>
              </w:rPr>
              <w:t xml:space="preserve">0.976 / 1.043</w:t>
            </w:r>
          </w:p>
        </w:tc>
        <w:tc>
          <w:tcPr>
            <w:tcW w:type="dxa" w:w="2200"/>
            <w:tcMar>
              <w:top w:type="dxa" w:w="60"/>
              <w:left w:type="dxa" w:w="100"/>
              <w:bottom w:type="dxa" w:w="60"/>
              <w:right w:type="dxa" w:w="100"/>
            </w:tcMar>
          </w:tcPr>
          <w:p>
            <w:r>
              <w:rPr>
                <w:b w:val="false"/>
                <w:bCs w:val="false"/>
                <w:sz w:val="20"/>
                <w:szCs w:val="20"/>
              </w:rPr>
              <w:t xml:space="preserve">1.000 / 1.000</w:t>
            </w:r>
          </w:p>
        </w:tc>
      </w:tr>
      <w:tr>
        <w:tc>
          <w:tcPr>
            <w:tcW w:type="dxa" w:w="3400"/>
            <w:tcMar>
              <w:top w:type="dxa" w:w="60"/>
              <w:left w:type="dxa" w:w="100"/>
              <w:bottom w:type="dxa" w:w="60"/>
              <w:right w:type="dxa" w:w="100"/>
            </w:tcMar>
          </w:tcPr>
          <w:p>
            <w:r>
              <w:rPr>
                <w:b w:val="false"/>
                <w:bCs w:val="false"/>
                <w:sz w:val="20"/>
                <w:szCs w:val="20"/>
              </w:rPr>
              <w:t xml:space="preserve">YNT (pinion / wheel)</w:t>
            </w:r>
          </w:p>
        </w:tc>
        <w:tc>
          <w:tcPr>
            <w:tcW w:type="dxa" w:w="2200"/>
            <w:tcMar>
              <w:top w:type="dxa" w:w="60"/>
              <w:left w:type="dxa" w:w="100"/>
              <w:bottom w:type="dxa" w:w="60"/>
              <w:right w:type="dxa" w:w="100"/>
            </w:tcMar>
          </w:tcPr>
          <w:p>
            <w:r>
              <w:rPr>
                <w:b w:val="false"/>
                <w:bCs w:val="false"/>
                <w:sz w:val="20"/>
                <w:szCs w:val="20"/>
              </w:rPr>
              <w:t xml:space="preserve">0.886 / 0.905</w:t>
            </w:r>
          </w:p>
        </w:tc>
        <w:tc>
          <w:tcPr>
            <w:tcW w:type="dxa" w:w="2200"/>
            <w:tcMar>
              <w:top w:type="dxa" w:w="60"/>
              <w:left w:type="dxa" w:w="100"/>
              <w:bottom w:type="dxa" w:w="60"/>
              <w:right w:type="dxa" w:w="100"/>
            </w:tcMar>
          </w:tcPr>
          <w:p>
            <w:r>
              <w:rPr>
                <w:b w:val="false"/>
                <w:bCs w:val="false"/>
                <w:sz w:val="20"/>
                <w:szCs w:val="20"/>
              </w:rPr>
              <w:t xml:space="preserve">1.000 / 1.000</w:t>
            </w:r>
          </w:p>
        </w:tc>
      </w:tr>
      <w:tr>
        <w:tc>
          <w:tcPr>
            <w:tcW w:type="dxa" w:w="3400"/>
            <w:tcMar>
              <w:top w:type="dxa" w:w="60"/>
              <w:left w:type="dxa" w:w="100"/>
              <w:bottom w:type="dxa" w:w="60"/>
              <w:right w:type="dxa" w:w="100"/>
            </w:tcMar>
          </w:tcPr>
          <w:p>
            <w:r>
              <w:rPr>
                <w:b w:val="false"/>
                <w:bCs w:val="false"/>
                <w:sz w:val="20"/>
                <w:szCs w:val="20"/>
              </w:rPr>
              <w:t xml:space="preserve">SH1-B1, SH2-B1</w:t>
            </w:r>
          </w:p>
        </w:tc>
        <w:tc>
          <w:tcPr>
            <w:tcW w:type="dxa" w:w="2200"/>
            <w:tcMar>
              <w:top w:type="dxa" w:w="60"/>
              <w:left w:type="dxa" w:w="100"/>
              <w:bottom w:type="dxa" w:w="60"/>
              <w:right w:type="dxa" w:w="100"/>
            </w:tcMar>
          </w:tcPr>
          <w:p>
            <w:r>
              <w:rPr>
                <w:b w:val="false"/>
                <w:bCs w:val="false"/>
                <w:sz w:val="20"/>
                <w:szCs w:val="20"/>
              </w:rPr>
              <w:t xml:space="preserve">0.924 / 0.987</w:t>
            </w:r>
          </w:p>
        </w:tc>
        <w:tc>
          <w:tcPr>
            <w:tcW w:type="dxa" w:w="2200"/>
            <w:tcMar>
              <w:top w:type="dxa" w:w="60"/>
              <w:left w:type="dxa" w:w="100"/>
              <w:bottom w:type="dxa" w:w="60"/>
              <w:right w:type="dxa" w:w="100"/>
            </w:tcMar>
          </w:tcPr>
          <w:p>
            <w:r>
              <w:rPr>
                <w:b w:val="false"/>
                <w:bCs w:val="false"/>
                <w:sz w:val="20"/>
                <w:szCs w:val="20"/>
              </w:rPr>
              <w:t xml:space="preserve">0.94 / 0.94</w:t>
            </w:r>
          </w:p>
        </w:tc>
      </w:tr>
      <w:tr>
        <w:tc>
          <w:tcPr>
            <w:tcW w:type="dxa" w:w="3400"/>
            <w:tcMar>
              <w:top w:type="dxa" w:w="60"/>
              <w:left w:type="dxa" w:w="100"/>
              <w:bottom w:type="dxa" w:w="60"/>
              <w:right w:type="dxa" w:w="100"/>
            </w:tcMar>
          </w:tcPr>
          <w:p>
            <w:r>
              <w:rPr>
                <w:b w:val="false"/>
                <w:bCs w:val="false"/>
                <w:sz w:val="20"/>
                <w:szCs w:val="20"/>
              </w:rPr>
              <w:t xml:space="preserve">SF1-B1, SF2-B1</w:t>
            </w:r>
          </w:p>
        </w:tc>
        <w:tc>
          <w:tcPr>
            <w:tcW w:type="dxa" w:w="2200"/>
            <w:tcMar>
              <w:top w:type="dxa" w:w="60"/>
              <w:left w:type="dxa" w:w="100"/>
              <w:bottom w:type="dxa" w:w="60"/>
              <w:right w:type="dxa" w:w="100"/>
            </w:tcMar>
          </w:tcPr>
          <w:p>
            <w:r>
              <w:rPr>
                <w:b w:val="false"/>
                <w:bCs w:val="false"/>
                <w:sz w:val="20"/>
                <w:szCs w:val="20"/>
              </w:rPr>
              <w:t xml:space="preserve">1.231 / 1.206</w:t>
            </w:r>
          </w:p>
        </w:tc>
        <w:tc>
          <w:tcPr>
            <w:tcW w:type="dxa" w:w="2200"/>
            <w:tcMar>
              <w:top w:type="dxa" w:w="60"/>
              <w:left w:type="dxa" w:w="100"/>
              <w:bottom w:type="dxa" w:w="60"/>
              <w:right w:type="dxa" w:w="100"/>
            </w:tcMar>
          </w:tcPr>
          <w:p>
            <w:r>
              <w:rPr>
                <w:b w:val="false"/>
                <w:bCs w:val="false"/>
                <w:sz w:val="20"/>
                <w:szCs w:val="20"/>
              </w:rPr>
              <w:t xml:space="preserve">1.38 / 1.33</w:t>
            </w:r>
          </w:p>
        </w:tc>
      </w:tr>
    </w:tbl>
    <w:p>
      <w:pPr>
        <w:spacing w:after="160"/>
      </w:pPr>
      <w:r>
        <w:t xml:space="preserve">This both confirms and sharpens the life-factor limitation already noted from the ISO/TR 10300-30 comparison (Section 6.1.2): the gap is not merely that this tool's ZNT/YNT curves lack the standard's full material-family granularity, but specifically that they lack the standard's quality-dependent curve variants (ISO 10300-2 Table 6 / ISO 10300-3 Table 5 each define separate normal/high/optimum-quality curves per material family, not modeled here - only one representative curve per family is implemented). Notably, KISSsoft's permissible contact stress of 1617.80 N/mm^2 (identical for both gears, since its ZNT = 1.0 for both) matches ISO/TR 10300-30 Sample 1's own published sigmaHP1-B1 = 1617.8 N/mm^2 exactly (Section 6.1.2) - independent evidence that both the technical report's own Sample 1 and KISSsoft's default material-quality setting assume this same "optimum quality" curve, which is the variant this calculator does not yet implement.</w:t>
      </w:r>
    </w:p>
    <w:p>
      <w:pPr>
        <w:pStyle w:val="Heading1"/>
        <w:spacing w:after="150" w:before="300"/>
      </w:pPr>
      <w:r>
        <w:t xml:space="preserve">7. Known limitations</w:t>
      </w:r>
    </w:p>
    <w:p>
      <w:pPr>
        <w:pStyle w:val="ListParagraph"/>
        <w:numPr>
          <w:ilvl w:val="0"/>
          <w:numId w:val="1"/>
        </w:numPr>
        <w:spacing w:after="80"/>
      </w:pPr>
      <w:r>
        <w:t xml:space="preserve">Only the drive flank is rated (matching both ISO/TR 10300-30 worked examples); the coast flank is not separately computed even when its pressure angle differs.</w:t>
      </w:r>
    </w:p>
    <w:p>
      <w:pPr>
        <w:pStyle w:val="ListParagraph"/>
        <w:numPr>
          <w:ilvl w:val="0"/>
          <w:numId w:val="1"/>
        </w:numPr>
        <w:spacing w:after="80"/>
      </w:pPr>
      <w:r>
        <w:t xml:space="preserve">The load sharing factors ZLS (Part 2) and YLS = ZLS^2 (Part 3) carry a known high bias (roughly 3-10%, scaling with how pronounced the split is) for hypoid designs with a marked asymmetry between fmaxB and |fmax0| (Section 3.6, Section 6.2, Section 6.4 - two of the three hypoid samples, 2 and 4, hit this); the calculator raises an on-screen warning when this condition is detected. Non-offset bevel gears (a = 0, Section 6.1) and hypoid designs without a pronounced split (Sample 3, Section 6.3, matches to 0.06%) are unaffected - this is specifically a failure mode of strongly asymmetric hypoid geometry, not of the Clb formula or the hypoid code path in general.</w:t>
      </w:r>
    </w:p>
    <w:p>
      <w:pPr>
        <w:pStyle w:val="ListParagraph"/>
        <w:numPr>
          <w:ilvl w:val="0"/>
          <w:numId w:val="1"/>
        </w:numPr>
        <w:spacing w:after="80"/>
      </w:pPr>
      <w:r>
        <w:t xml:space="preserve">KHalpha* (Method B, before the Eq 40/41 offset blend) is believed correct as implemented - it matches Sample 1 and Sample 3 exactly, and the Sample 2 discrepancy traces to an apparent unit slip in the source table, not this implementation (Section 3.5) - but Sample 1's a_rel = 0 and Samples 2/3's a_rel both exceed 0.1, so the offset blend makes KHalpha* inconsequential to the final result in every case checked. It is unvalidated for hypoid designs with a_rel &lt; 0.1, where KHalpha* directly determines the final result; treat with proportionate caution there.</w:t>
      </w:r>
    </w:p>
    <w:p>
      <w:pPr>
        <w:pStyle w:val="ListParagraph"/>
        <w:numPr>
          <w:ilvl w:val="0"/>
          <w:numId w:val="1"/>
        </w:numPr>
        <w:spacing w:after="80"/>
      </w:pPr>
      <w:r>
        <w:t xml:space="preserve">Face-hobbed cutting is not modeled for the lengthwise curvature factor KF0 (only face-milled, rho_mBeta = rc0); this mirrors AGMA2003D19Calc's identical simplification for its own Kx/Ybeta factor. (Sample 3 uses face hobbing for the pinion, but KF0 depends only on the wheel's own cutting method - face milled there - so this limitation was not exercised.)</w:t>
      </w:r>
    </w:p>
    <w:p>
      <w:pPr>
        <w:pStyle w:val="ListParagraph"/>
        <w:numPr>
          <w:ilvl w:val="0"/>
          <w:numId w:val="1"/>
        </w:numPr>
        <w:spacing w:after="80"/>
      </w:pPr>
      <w:r>
        <w:t xml:space="preserve">Non-generated (form-cut) gears are supported for the WHEEL only (6.4.1.3, Eq 18-23, Section 3.11, validated against Sample 4), selected via the WheelIsNonGenerated input; the pinion is always assumed generated (6.4.1.2), matching the standard's own text ("the mating pinion, which is manufactured by an adapted generating process") and AGMA2003D19Calc's identical generated-pinion assumption.</w:t>
      </w:r>
    </w:p>
    <w:p>
      <w:pPr>
        <w:pStyle w:val="ListParagraph"/>
        <w:numPr>
          <w:ilvl w:val="0"/>
          <w:numId w:val="1"/>
        </w:numPr>
        <w:spacing w:after="80"/>
      </w:pPr>
      <w:r>
        <w:t xml:space="preserve">ISO 6336-5 (the referenced material-property standard that supplies sigmaHlim/sigmaFlim by material, heat treatment and quality grade) was not available for this implementation. Allowable stress numbers are entered directly by the user (defaulting to 1500/480 N/mm^2, matching ISO/TR 10300-30 Sample 1's own case-carburized-steel values) rather than looked up from an embedded material table, unlike AGMA2003D19Calc's clause 21 material tables, which are reproduced from the AGMA standard itself.</w:t>
      </w:r>
    </w:p>
    <w:p>
      <w:pPr>
        <w:pStyle w:val="ListParagraph"/>
        <w:numPr>
          <w:ilvl w:val="0"/>
          <w:numId w:val="1"/>
        </w:numPr>
        <w:spacing w:after="80"/>
      </w:pPr>
      <w:r>
        <w:t xml:space="preserve">The life-factor curves (ZNT, Part 2 Table 6; YNT, Part 3 Table 5) are modeled with a simplified two-family log-log interpolation (case/through-hardened steel vs. nitrided steel/cast iron) rather than the standard's full breakdown, which additionally defines separate normal/high/optimum-quality curve variants within each material family. This calculator implements only one representative ("normal quality") curve per family, so it does not reproduce a design run at "optimum quality" - confirmed directly by the KISSsoft cross-check (Section 6.5), where KISSsoft's own optimum-quality setting keeps ZNT/YNT pinned at 1.0 out to load cycles where this tool's curve has already interpolated down to 0.88-1.04, moving the final safety factors by 10-15%. See Section 6.2 for the analogous, ISO/TR-10300-30-only divergence at Samples 1-2's own (lower, unstated-quality) reference life.</w:t>
      </w:r>
    </w:p>
    <w:p>
      <w:pPr>
        <w:pStyle w:val="ListParagraph"/>
        <w:numPr>
          <w:ilvl w:val="0"/>
          <w:numId w:val="1"/>
        </w:numPr>
        <w:spacing w:after="80"/>
      </w:pPr>
      <w:r>
        <w:t xml:space="preserve">The relative notch sensitivity factor Ydelta,relT (6.5.2.2) uses one representative slip-layer thickness rho' per material family (ISO 10300-3, Table 4 actually tabulates rho' separately for ten individual strength grades within three families) - reference-life branch only, the static-stress branch (6.5.2.3) is not implemented.</w:t>
      </w:r>
    </w:p>
    <w:p>
      <w:pPr>
        <w:pStyle w:val="ListParagraph"/>
        <w:numPr>
          <w:ilvl w:val="0"/>
          <w:numId w:val="1"/>
        </w:numPr>
        <w:spacing w:after="80"/>
      </w:pPr>
      <w:r>
        <w:t xml:space="preserve">Method B2 (see Section 2.2) is not implemented at all; only Method B1.</w:t>
      </w:r>
    </w:p>
    <w:p>
      <w:pPr>
        <w:pStyle w:val="Heading1"/>
        <w:spacing w:after="150" w:before="300"/>
      </w:pPr>
      <w:r>
        <w:t xml:space="preserve">8. Notes for the future AGMA-vs-ISO comparison</w:t>
      </w:r>
    </w:p>
    <w:p>
      <w:pPr>
        <w:spacing w:after="160"/>
      </w:pPr>
      <w:r>
        <w:t xml:space="preserve">A few structural differences between the two standards, noticed while keeping this project deliberately parallel to AGMA2003D19Calc, are worth carrying into that comparison:</w:t>
      </w:r>
    </w:p>
    <w:p>
      <w:pPr>
        <w:pStyle w:val="ListParagraph"/>
        <w:numPr>
          <w:ilvl w:val="0"/>
          <w:numId w:val="1"/>
        </w:numPr>
        <w:spacing w:after="80"/>
      </w:pPr>
      <w:r>
        <w:t xml:space="preserve">ISO 10300 has no direct analogue of AGMA's temperature factor KT (clause 18) — there is no separate high-temperature derating factor in Parts 1-3.</w:t>
      </w:r>
    </w:p>
    <w:p>
      <w:pPr>
        <w:pStyle w:val="ListParagraph"/>
        <w:numPr>
          <w:ilvl w:val="0"/>
          <w:numId w:val="1"/>
        </w:numPr>
        <w:spacing w:after="80"/>
      </w:pPr>
      <w:r>
        <w:t xml:space="preserve">ISO 10300 has no direct analogue of AGMA's service factors CSF/KSF (clause 9) — safety margin is expressed purely through the safety factors SH/SF against SH,min/SF,min, not through an additional service-factor division of the power rating.</w:t>
      </w:r>
    </w:p>
    <w:p>
      <w:pPr>
        <w:pStyle w:val="ListParagraph"/>
        <w:numPr>
          <w:ilvl w:val="0"/>
          <w:numId w:val="1"/>
        </w:numPr>
        <w:spacing w:after="80"/>
      </w:pPr>
      <w:r>
        <w:t xml:space="preserve">AGMA rates from power and speed (deriving torque internally); ISO 10300 rates directly from a given pinion torque T1 — this calculator's input model follows ISO's own convention rather than converting, to stay faithful to the standard's clause 6.</w:t>
      </w:r>
    </w:p>
    <w:p>
      <w:pPr>
        <w:pStyle w:val="ListParagraph"/>
        <w:numPr>
          <w:ilvl w:val="0"/>
          <w:numId w:val="1"/>
        </w:numPr>
        <w:spacing w:after="80"/>
      </w:pPr>
      <w:r>
        <w:t xml:space="preserve">AGMA's dynamic factor Kv (Eq 13M) and ISO's Method C dynamic factor Kv-C (Eq 22) are structurally identical formulas, Kv = (A/(A+sqrt(200v)))^-X, differing only in how the accuracy number maps to A and X — and in which direction more accurate gearing lies (AGMA's Qv: higher is more accurate; ISO's B: lower is more accurate).</w:t>
      </w:r>
    </w:p>
    <w:p>
      <w:pPr>
        <w:pStyle w:val="ListParagraph"/>
        <w:numPr>
          <w:ilvl w:val="0"/>
          <w:numId w:val="1"/>
        </w:numPr>
        <w:spacing w:after="80"/>
      </w:pPr>
      <w:r>
        <w:t xml:space="preserve">Both standards' "native" geometry-factor engines (AGMA's Annex C(M); ISO's Method B1 virtual-cylindrical-gear geometry) independently arrive at broadly comparable tooth-form-factor derivations (a 30-degree-tangent fillet construction with iterative root-angle solves) despite being developed and published separately - this is a reasonable point of direct cross-check once both calculators are run on the same gear geometry.</w:t>
      </w:r>
    </w:p>
    <w:p>
      <w:pPr>
        <w:pStyle w:val="Heading1"/>
        <w:spacing w:after="150" w:before="300"/>
      </w:pPr>
      <w:r>
        <w:t xml:space="preserve">9. Using the calculator</w:t>
      </w:r>
    </w:p>
    <w:p>
      <w:pPr>
        <w:pStyle w:val="ListParagraph"/>
        <w:numPr>
          <w:ilvl w:val="0"/>
          <w:numId w:val="1"/>
        </w:numPr>
        <w:spacing w:after="80"/>
      </w:pPr>
      <w:r>
        <w:t xml:space="preserve">Launch ISO10300Calc.exe (or dotnet run --project ISO10300Calc) for the interactive PropertyGrid + report UI, organized into numbered categories mirroring the standard's clause structure, in the same style as AGMA2003D19Calc.</w:t>
      </w:r>
    </w:p>
    <w:p>
      <w:pPr>
        <w:pStyle w:val="ListParagraph"/>
        <w:numPr>
          <w:ilvl w:val="0"/>
          <w:numId w:val="1"/>
        </w:numPr>
        <w:spacing w:after="80"/>
      </w:pPr>
      <w:r>
        <w:t xml:space="preserve">Use the "Load Example" dropdown to choose ISO/TR 10300-30:2024 Sample 1 (bevel, no offset), Sample 2 (hypoid, a = 15 mm), Sample 3 (hypoid, a = 31.75 mm) or Sample 4 (hypoid, non-generated wheel) (Section 6), then click "Load Example" and "Calculate" to reproduce the published results.</w:t>
      </w:r>
    </w:p>
    <w:p>
      <w:pPr>
        <w:pStyle w:val="ListParagraph"/>
        <w:numPr>
          <w:ilvl w:val="0"/>
          <w:numId w:val="1"/>
        </w:numPr>
        <w:spacing w:after="80"/>
      </w:pPr>
      <w:r>
        <w:t xml:space="preserve">Run with the --selftest command-line argument to reproduce all four validations in Section 6 and print a pass/fail report to the console.</w:t>
      </w:r>
    </w:p>
    <w:p>
      <w:pPr>
        <w:pStyle w:val="ListParagraph"/>
        <w:numPr>
          <w:ilvl w:val="0"/>
          <w:numId w:val="1"/>
        </w:numPr>
        <w:spacing w:after="80"/>
      </w:pPr>
      <w:r>
        <w:t xml:space="preserve">"Save Report..." writes the full symbol-by-symbol audit trail to a text file, in the same style as ISO/TR 10300-30's own tables.</w:t>
      </w:r>
    </w:p>
    <w:p>
      <w:pPr>
        <w:pStyle w:val="Heading1"/>
        <w:spacing w:after="150" w:before="300"/>
      </w:pPr>
      <w:r>
        <w:t xml:space="preserve">10. File manifest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D9E2F3" w:val="clear"/>
            <w:tcMar>
              <w:top w:type="dxa" w:w="60"/>
              <w:left w:type="dxa" w:w="100"/>
              <w:bottom w:type="dxa" w:w="60"/>
              <w:right w:type="dxa" w:w="100"/>
            </w:tcMar>
          </w:tcPr>
          <w:p>
            <w:r>
              <w:rPr>
                <w:b/>
                <w:bCs/>
                <w:sz w:val="20"/>
                <w:szCs w:val="20"/>
              </w:rPr>
              <w:t xml:space="preserve">File</w:t>
            </w:r>
          </w:p>
        </w:tc>
        <w:tc>
          <w:tcPr>
            <w:tcW w:type="dxa" w:w="5300"/>
            <w:shd w:fill="D9E2F3" w:val="clear"/>
            <w:tcMar>
              <w:top w:type="dxa" w:w="60"/>
              <w:left w:type="dxa" w:w="100"/>
              <w:bottom w:type="dxa" w:w="60"/>
              <w:right w:type="dxa" w:w="100"/>
            </w:tcMar>
          </w:tcPr>
          <w:p>
            <w:r>
              <w:rPr>
                <w:b/>
                <w:bCs/>
                <w:sz w:val="20"/>
                <w:szCs w:val="20"/>
              </w:rPr>
              <w:t xml:space="preserve">Purpose</w:t>
            </w:r>
          </w:p>
        </w:tc>
      </w:tr>
      <w:tr>
        <w:tc>
          <w:tcPr>
            <w:tcW w:type="dxa" w:w="4200"/>
            <w:tcMar>
              <w:top w:type="dxa" w:w="60"/>
              <w:left w:type="dxa" w:w="100"/>
              <w:bottom w:type="dxa" w:w="60"/>
              <w:right w:type="dxa" w:w="100"/>
            </w:tcMar>
          </w:tcPr>
          <w:p>
            <w:r>
              <w:rPr>
                <w:b w:val="false"/>
                <w:bCs w:val="false"/>
                <w:sz w:val="20"/>
                <w:szCs w:val="20"/>
              </w:rPr>
              <w:t xml:space="preserve">ISO10300Calc/Models/Enums.cs</w:t>
            </w:r>
          </w:p>
        </w:tc>
        <w:tc>
          <w:tcPr>
            <w:tcW w:type="dxa" w:w="5300"/>
            <w:tcMar>
              <w:top w:type="dxa" w:w="60"/>
              <w:left w:type="dxa" w:w="100"/>
              <w:bottom w:type="dxa" w:w="60"/>
              <w:right w:type="dxa" w:w="100"/>
            </w:tcMar>
          </w:tcPr>
          <w:p>
            <w:r>
              <w:rPr>
                <w:b w:val="false"/>
                <w:bCs w:val="false"/>
                <w:sz w:val="20"/>
                <w:szCs w:val="20"/>
              </w:rPr>
              <w:t xml:space="preserve">Gear type, dynamic/transverse-load-factor mode, mounting, material family, hardness-ratio-mode enums</w:t>
            </w:r>
          </w:p>
        </w:tc>
      </w:tr>
      <w:tr>
        <w:tc>
          <w:tcPr>
            <w:tcW w:type="dxa" w:w="4200"/>
            <w:tcMar>
              <w:top w:type="dxa" w:w="60"/>
              <w:left w:type="dxa" w:w="100"/>
              <w:bottom w:type="dxa" w:w="60"/>
              <w:right w:type="dxa" w:w="100"/>
            </w:tcMar>
          </w:tcPr>
          <w:p>
            <w:r>
              <w:rPr>
                <w:b w:val="false"/>
                <w:bCs w:val="false"/>
                <w:sz w:val="20"/>
                <w:szCs w:val="20"/>
              </w:rPr>
              <w:t xml:space="preserve">ISO10300Calc/Models/Iso10300Inputs.cs</w:t>
            </w:r>
          </w:p>
        </w:tc>
        <w:tc>
          <w:tcPr>
            <w:tcW w:type="dxa" w:w="5300"/>
            <w:tcMar>
              <w:top w:type="dxa" w:w="60"/>
              <w:left w:type="dxa" w:w="100"/>
              <w:bottom w:type="dxa" w:w="60"/>
              <w:right w:type="dxa" w:w="100"/>
            </w:tcMar>
          </w:tcPr>
          <w:p>
            <w:r>
              <w:rPr>
                <w:b w:val="false"/>
                <w:bCs w:val="false"/>
                <w:sz w:val="20"/>
                <w:szCs w:val="20"/>
              </w:rPr>
              <w:t xml:space="preserve">All PropertyGrid-bound inputs, incl. hypoid offset a and offset angles zeta_mp/zeta_m/zeta_R</w:t>
            </w:r>
          </w:p>
        </w:tc>
      </w:tr>
      <w:tr>
        <w:tc>
          <w:tcPr>
            <w:tcW w:type="dxa" w:w="4200"/>
            <w:tcMar>
              <w:top w:type="dxa" w:w="60"/>
              <w:left w:type="dxa" w:w="100"/>
              <w:bottom w:type="dxa" w:w="60"/>
              <w:right w:type="dxa" w:w="100"/>
            </w:tcMar>
          </w:tcPr>
          <w:p>
            <w:r>
              <w:rPr>
                <w:b w:val="false"/>
                <w:bCs w:val="false"/>
                <w:sz w:val="20"/>
                <w:szCs w:val="20"/>
              </w:rPr>
              <w:t xml:space="preserve">ISO10300Calc/Calc/MathUtil.cs</w:t>
            </w:r>
          </w:p>
        </w:tc>
        <w:tc>
          <w:tcPr>
            <w:tcW w:type="dxa" w:w="5300"/>
            <w:tcMar>
              <w:top w:type="dxa" w:w="60"/>
              <w:left w:type="dxa" w:w="100"/>
              <w:bottom w:type="dxa" w:w="60"/>
              <w:right w:type="dxa" w:w="100"/>
            </w:tcMar>
          </w:tcPr>
          <w:p>
            <w:r>
              <w:rPr>
                <w:b w:val="false"/>
                <w:bCs w:val="false"/>
                <w:sz w:val="20"/>
                <w:szCs w:val="20"/>
              </w:rPr>
              <w:t xml:space="preserve">Degree-based trig, involute function, fixed-point solver for the root-fillet angle</w:t>
            </w:r>
          </w:p>
        </w:tc>
      </w:tr>
      <w:tr>
        <w:tc>
          <w:tcPr>
            <w:tcW w:type="dxa" w:w="4200"/>
            <w:tcMar>
              <w:top w:type="dxa" w:w="60"/>
              <w:left w:type="dxa" w:w="100"/>
              <w:bottom w:type="dxa" w:w="60"/>
              <w:right w:type="dxa" w:w="100"/>
            </w:tcMar>
          </w:tcPr>
          <w:p>
            <w:r>
              <w:rPr>
                <w:b w:val="false"/>
                <w:bCs w:val="false"/>
                <w:sz w:val="20"/>
                <w:szCs w:val="20"/>
              </w:rPr>
              <w:t xml:space="preserve">ISO10300Calc/Calc/CalcTrace.cs</w:t>
            </w:r>
          </w:p>
        </w:tc>
        <w:tc>
          <w:tcPr>
            <w:tcW w:type="dxa" w:w="5300"/>
            <w:tcMar>
              <w:top w:type="dxa" w:w="60"/>
              <w:left w:type="dxa" w:w="100"/>
              <w:bottom w:type="dxa" w:w="60"/>
              <w:right w:type="dxa" w:w="100"/>
            </w:tcMar>
          </w:tcPr>
          <w:p>
            <w:r>
              <w:rPr>
                <w:b w:val="false"/>
                <w:bCs w:val="false"/>
                <w:sz w:val="20"/>
                <w:szCs w:val="20"/>
              </w:rPr>
              <w:t xml:space="preserve">Symbol/equation/value audit-trail report builder</w:t>
            </w:r>
          </w:p>
        </w:tc>
      </w:tr>
      <w:tr>
        <w:tc>
          <w:tcPr>
            <w:tcW w:type="dxa" w:w="4200"/>
            <w:tcMar>
              <w:top w:type="dxa" w:w="60"/>
              <w:left w:type="dxa" w:w="100"/>
              <w:bottom w:type="dxa" w:w="60"/>
              <w:right w:type="dxa" w:w="100"/>
            </w:tcMar>
          </w:tcPr>
          <w:p>
            <w:r>
              <w:rPr>
                <w:b w:val="false"/>
                <w:bCs w:val="false"/>
                <w:sz w:val="20"/>
                <w:szCs w:val="20"/>
              </w:rPr>
              <w:t xml:space="preserve">ISO10300Calc/Calc/VirtualCylindricalGears.cs</w:t>
            </w:r>
          </w:p>
        </w:tc>
        <w:tc>
          <w:tcPr>
            <w:tcW w:type="dxa" w:w="5300"/>
            <w:tcMar>
              <w:top w:type="dxa" w:w="60"/>
              <w:left w:type="dxa" w:w="100"/>
              <w:bottom w:type="dxa" w:w="60"/>
              <w:right w:type="dxa" w:w="100"/>
            </w:tcMar>
          </w:tcPr>
          <w:p>
            <w:r>
              <w:rPr>
                <w:b w:val="false"/>
                <w:bCs w:val="false"/>
                <w:sz w:val="20"/>
                <w:szCs w:val="20"/>
              </w:rPr>
              <w:t xml:space="preserve">Part 1 Annex A geometry engine (general: bevel and hypoid)</w:t>
            </w:r>
          </w:p>
        </w:tc>
      </w:tr>
      <w:tr>
        <w:tc>
          <w:tcPr>
            <w:tcW w:type="dxa" w:w="4200"/>
            <w:tcMar>
              <w:top w:type="dxa" w:w="60"/>
              <w:left w:type="dxa" w:w="100"/>
              <w:bottom w:type="dxa" w:w="60"/>
              <w:right w:type="dxa" w:w="100"/>
            </w:tcMar>
          </w:tcPr>
          <w:p>
            <w:r>
              <w:rPr>
                <w:b w:val="false"/>
                <w:bCs w:val="false"/>
                <w:sz w:val="20"/>
                <w:szCs w:val="20"/>
              </w:rPr>
              <w:t xml:space="preserve">ISO10300Calc/Calc/PittingFactors.cs</w:t>
            </w:r>
          </w:p>
        </w:tc>
        <w:tc>
          <w:tcPr>
            <w:tcW w:type="dxa" w:w="5300"/>
            <w:tcMar>
              <w:top w:type="dxa" w:w="60"/>
              <w:left w:type="dxa" w:w="100"/>
              <w:bottom w:type="dxa" w:w="60"/>
              <w:right w:type="dxa" w:w="100"/>
            </w:tcMar>
          </w:tcPr>
          <w:p>
            <w:r>
              <w:rPr>
                <w:b w:val="false"/>
                <w:bCs w:val="false"/>
                <w:sz w:val="20"/>
                <w:szCs w:val="20"/>
              </w:rPr>
              <w:t xml:space="preserve">Part 2 Method B1 Z-factors, incl. the hypoid factor ZHyp</w:t>
            </w:r>
          </w:p>
        </w:tc>
      </w:tr>
      <w:tr>
        <w:tc>
          <w:tcPr>
            <w:tcW w:type="dxa" w:w="4200"/>
            <w:tcMar>
              <w:top w:type="dxa" w:w="60"/>
              <w:left w:type="dxa" w:w="100"/>
              <w:bottom w:type="dxa" w:w="60"/>
              <w:right w:type="dxa" w:w="100"/>
            </w:tcMar>
          </w:tcPr>
          <w:p>
            <w:r>
              <w:rPr>
                <w:b w:val="false"/>
                <w:bCs w:val="false"/>
                <w:sz w:val="20"/>
                <w:szCs w:val="20"/>
              </w:rPr>
              <w:t xml:space="preserve">ISO10300Calc/Calc/BendingFactors.cs</w:t>
            </w:r>
          </w:p>
        </w:tc>
        <w:tc>
          <w:tcPr>
            <w:tcW w:type="dxa" w:w="5300"/>
            <w:tcMar>
              <w:top w:type="dxa" w:w="60"/>
              <w:left w:type="dxa" w:w="100"/>
              <w:bottom w:type="dxa" w:w="60"/>
              <w:right w:type="dxa" w:w="100"/>
            </w:tcMar>
          </w:tcPr>
          <w:p>
            <w:r>
              <w:rPr>
                <w:b w:val="false"/>
                <w:bCs w:val="false"/>
                <w:sz w:val="20"/>
                <w:szCs w:val="20"/>
              </w:rPr>
              <w:t xml:space="preserve">Part 3 Method B1 Y-factors, incl. tooth-form-factor iteration</w:t>
            </w:r>
          </w:p>
        </w:tc>
      </w:tr>
      <w:tr>
        <w:tc>
          <w:tcPr>
            <w:tcW w:type="dxa" w:w="4200"/>
            <w:tcMar>
              <w:top w:type="dxa" w:w="60"/>
              <w:left w:type="dxa" w:w="100"/>
              <w:bottom w:type="dxa" w:w="60"/>
              <w:right w:type="dxa" w:w="100"/>
            </w:tcMar>
          </w:tcPr>
          <w:p>
            <w:r>
              <w:rPr>
                <w:b w:val="false"/>
                <w:bCs w:val="false"/>
                <w:sz w:val="20"/>
                <w:szCs w:val="20"/>
              </w:rPr>
              <w:t xml:space="preserve">ISO10300Calc/Calc/Iso10300Calculator.cs</w:t>
            </w:r>
          </w:p>
        </w:tc>
        <w:tc>
          <w:tcPr>
            <w:tcW w:type="dxa" w:w="5300"/>
            <w:tcMar>
              <w:top w:type="dxa" w:w="60"/>
              <w:left w:type="dxa" w:w="100"/>
              <w:bottom w:type="dxa" w:w="60"/>
              <w:right w:type="dxa" w:w="100"/>
            </w:tcMar>
          </w:tcPr>
          <w:p>
            <w:r>
              <w:rPr>
                <w:b w:val="false"/>
                <w:bCs w:val="false"/>
                <w:sz w:val="20"/>
                <w:szCs w:val="20"/>
              </w:rPr>
              <w:t xml:space="preserve">Orchestration: Parts 1-3 rating-formula chain</w:t>
            </w:r>
          </w:p>
        </w:tc>
      </w:tr>
      <w:tr>
        <w:tc>
          <w:tcPr>
            <w:tcW w:type="dxa" w:w="4200"/>
            <w:tcMar>
              <w:top w:type="dxa" w:w="60"/>
              <w:left w:type="dxa" w:w="100"/>
              <w:bottom w:type="dxa" w:w="60"/>
              <w:right w:type="dxa" w:w="100"/>
            </w:tcMar>
          </w:tcPr>
          <w:p>
            <w:r>
              <w:rPr>
                <w:b w:val="false"/>
                <w:bCs w:val="false"/>
                <w:sz w:val="20"/>
                <w:szCs w:val="20"/>
              </w:rPr>
              <w:t xml:space="preserve">ISO10300Calc/Calc/SelfTest.cs</w:t>
            </w:r>
          </w:p>
        </w:tc>
        <w:tc>
          <w:tcPr>
            <w:tcW w:type="dxa" w:w="5300"/>
            <w:tcMar>
              <w:top w:type="dxa" w:w="60"/>
              <w:left w:type="dxa" w:w="100"/>
              <w:bottom w:type="dxa" w:w="60"/>
              <w:right w:type="dxa" w:w="100"/>
            </w:tcMar>
          </w:tcPr>
          <w:p>
            <w:r>
              <w:rPr>
                <w:b w:val="false"/>
                <w:bCs w:val="false"/>
                <w:sz w:val="20"/>
                <w:szCs w:val="20"/>
              </w:rPr>
              <w:t xml:space="preserve">--selftest harness (ISO/TR 10300-30 Sample 1, 2, 3 and 4 validation)</w:t>
            </w:r>
          </w:p>
        </w:tc>
      </w:tr>
      <w:tr>
        <w:tc>
          <w:tcPr>
            <w:tcW w:type="dxa" w:w="4200"/>
            <w:tcMar>
              <w:top w:type="dxa" w:w="60"/>
              <w:left w:type="dxa" w:w="100"/>
              <w:bottom w:type="dxa" w:w="60"/>
              <w:right w:type="dxa" w:w="100"/>
            </w:tcMar>
          </w:tcPr>
          <w:p>
            <w:r>
              <w:rPr>
                <w:b w:val="false"/>
                <w:bCs w:val="false"/>
                <w:sz w:val="20"/>
                <w:szCs w:val="20"/>
              </w:rPr>
              <w:t xml:space="preserve">ISO10300Calc/MainForm.cs / .Designer.cs / .resx</w:t>
            </w:r>
          </w:p>
        </w:tc>
        <w:tc>
          <w:tcPr>
            <w:tcW w:type="dxa" w:w="5300"/>
            <w:tcMar>
              <w:top w:type="dxa" w:w="60"/>
              <w:left w:type="dxa" w:w="100"/>
              <w:bottom w:type="dxa" w:w="60"/>
              <w:right w:type="dxa" w:w="100"/>
            </w:tcMar>
          </w:tcPr>
          <w:p>
            <w:r>
              <w:rPr>
                <w:b w:val="false"/>
                <w:bCs w:val="false"/>
                <w:sz w:val="20"/>
                <w:szCs w:val="20"/>
              </w:rPr>
              <w:t xml:space="preserve">PropertyGrid + report UI, four loadable examples</w:t>
            </w:r>
          </w:p>
        </w:tc>
      </w:tr>
      <w:tr>
        <w:tc>
          <w:tcPr>
            <w:tcW w:type="dxa" w:w="4200"/>
            <w:tcMar>
              <w:top w:type="dxa" w:w="60"/>
              <w:left w:type="dxa" w:w="100"/>
              <w:bottom w:type="dxa" w:w="60"/>
              <w:right w:type="dxa" w:w="100"/>
            </w:tcMar>
          </w:tcPr>
          <w:p>
            <w:r>
              <w:rPr>
                <w:b w:val="false"/>
                <w:bCs w:val="false"/>
                <w:sz w:val="20"/>
                <w:szCs w:val="20"/>
              </w:rPr>
              <w:t xml:space="preserve">ISO10300Calc/Program.cs</w:t>
            </w:r>
          </w:p>
        </w:tc>
        <w:tc>
          <w:tcPr>
            <w:tcW w:type="dxa" w:w="5300"/>
            <w:tcMar>
              <w:top w:type="dxa" w:w="60"/>
              <w:left w:type="dxa" w:w="100"/>
              <w:bottom w:type="dxa" w:w="60"/>
              <w:right w:type="dxa" w:w="100"/>
            </w:tcMar>
          </w:tcPr>
          <w:p>
            <w:r>
              <w:rPr>
                <w:b w:val="false"/>
                <w:bCs w:val="false"/>
                <w:sz w:val="20"/>
                <w:szCs w:val="20"/>
              </w:rPr>
              <w:t xml:space="preserve">Entry point</w:t>
            </w:r>
          </w:p>
        </w:tc>
      </w:tr>
      <w:tr>
        <w:tc>
          <w:tcPr>
            <w:tcW w:type="dxa" w:w="4200"/>
            <w:tcMar>
              <w:top w:type="dxa" w:w="60"/>
              <w:left w:type="dxa" w:w="100"/>
              <w:bottom w:type="dxa" w:w="60"/>
              <w:right w:type="dxa" w:w="100"/>
            </w:tcMar>
          </w:tcPr>
          <w:p>
            <w:r>
              <w:rPr>
                <w:b w:val="false"/>
                <w:bCs w:val="false"/>
                <w:sz w:val="20"/>
                <w:szCs w:val="20"/>
              </w:rPr>
              <w:t xml:space="preserve">ISO10300Calc/ISO10300Calc.csproj</w:t>
            </w:r>
          </w:p>
        </w:tc>
        <w:tc>
          <w:tcPr>
            <w:tcW w:type="dxa" w:w="5300"/>
            <w:tcMar>
              <w:top w:type="dxa" w:w="60"/>
              <w:left w:type="dxa" w:w="100"/>
              <w:bottom w:type="dxa" w:w="60"/>
              <w:right w:type="dxa" w:w="100"/>
            </w:tcMar>
          </w:tcPr>
          <w:p>
            <w:r>
              <w:rPr>
                <w:b w:val="false"/>
                <w:bCs w:val="false"/>
                <w:sz w:val="20"/>
                <w:szCs w:val="20"/>
              </w:rPr>
              <w:t xml:space="preserve">Project file (net8.0-windows, WinForms), added to AGMAStandards.sln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2026-09-20T02:00:52.597Z</dcterms:created>
  <dcterms:modified xsi:type="dcterms:W3CDTF">2026-09-20T02:00:52.598Z</dcterms:modified>
</cp:coreProperties>
</file>

<file path=docProps/custom.xml><?xml version="1.0" encoding="utf-8"?>
<Properties xmlns="http://schemas.openxmlformats.org/officeDocument/2006/custom-properties" xmlns:vt="http://schemas.openxmlformats.org/officeDocument/2006/docPropsVTypes"/>
</file>