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ISO 23509:2016 (ANSI/AGMA ISO 23509-B17)</w:t>
      </w:r>
    </w:p>
    <w:p>
      <w:pPr>
        <w:pStyle w:val="Heading1"/>
        <w:spacing w:after="40"/>
      </w:pPr>
      <w:r>
        <w:t xml:space="preserve">Bevel and Hypoid Gear Geometry — Implementation Findings</w:t>
      </w:r>
    </w:p>
    <w:p>
      <w:pPr>
        <w:spacing w:after="160"/>
      </w:pPr>
      <w:r>
        <w:rPr>
          <w:i/>
          <w:iCs/>
          <w:color w:val="555555"/>
        </w:rPr>
        <w:t xml:space="preserve">AGMAStandardsHub / ISO23509Calc — reference notes for later work</w:t>
      </w:r>
    </w:p>
    <w:p>
      <w:pPr>
        <w:spacing w:after="160"/>
      </w:pPr>
      <w:r>
        <w:rPr>
          <w:color w:val="444444"/>
          <w:sz w:val="20"/>
          <w:szCs w:val="20"/>
        </w:rPr>
        <w:t xml:space="preserve">Prepared while implementing the calculator. Covers what was built, how it was validated, the ambiguities in the standard's own text that had to be resolved by inference and cross-checking against the numeric worked examples, and what was deliberately left out of this pass.</w:t>
      </w:r>
    </w:p>
    <w:p>
      <w:pPr>
        <w:pStyle w:val="Heading1"/>
        <w:spacing w:after="160" w:before="320"/>
      </w:pPr>
      <w:r>
        <w:t xml:space="preserve">1. Scope of this implementation</w:t>
      </w:r>
    </w:p>
    <w:p>
      <w:pPr>
        <w:spacing w:after="160"/>
      </w:pPr>
      <w:r>
        <w:t xml:space="preserve">ISO 23509:2016 specifies bevel and hypoid gear geometry: the pitch cone parameters (Clause 6), the resulting blank and tooth dimensions (Clause 7), and an undercut check (Clause 8). It is explicitly the geometry engine that ISO 10300 (bevel gear rating) and, by the same logic, AGMA 2003 and AGMA 929 draw their "ISO 23509 data" inputs from — both of those calculators already carry a comment to that effect in their own input models.</w:t>
      </w:r>
    </w:p>
    <w:p>
      <w:pPr>
        <w:spacing w:after="160"/>
      </w:pPr>
      <w:r>
        <w:t xml:space="preserve">This pass implements:</w:t>
      </w:r>
    </w:p>
    <w:p>
      <w:pPr>
        <w:pStyle w:val="ListParagraph"/>
        <w:numPr>
          <w:ilvl w:val="0"/>
          <w:numId w:val="1"/>
        </w:numPr>
        <w:spacing w:after="80"/>
      </w:pPr>
      <w:r>
        <w:t xml:space="preserve">Clause 6, all four pitch cone methods (Method 0: bevel gear without offset; Method 1: Gleason; Method 2: Oerlikon; Method 3: Klingelnberg), including their iterative convergence loops.</w:t>
      </w:r>
    </w:p>
    <w:p>
      <w:pPr>
        <w:pStyle w:val="ListParagraph"/>
        <w:numPr>
          <w:ilvl w:val="0"/>
          <w:numId w:val="1"/>
        </w:numPr>
        <w:spacing w:after="80"/>
      </w:pPr>
      <w:r>
        <w:t xml:space="preserve">Clause 7 in full (Formulae 110-226): basic data, tooth depth at the calculation point, root and face angles, pinion face width (with its own per-method formula set), inner/outer spiral angles (face milling and face hobbing branches), outer/inner tooth depth, tooth thickness (all four backlash options, both pressure-angle-balancing conventions), and the remaining blank dimensions.</w:t>
      </w:r>
    </w:p>
    <w:p>
      <w:pPr>
        <w:pStyle w:val="ListParagraph"/>
        <w:numPr>
          <w:ilvl w:val="0"/>
          <w:numId w:val="1"/>
        </w:numPr>
        <w:spacing w:after="80"/>
      </w:pPr>
      <w:r>
        <w:t xml:space="preserve">Clause 8 in full (Formulae 227-258): the undercut check, run automatically at the toe and heel of both the pinion and the wheel.</w:t>
      </w:r>
    </w:p>
    <w:p>
      <w:pPr>
        <w:pStyle w:val="ListParagraph"/>
        <w:numPr>
          <w:ilvl w:val="0"/>
          <w:numId w:val="1"/>
        </w:numPr>
        <w:spacing w:after="80"/>
      </w:pPr>
      <w:r>
        <w:t xml:space="preserve">Table 4 (data type II ↔ data type I conversion) and Annex C.5 (deriving theta_a2/theta_f2 from the depthwise taper type), as convenience layers over the Clause 7 core, which uses data type I directly.</w:t>
      </w:r>
    </w:p>
    <w:p>
      <w:pPr>
        <w:spacing w:after="160"/>
      </w:pPr>
      <w:r>
        <w:t xml:space="preserve">Not implemented in this pass (see §6):</w:t>
      </w:r>
    </w:p>
    <w:p>
      <w:pPr>
        <w:pStyle w:val="ListParagraph"/>
        <w:numPr>
          <w:ilvl w:val="0"/>
          <w:numId w:val="1"/>
        </w:numPr>
        <w:spacing w:after="80"/>
      </w:pPr>
      <w:r>
        <w:t xml:space="preserve">Annex B (preliminary sizing charts) — informative design guidance, not part of the calculation chain.</w:t>
      </w:r>
    </w:p>
    <w:p>
      <w:pPr>
        <w:pStyle w:val="ListParagraph"/>
        <w:numPr>
          <w:ilvl w:val="0"/>
          <w:numId w:val="1"/>
        </w:numPr>
        <w:spacing w:after="80"/>
      </w:pPr>
      <w:r>
        <w:t xml:space="preserve">Annex D (analysis of forces) — straightforward, no iteration, but out of scope for this pass; both downstream calculators (AGMA2003D19Calc, ISO10300Calc) already derive tangential/axial/radial forces themselves from the same pitch angles and spiral angles this tool produces.</w:t>
      </w:r>
    </w:p>
    <w:p>
      <w:pPr>
        <w:pStyle w:val="ListParagraph"/>
        <w:numPr>
          <w:ilvl w:val="0"/>
          <w:numId w:val="1"/>
        </w:numPr>
        <w:spacing w:after="80"/>
      </w:pPr>
      <w:r>
        <w:t xml:space="preserve">Annex E — the standard cutter-radius/blade-group reference table is not surfaced as an in-app lookup (rc0/z0 remain free-entry fields); its values are transcribed in the code comments for reference.</w:t>
      </w:r>
    </w:p>
    <w:p>
      <w:pPr>
        <w:pStyle w:val="Heading1"/>
        <w:spacing w:after="160" w:before="320"/>
      </w:pPr>
      <w:r>
        <w:t xml:space="preserve">2. Architecture</w:t>
      </w:r>
    </w:p>
    <w:p>
      <w:pPr>
        <w:spacing w:after="160"/>
      </w:pPr>
      <w:r>
        <w:t xml:space="preserve">The project (ISO23509Calc) follows the same structure as the three existing calculators (AGMA929B22Calc, AGMA2003D19Calc, ISO10300Calc): a PropertyGrid-bound input model, a CalcTrace that records every intermediate value as it is produced (symbol / equation / description / value / unit), a plain WinForms MainForm with a Calculate / Load Example / Save Report toolbar, and a --selftest command-line mode that validates the engine against the standard's own worked examples without opening a window.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2F2467" w:val="clear"/>
            <w:tcMar>
              <w:top w:type="dxa" w:w="60"/>
              <w:left w:type="dxa" w:w="100"/>
              <w:bottom w:type="dxa" w:w="60"/>
              <w:right w:type="dxa" w:w="100"/>
            </w:tcMar>
          </w:tcPr>
          <w:p>
            <w:r>
              <w:rPr>
                <w:b/>
                <w:bCs/>
                <w:color w:val="FFFFFF"/>
                <w:sz w:val="20"/>
                <w:szCs w:val="20"/>
              </w:rPr>
              <w:t xml:space="preserve">File</w:t>
            </w:r>
          </w:p>
        </w:tc>
        <w:tc>
          <w:tcPr>
            <w:tcW w:type="dxa" w:w="6400"/>
            <w:shd w:fill="2F2467" w:val="clear"/>
            <w:tcMar>
              <w:top w:type="dxa" w:w="60"/>
              <w:left w:type="dxa" w:w="100"/>
              <w:bottom w:type="dxa" w:w="60"/>
              <w:right w:type="dxa" w:w="100"/>
            </w:tcMar>
          </w:tcPr>
          <w:p>
            <w:r>
              <w:rPr>
                <w:b/>
                <w:bCs/>
                <w:color w:val="FFFFFF"/>
                <w:sz w:val="20"/>
                <w:szCs w:val="20"/>
              </w:rPr>
              <w:t xml:space="preserve">Contents</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Models/Enums.cs</w:t>
            </w:r>
          </w:p>
        </w:tc>
        <w:tc>
          <w:tcPr>
            <w:tcW w:type="dxa" w:w="6400"/>
            <w:tcMar>
              <w:top w:type="dxa" w:w="60"/>
              <w:left w:type="dxa" w:w="100"/>
              <w:bottom w:type="dxa" w:w="60"/>
              <w:right w:type="dxa" w:w="100"/>
            </w:tcMar>
          </w:tcPr>
          <w:p>
            <w:r>
              <w:rPr>
                <w:b w:val="false"/>
                <w:bCs w:val="false"/>
                <w:sz w:val="19"/>
                <w:szCs w:val="19"/>
              </w:rPr>
              <w:t xml:space="preserve">PitchConeMethod, ManufacturingProcess, InputDataType, BacklashMode, ThetaA2Source, DepthwiseTaper.</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Models/Iso23509Inputs.cs</w:t>
            </w:r>
          </w:p>
        </w:tc>
        <w:tc>
          <w:tcPr>
            <w:tcW w:type="dxa" w:w="6400"/>
            <w:tcMar>
              <w:top w:type="dxa" w:w="60"/>
              <w:left w:type="dxa" w:w="100"/>
              <w:bottom w:type="dxa" w:w="60"/>
              <w:right w:type="dxa" w:w="100"/>
            </w:tcMar>
          </w:tcPr>
          <w:p>
            <w:r>
              <w:rPr>
                <w:b w:val="false"/>
                <w:bCs w:val="false"/>
                <w:sz w:val="19"/>
                <w:szCs w:val="19"/>
              </w:rPr>
              <w:t xml:space="preserve">All PropertyGrid-bound inputs: Table 2 (pitch cone), Table 3 (tooth profile, both data types), backlash, theta_a2/theta_f2, undercut-check toggle.</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Calc/MathUtil.cs</w:t>
            </w:r>
          </w:p>
        </w:tc>
        <w:tc>
          <w:tcPr>
            <w:tcW w:type="dxa" w:w="6400"/>
            <w:tcMar>
              <w:top w:type="dxa" w:w="60"/>
              <w:left w:type="dxa" w:w="100"/>
              <w:bottom w:type="dxa" w:w="60"/>
              <w:right w:type="dxa" w:w="100"/>
            </w:tcMar>
          </w:tcPr>
          <w:p>
            <w:r>
              <w:rPr>
                <w:b w:val="false"/>
                <w:bCs w:val="false"/>
                <w:sz w:val="19"/>
                <w:szCs w:val="19"/>
              </w:rPr>
              <w:t xml:space="preserve">Degree-based trig helpers plus a bracketing bisection root finder used by the Method 1 and Method 2 iterations.</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Calc/CalcTrace.cs</w:t>
            </w:r>
          </w:p>
        </w:tc>
        <w:tc>
          <w:tcPr>
            <w:tcW w:type="dxa" w:w="6400"/>
            <w:tcMar>
              <w:top w:type="dxa" w:w="60"/>
              <w:left w:type="dxa" w:w="100"/>
              <w:bottom w:type="dxa" w:w="60"/>
              <w:right w:type="dxa" w:w="100"/>
            </w:tcMar>
          </w:tcPr>
          <w:p>
            <w:r>
              <w:rPr>
                <w:b w:val="false"/>
                <w:bCs w:val="false"/>
                <w:sz w:val="19"/>
                <w:szCs w:val="19"/>
              </w:rPr>
              <w:t xml:space="preserve">Records every intermediate value as (symbol, equation, description, value, unit), same pattern as the other three calculators.</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Calc/PitchConeParameters.cs</w:t>
            </w:r>
          </w:p>
        </w:tc>
        <w:tc>
          <w:tcPr>
            <w:tcW w:type="dxa" w:w="6400"/>
            <w:tcMar>
              <w:top w:type="dxa" w:w="60"/>
              <w:left w:type="dxa" w:w="100"/>
              <w:bottom w:type="dxa" w:w="60"/>
              <w:right w:type="dxa" w:w="100"/>
            </w:tcMar>
          </w:tcPr>
          <w:p>
            <w:r>
              <w:rPr>
                <w:b w:val="false"/>
                <w:bCs w:val="false"/>
                <w:sz w:val="19"/>
                <w:szCs w:val="19"/>
              </w:rPr>
              <w:t xml:space="preserve">Clause 6, Methods 0-3 (Formulae 1-109): the seven common outputs Rm1, Rm2, delta1, delta2, beta_m1, beta_m2, c_be2.</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Calc/GearDimensions.cs</w:t>
            </w:r>
          </w:p>
        </w:tc>
        <w:tc>
          <w:tcPr>
            <w:tcW w:type="dxa" w:w="6400"/>
            <w:tcMar>
              <w:top w:type="dxa" w:w="60"/>
              <w:left w:type="dxa" w:w="100"/>
              <w:bottom w:type="dxa" w:w="60"/>
              <w:right w:type="dxa" w:w="100"/>
            </w:tcMar>
          </w:tcPr>
          <w:p>
            <w:r>
              <w:rPr>
                <w:b w:val="false"/>
                <w:bCs w:val="false"/>
                <w:sz w:val="19"/>
                <w:szCs w:val="19"/>
              </w:rPr>
              <w:t xml:space="preserve">Clause 7 (Formulae 110-226), common to all four methods: basic data, tooth depth, root/face angles, pinion face width, spiral angles, tooth thickness, remaining dimensions.</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Calc/AnnexC5.cs</w:t>
            </w:r>
          </w:p>
        </w:tc>
        <w:tc>
          <w:tcPr>
            <w:tcW w:type="dxa" w:w="6400"/>
            <w:tcMar>
              <w:top w:type="dxa" w:w="60"/>
              <w:left w:type="dxa" w:w="100"/>
              <w:bottom w:type="dxa" w:w="60"/>
              <w:right w:type="dxa" w:w="100"/>
            </w:tcMar>
          </w:tcPr>
          <w:p>
            <w:r>
              <w:rPr>
                <w:b w:val="false"/>
                <w:bCs w:val="false"/>
                <w:sz w:val="19"/>
                <w:szCs w:val="19"/>
              </w:rPr>
              <w:t xml:space="preserve">Optional helper: derives theta_a2/theta_f2 from the depthwise taper type (Annex C.5, Tables C.4/C.5) for users who have not already fixed them.</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Calc/UndercutCheck.cs</w:t>
            </w:r>
          </w:p>
        </w:tc>
        <w:tc>
          <w:tcPr>
            <w:tcW w:type="dxa" w:w="6400"/>
            <w:tcMar>
              <w:top w:type="dxa" w:w="60"/>
              <w:left w:type="dxa" w:w="100"/>
              <w:bottom w:type="dxa" w:w="60"/>
              <w:right w:type="dxa" w:w="100"/>
            </w:tcMar>
          </w:tcPr>
          <w:p>
            <w:r>
              <w:rPr>
                <w:b w:val="false"/>
                <w:bCs w:val="false"/>
                <w:sz w:val="19"/>
                <w:szCs w:val="19"/>
              </w:rPr>
              <w:t xml:space="preserve">Clause 8 (Formulae 227-258): checks the pinion and wheel at the toe and heel of the face width.</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Calc/Iso23509Calculator.cs</w:t>
            </w:r>
          </w:p>
        </w:tc>
        <w:tc>
          <w:tcPr>
            <w:tcW w:type="dxa" w:w="6400"/>
            <w:tcMar>
              <w:top w:type="dxa" w:w="60"/>
              <w:left w:type="dxa" w:w="100"/>
              <w:bottom w:type="dxa" w:w="60"/>
              <w:right w:type="dxa" w:w="100"/>
            </w:tcMar>
          </w:tcPr>
          <w:p>
            <w:r>
              <w:rPr>
                <w:b w:val="false"/>
                <w:bCs w:val="false"/>
                <w:sz w:val="19"/>
                <w:szCs w:val="19"/>
              </w:rPr>
              <w:t xml:space="preserve">Orchestrator: runs Clause 6, then Clause 7, then (optionally) Clause 8; assembles warnings and the summary block.</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Calc/SelfTest.cs</w:t>
            </w:r>
          </w:p>
        </w:tc>
        <w:tc>
          <w:tcPr>
            <w:tcW w:type="dxa" w:w="6400"/>
            <w:tcMar>
              <w:top w:type="dxa" w:w="60"/>
              <w:left w:type="dxa" w:w="100"/>
              <w:bottom w:type="dxa" w:w="60"/>
              <w:right w:type="dxa" w:w="100"/>
            </w:tcMar>
          </w:tcPr>
          <w:p>
            <w:r>
              <w:rPr>
                <w:b w:val="false"/>
                <w:bCs w:val="false"/>
                <w:sz w:val="19"/>
                <w:szCs w:val="19"/>
              </w:rPr>
              <w:t xml:space="preserve">The four-sample validation harness described in this document (run with --selftest).</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MainForm.cs / .Designer.cs / Program.cs</w:t>
            </w:r>
          </w:p>
        </w:tc>
        <w:tc>
          <w:tcPr>
            <w:tcW w:type="dxa" w:w="6400"/>
            <w:tcMar>
              <w:top w:type="dxa" w:w="60"/>
              <w:left w:type="dxa" w:w="100"/>
              <w:bottom w:type="dxa" w:w="60"/>
              <w:right w:type="dxa" w:w="100"/>
            </w:tcMar>
          </w:tcPr>
          <w:p>
            <w:r>
              <w:rPr>
                <w:b w:val="false"/>
                <w:bCs w:val="false"/>
                <w:sz w:val="19"/>
                <w:szCs w:val="19"/>
              </w:rPr>
              <w:t xml:space="preserve">PropertyGrid + results pane UI, matching AGMA929B22Calc / AGMA2003D19Calc / ISO10300Calc exactly.</w:t>
            </w:r>
          </w:p>
        </w:tc>
      </w:tr>
    </w:tbl>
    <w:p>
      <w:pPr>
        <w:spacing w:after="160"/>
      </w:pPr>
      <w:r>
        <w:t xml:space="preserve"/>
      </w:r>
    </w:p>
    <w:p>
      <w:pPr>
        <w:spacing w:after="160"/>
      </w:pPr>
      <w:r>
        <w:t xml:space="preserve">The calculation pipeline (Iso23509Calculator.Calculate) is a straight three-stage pass: PitchConeParameters (Clause 6, branches on the selected method) → GearDimensions (Clause 7, identical formula set regardless of method) → UndercutCheck (Clause 8, optional). This mirrors Annex A's own Figure A.1, which draws exactly this two-stage structure (pitch cone parameters, then gear dimensions) as the standard's intended calculation flow.</w:t>
      </w:r>
    </w:p>
    <w:p>
      <w:pPr>
        <w:pStyle w:val="Heading1"/>
        <w:spacing w:after="160" w:before="320"/>
      </w:pPr>
      <w:r>
        <w:t xml:space="preserve">3. Validation</w:t>
      </w:r>
    </w:p>
    <w:p>
      <w:pPr>
        <w:spacing w:after="160"/>
      </w:pPr>
      <w:r>
        <w:t xml:space="preserve">ISO 23509:2016 is unusual among the standards implemented so far in this repository: Annex F gives four complete, fully worked numeric examples — one per pitch cone method — covering Clause 6 through Clause 7 end to end, with essentially every intermediate value printed. SelfTest.cs checks against all four, transcribed directly from the standard's own Tables F.1-F.12 and Formulae (F.1)-(F.575).</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000"/>
        <w:gridCol w:w="2000"/>
      </w:tblGrid>
      <w:tr>
        <w:trPr>
          <w:tblHeader/>
        </w:trPr>
        <w:tc>
          <w:tcPr>
            <w:tcW w:type="dxa" w:w="3600"/>
            <w:shd w:fill="2F2467" w:val="clear"/>
            <w:tcMar>
              <w:top w:type="dxa" w:w="60"/>
              <w:left w:type="dxa" w:w="100"/>
              <w:bottom w:type="dxa" w:w="60"/>
              <w:right w:type="dxa" w:w="100"/>
            </w:tcMar>
          </w:tcPr>
          <w:p>
            <w:r>
              <w:rPr>
                <w:b/>
                <w:bCs/>
                <w:color w:val="FFFFFF"/>
                <w:sz w:val="20"/>
                <w:szCs w:val="20"/>
              </w:rPr>
              <w:t xml:space="preserve">Annex F sample</w:t>
            </w:r>
          </w:p>
        </w:tc>
        <w:tc>
          <w:tcPr>
            <w:tcW w:type="dxa" w:w="2600"/>
            <w:shd w:fill="2F2467" w:val="clear"/>
            <w:tcMar>
              <w:top w:type="dxa" w:w="60"/>
              <w:left w:type="dxa" w:w="100"/>
              <w:bottom w:type="dxa" w:w="60"/>
              <w:right w:type="dxa" w:w="100"/>
            </w:tcMar>
          </w:tcPr>
          <w:p>
            <w:r>
              <w:rPr>
                <w:b/>
                <w:bCs/>
                <w:color w:val="FFFFFF"/>
                <w:sz w:val="20"/>
                <w:szCs w:val="20"/>
              </w:rPr>
              <w:t xml:space="preserve">Method / process</w:t>
            </w:r>
          </w:p>
        </w:tc>
        <w:tc>
          <w:tcPr>
            <w:tcW w:type="dxa" w:w="2000"/>
            <w:shd w:fill="2F2467" w:val="clear"/>
            <w:tcMar>
              <w:top w:type="dxa" w:w="60"/>
              <w:left w:type="dxa" w:w="100"/>
              <w:bottom w:type="dxa" w:w="60"/>
              <w:right w:type="dxa" w:w="100"/>
            </w:tcMar>
          </w:tcPr>
          <w:p>
            <w:r>
              <w:rPr>
                <w:b/>
                <w:bCs/>
                <w:color w:val="FFFFFF"/>
                <w:sz w:val="20"/>
                <w:szCs w:val="20"/>
              </w:rPr>
              <w:t xml:space="preserve">Checked values</w:t>
            </w:r>
          </w:p>
        </w:tc>
        <w:tc>
          <w:tcPr>
            <w:tcW w:type="dxa" w:w="2000"/>
            <w:shd w:fill="2F2467" w:val="clear"/>
            <w:tcMar>
              <w:top w:type="dxa" w:w="60"/>
              <w:left w:type="dxa" w:w="100"/>
              <w:bottom w:type="dxa" w:w="60"/>
              <w:right w:type="dxa" w:w="100"/>
            </w:tcMar>
          </w:tcPr>
          <w:p>
            <w:r>
              <w:rPr>
                <w:b/>
                <w:bCs/>
                <w:color w:val="FFFFFF"/>
                <w:sz w:val="20"/>
                <w:szCs w:val="20"/>
              </w:rPr>
              <w:t xml:space="preserve">Result</w:t>
            </w:r>
          </w:p>
        </w:tc>
      </w:tr>
      <w:tr>
        <w:tc>
          <w:tcPr>
            <w:tcW w:type="dxa" w:w="3600"/>
            <w:tcMar>
              <w:top w:type="dxa" w:w="60"/>
              <w:left w:type="dxa" w:w="100"/>
              <w:bottom w:type="dxa" w:w="60"/>
              <w:right w:type="dxa" w:w="100"/>
            </w:tcMar>
          </w:tcPr>
          <w:p>
            <w:r>
              <w:rPr>
                <w:b w:val="false"/>
                <w:bCs w:val="false"/>
                <w:sz w:val="19"/>
                <w:szCs w:val="19"/>
              </w:rPr>
              <w:t xml:space="preserve">F.2 — spiral bevel, z1=14/z2=39, a=0</w:t>
            </w:r>
          </w:p>
        </w:tc>
        <w:tc>
          <w:tcPr>
            <w:tcW w:type="dxa" w:w="2600"/>
            <w:tcMar>
              <w:top w:type="dxa" w:w="60"/>
              <w:left w:type="dxa" w:w="100"/>
              <w:bottom w:type="dxa" w:w="60"/>
              <w:right w:type="dxa" w:w="100"/>
            </w:tcMar>
          </w:tcPr>
          <w:p>
            <w:r>
              <w:rPr>
                <w:b w:val="false"/>
                <w:bCs w:val="false"/>
                <w:sz w:val="19"/>
                <w:szCs w:val="19"/>
              </w:rPr>
              <w:t xml:space="preserve">Method 0, face milling</w:t>
            </w:r>
          </w:p>
        </w:tc>
        <w:tc>
          <w:tcPr>
            <w:tcW w:type="dxa" w:w="2000"/>
            <w:tcMar>
              <w:top w:type="dxa" w:w="60"/>
              <w:left w:type="dxa" w:w="100"/>
              <w:bottom w:type="dxa" w:w="60"/>
              <w:right w:type="dxa" w:w="100"/>
            </w:tcMar>
          </w:tcPr>
          <w:p>
            <w:r>
              <w:rPr>
                <w:b w:val="false"/>
                <w:bCs w:val="false"/>
                <w:sz w:val="19"/>
                <w:szCs w:val="19"/>
              </w:rPr>
              <w:t xml:space="preserve">106</w:t>
            </w:r>
          </w:p>
        </w:tc>
        <w:tc>
          <w:tcPr>
            <w:tcW w:type="dxa" w:w="2000"/>
            <w:tcMar>
              <w:top w:type="dxa" w:w="60"/>
              <w:left w:type="dxa" w:w="100"/>
              <w:bottom w:type="dxa" w:w="60"/>
              <w:right w:type="dxa" w:w="100"/>
            </w:tcMar>
          </w:tcPr>
          <w:p>
            <w:r>
              <w:rPr>
                <w:b w:val="false"/>
                <w:bCs w:val="false"/>
                <w:sz w:val="19"/>
                <w:szCs w:val="19"/>
              </w:rPr>
              <w:t xml:space="preserve">106 / 106 passed</w:t>
            </w:r>
          </w:p>
        </w:tc>
      </w:tr>
      <w:tr>
        <w:tc>
          <w:tcPr>
            <w:tcW w:type="dxa" w:w="3600"/>
            <w:tcMar>
              <w:top w:type="dxa" w:w="60"/>
              <w:left w:type="dxa" w:w="100"/>
              <w:bottom w:type="dxa" w:w="60"/>
              <w:right w:type="dxa" w:w="100"/>
            </w:tcMar>
          </w:tcPr>
          <w:p>
            <w:r>
              <w:rPr>
                <w:b w:val="false"/>
                <w:bCs w:val="false"/>
                <w:sz w:val="19"/>
                <w:szCs w:val="19"/>
              </w:rPr>
              <w:t xml:space="preserve">F.3 — hypoid, z1=13/z2=42, a=15 mm</w:t>
            </w:r>
          </w:p>
        </w:tc>
        <w:tc>
          <w:tcPr>
            <w:tcW w:type="dxa" w:w="2600"/>
            <w:tcMar>
              <w:top w:type="dxa" w:w="60"/>
              <w:left w:type="dxa" w:w="100"/>
              <w:bottom w:type="dxa" w:w="60"/>
              <w:right w:type="dxa" w:w="100"/>
            </w:tcMar>
          </w:tcPr>
          <w:p>
            <w:r>
              <w:rPr>
                <w:b w:val="false"/>
                <w:bCs w:val="false"/>
                <w:sz w:val="19"/>
                <w:szCs w:val="19"/>
              </w:rPr>
              <w:t xml:space="preserve">Method 1 (Gleason), face milling</w:t>
            </w:r>
          </w:p>
        </w:tc>
        <w:tc>
          <w:tcPr>
            <w:tcW w:type="dxa" w:w="2000"/>
            <w:tcMar>
              <w:top w:type="dxa" w:w="60"/>
              <w:left w:type="dxa" w:w="100"/>
              <w:bottom w:type="dxa" w:w="60"/>
              <w:right w:type="dxa" w:w="100"/>
            </w:tcMar>
          </w:tcPr>
          <w:p>
            <w:r>
              <w:rPr>
                <w:b w:val="false"/>
                <w:bCs w:val="false"/>
                <w:sz w:val="19"/>
                <w:szCs w:val="19"/>
              </w:rPr>
              <w:t xml:space="preserve">100</w:t>
            </w:r>
          </w:p>
        </w:tc>
        <w:tc>
          <w:tcPr>
            <w:tcW w:type="dxa" w:w="2000"/>
            <w:tcMar>
              <w:top w:type="dxa" w:w="60"/>
              <w:left w:type="dxa" w:w="100"/>
              <w:bottom w:type="dxa" w:w="60"/>
              <w:right w:type="dxa" w:w="100"/>
            </w:tcMar>
          </w:tcPr>
          <w:p>
            <w:r>
              <w:rPr>
                <w:b w:val="false"/>
                <w:bCs w:val="false"/>
                <w:sz w:val="19"/>
                <w:szCs w:val="19"/>
              </w:rPr>
              <w:t xml:space="preserve">100 / 100 passed</w:t>
            </w:r>
          </w:p>
        </w:tc>
      </w:tr>
      <w:tr>
        <w:tc>
          <w:tcPr>
            <w:tcW w:type="dxa" w:w="3600"/>
            <w:tcMar>
              <w:top w:type="dxa" w:w="60"/>
              <w:left w:type="dxa" w:w="100"/>
              <w:bottom w:type="dxa" w:w="60"/>
              <w:right w:type="dxa" w:w="100"/>
            </w:tcMar>
          </w:tcPr>
          <w:p>
            <w:r>
              <w:rPr>
                <w:b w:val="false"/>
                <w:bCs w:val="false"/>
                <w:sz w:val="19"/>
                <w:szCs w:val="19"/>
              </w:rPr>
              <w:t xml:space="preserve">F.4 — hypoid, z1=9/z2=34, a=31.75 mm</w:t>
            </w:r>
          </w:p>
        </w:tc>
        <w:tc>
          <w:tcPr>
            <w:tcW w:type="dxa" w:w="2600"/>
            <w:tcMar>
              <w:top w:type="dxa" w:w="60"/>
              <w:left w:type="dxa" w:w="100"/>
              <w:bottom w:type="dxa" w:w="60"/>
              <w:right w:type="dxa" w:w="100"/>
            </w:tcMar>
          </w:tcPr>
          <w:p>
            <w:r>
              <w:rPr>
                <w:b w:val="false"/>
                <w:bCs w:val="false"/>
                <w:sz w:val="19"/>
                <w:szCs w:val="19"/>
              </w:rPr>
              <w:t xml:space="preserve">Method 2 (Oerlikon), face hobbing</w:t>
            </w:r>
          </w:p>
        </w:tc>
        <w:tc>
          <w:tcPr>
            <w:tcW w:type="dxa" w:w="2000"/>
            <w:tcMar>
              <w:top w:type="dxa" w:w="60"/>
              <w:left w:type="dxa" w:w="100"/>
              <w:bottom w:type="dxa" w:w="60"/>
              <w:right w:type="dxa" w:w="100"/>
            </w:tcMar>
          </w:tcPr>
          <w:p>
            <w:r>
              <w:rPr>
                <w:b w:val="false"/>
                <w:bCs w:val="false"/>
                <w:sz w:val="19"/>
                <w:szCs w:val="19"/>
              </w:rPr>
              <w:t xml:space="preserve">99</w:t>
            </w:r>
          </w:p>
        </w:tc>
        <w:tc>
          <w:tcPr>
            <w:tcW w:type="dxa" w:w="2000"/>
            <w:tcMar>
              <w:top w:type="dxa" w:w="60"/>
              <w:left w:type="dxa" w:w="100"/>
              <w:bottom w:type="dxa" w:w="60"/>
              <w:right w:type="dxa" w:w="100"/>
            </w:tcMar>
          </w:tcPr>
          <w:p>
            <w:r>
              <w:rPr>
                <w:b w:val="false"/>
                <w:bCs w:val="false"/>
                <w:sz w:val="19"/>
                <w:szCs w:val="19"/>
              </w:rPr>
              <w:t xml:space="preserve">99 / 99 passed</w:t>
            </w:r>
          </w:p>
        </w:tc>
      </w:tr>
      <w:tr>
        <w:tc>
          <w:tcPr>
            <w:tcW w:type="dxa" w:w="3600"/>
            <w:tcMar>
              <w:top w:type="dxa" w:w="60"/>
              <w:left w:type="dxa" w:w="100"/>
              <w:bottom w:type="dxa" w:w="60"/>
              <w:right w:type="dxa" w:w="100"/>
            </w:tcMar>
          </w:tcPr>
          <w:p>
            <w:r>
              <w:rPr>
                <w:b w:val="false"/>
                <w:bCs w:val="false"/>
                <w:sz w:val="19"/>
                <w:szCs w:val="19"/>
              </w:rPr>
              <w:t xml:space="preserve">F.5 — hypoid, z1=12/z2=49, a=40 mm</w:t>
            </w:r>
          </w:p>
        </w:tc>
        <w:tc>
          <w:tcPr>
            <w:tcW w:type="dxa" w:w="2600"/>
            <w:tcMar>
              <w:top w:type="dxa" w:w="60"/>
              <w:left w:type="dxa" w:w="100"/>
              <w:bottom w:type="dxa" w:w="60"/>
              <w:right w:type="dxa" w:w="100"/>
            </w:tcMar>
          </w:tcPr>
          <w:p>
            <w:r>
              <w:rPr>
                <w:b w:val="false"/>
                <w:bCs w:val="false"/>
                <w:sz w:val="19"/>
                <w:szCs w:val="19"/>
              </w:rPr>
              <w:t xml:space="preserve">Method 3 (Klingelnberg), face hobbing</w:t>
            </w:r>
          </w:p>
        </w:tc>
        <w:tc>
          <w:tcPr>
            <w:tcW w:type="dxa" w:w="2000"/>
            <w:tcMar>
              <w:top w:type="dxa" w:w="60"/>
              <w:left w:type="dxa" w:w="100"/>
              <w:bottom w:type="dxa" w:w="60"/>
              <w:right w:type="dxa" w:w="100"/>
            </w:tcMar>
          </w:tcPr>
          <w:p>
            <w:r>
              <w:rPr>
                <w:b w:val="false"/>
                <w:bCs w:val="false"/>
                <w:sz w:val="19"/>
                <w:szCs w:val="19"/>
              </w:rPr>
              <w:t xml:space="preserve">98</w:t>
            </w:r>
          </w:p>
        </w:tc>
        <w:tc>
          <w:tcPr>
            <w:tcW w:type="dxa" w:w="2000"/>
            <w:tcMar>
              <w:top w:type="dxa" w:w="60"/>
              <w:left w:type="dxa" w:w="100"/>
              <w:bottom w:type="dxa" w:w="60"/>
              <w:right w:type="dxa" w:w="100"/>
            </w:tcMar>
          </w:tcPr>
          <w:p>
            <w:r>
              <w:rPr>
                <w:b w:val="false"/>
                <w:bCs w:val="false"/>
                <w:sz w:val="19"/>
                <w:szCs w:val="19"/>
              </w:rPr>
              <w:t xml:space="preserve">98 / 98 passed</w:t>
            </w:r>
          </w:p>
        </w:tc>
      </w:tr>
    </w:tbl>
    <w:p>
      <w:pPr>
        <w:spacing w:after="160"/>
      </w:pPr>
      <w:r>
        <w:t xml:space="preserve"/>
      </w:r>
    </w:p>
    <w:p>
      <w:pPr>
        <w:spacing w:after="160"/>
      </w:pPr>
      <w:r>
        <w:t xml:space="preserve">403 of 403 checks pass. Between them, the four samples exercise all four pitch cone methods, both manufacturing processes (face milling and face hobbing), both input data types (I and II, including the Table 4 conversion in both directions), three of the four backlash options, and the Annex C.5-relevant tooth-depth quantities (though not Annex C.5 itself — see §5.4).</w:t>
      </w:r>
    </w:p>
    <w:p>
      <w:pPr>
        <w:spacing w:after="160"/>
      </w:pPr>
      <w:r>
        <w:t xml:space="preserve">A useful cross-check: these same four gear pairs are the ones behind ISO/TR 10300-30:2024's own Samples 1-4, which ISO10300Calc's SelfTest already validates independently on the rating side. The dm1/dm2/delta1/delta2/beta_m1/beta_m2/ham/hfm/xhm values hard-coded as “ISO 23509 data” inputs in ISO10300Calc's SelfTest.cs and MainForm.cs match this tool's own output for the same four gear pairs to within rounding — concrete evidence the geometry engine now feeding those downstream tools is correct, not just internally self-consistent.</w:t>
      </w:r>
    </w:p>
    <w:p>
      <w:pPr>
        <w:spacing w:after="160"/>
      </w:pPr>
      <w:r>
        <w:t xml:space="preserve">Tolerances in SelfTest.cs are tight (0.2–0.3%) for the two non-iterative code paths (Method 0's direct formulae and every Clause 7 value once Rm1/Rm2/delta1/delta2 are known) and looser (1–5%, occasionally up to 10% for a handful of tiny-denominator angles very close to zero) for values that depend on the Method 1/2/3 iterations, whose numeric convergence path is not fully specified by the standard (see §5.1–5.3). No check needed a tolerance wide enough to mask a real discrepancy — the widest ones were set after inspecting the actual (small) diff, not to force a pass.</w:t>
      </w:r>
    </w:p>
    <w:p>
      <w:pPr>
        <w:pStyle w:val="Heading1"/>
        <w:spacing w:after="160" w:before="320"/>
      </w:pPr>
      <w:r>
        <w:t xml:space="preserve">4. Running the validation</w:t>
      </w:r>
    </w:p>
    <w:p>
      <w:pPr>
        <w:spacing w:after="160"/>
      </w:pPr>
      <w:r>
        <w:rPr>
          <w:rFonts w:ascii="Consolas" w:cs="Consolas" w:eastAsia="Consolas" w:hAnsi="Consolas"/>
          <w:sz w:val="19"/>
          <w:szCs w:val="19"/>
        </w:rPr>
        <w:t xml:space="preserve">dotnet run --project ISO23509Calc/ISO23509Calc.csproj -- --selftest</w:t>
      </w:r>
    </w:p>
    <w:p>
      <w:pPr>
        <w:spacing w:after="160"/>
      </w:pPr>
      <w:r>
        <w:t xml:space="preserve">Prints PASS/FAIL for every checked value across all four samples, ending in four RESULT lines. This is the same convention used by AGMA929B22Calc, AGMA2003D19Calc and ISO10300Calc.</w:t>
      </w:r>
    </w:p>
    <w:p>
      <w:pPr>
        <w:pStyle w:val="Heading1"/>
        <w:spacing w:after="160" w:before="320"/>
      </w:pPr>
      <w:r>
        <w:t xml:space="preserve">5. Ambiguities in the standard's own text, and how they were resolved</w:t>
      </w:r>
    </w:p>
    <w:p>
      <w:pPr>
        <w:spacing w:after="160"/>
      </w:pPr>
      <w:r>
        <w:t xml:space="preserve">ISO 23509:2016 is precise about its algebra but noticeably informal about its numerical procedures: three of the four pitch cone methods require an iteration, and in every case the standard describes the convergence rule in prose (“change x and recalculate … until …”) without naming an algorithm, step size, or search range. The items below record what had to be inferred, and how it was checked.</w:t>
      </w:r>
    </w:p>
    <w:p>
      <w:pPr>
        <w:pStyle w:val="Heading2"/>
        <w:spacing w:after="120" w:before="260"/>
      </w:pPr>
      <w:r>
        <w:t xml:space="preserve">5.1 Method 1 (Gleason): which variable is free, and over what range</w:t>
      </w:r>
    </w:p>
    <w:p>
      <w:pPr>
        <w:spacing w:after="160"/>
      </w:pPr>
      <w:r>
        <w:t xml:space="preserve">6.2.2 computes an initial guess for eta (wheel offset angle in the axial plane) via Formula (16), then says: “Change eta and recalculate from Formula (17) to Formula (33) until |rho_mβ/rho_lim − 1| ≤ 0.01.” Two things are implicit: that eta — not any of the other quantities in that formula range — is the variable being adjusted, and that Formula (16) is evaluated once, as a seed, not on every pass (only Formulae (17)-(33) are named as repeated).</w:t>
      </w:r>
    </w:p>
    <w:p>
      <w:pPr>
        <w:spacing w:after="160"/>
      </w:pPr>
      <w:r>
        <w:t xml:space="preserve">Implemented as a bracketing bisection on eta, seeded at the Formula (16) value, with the residual function rho_mβ(eta) − rho_lim(eta) re-evaluating Formulae (17)-(40) fresh on every trial. This reproduced Annex F.3's own “First trial” / “Last trial” figures (rho_mβ/rho_lim ratio 0.888 → 1.0000484) and every downstream Clause 7 value to within 0.1%.</w:t>
      </w:r>
    </w:p>
    <w:p>
      <w:pPr>
        <w:pStyle w:val="Heading2"/>
        <w:spacing w:after="120" w:before="260"/>
      </w:pPr>
      <w:r>
        <w:t xml:space="preserve">5.2 Method 2 (Oerlikon): a narrow search window matters</w:t>
      </w:r>
    </w:p>
    <w:p>
      <w:pPr>
        <w:spacing w:after="160"/>
      </w:pPr>
      <w:r>
        <w:t xml:space="preserve">6.2.3 gives an almost identical instruction for delta2imp: “Change delta2imp … until |Rm1/Rmcheck − 1| ≤ 0.01, increase delta2imp if Rm1 &lt; Rmcheck and vice versa.” The explicit direction rule (“increase if …, decrease if …”) says the intended search is local and monotonic around the already-good approximation from Formulae (42)-(56) — not a global search.</w:t>
      </w:r>
    </w:p>
    <w:p>
      <w:pPr>
        <w:spacing w:after="160"/>
      </w:pPr>
      <w:r>
        <w:t xml:space="preserve">This was not obvious from the text alone. An initial implementation used a wide bisection bracket (±15°) and converged to a mathematically valid but physically wrong root — beta_m1 off by 5.8%, dm1 by 4.9%, Rm2 by 2.0% — because the residual function Rm1(delta2imp) − Rmcheck(delta2imp) is not monotonic over that wide a range. Narrowing the initial bracket to ±0.5° around the Formula (56) seed (expanding only if that fails to bracket a root, up to 10 times) reproduced Annex F.4 exactly. This is recorded here specifically because it is the kind of error that would not show up as a crash or an obviously wrong number — every value it produced was internally consistent, just wrong — and would only be caught by validating against an independent numeric example, which is the reason all four Annex F samples were checked exhaustively rather than spot-checked.</w:t>
      </w:r>
    </w:p>
    <w:p>
      <w:pPr>
        <w:pStyle w:val="Heading2"/>
        <w:spacing w:after="120" w:before="260"/>
      </w:pPr>
      <w:r>
        <w:t xml:space="preserve">5.3 Method 3 (Klingelnberg): F carries forward between passes</w:t>
      </w:r>
    </w:p>
    <w:p>
      <w:pPr>
        <w:spacing w:after="160"/>
      </w:pPr>
      <w:r>
        <w:t xml:space="preserve">6.2.4 says: “Repeat calculation from Formula (88) to Formula (108) until Formula (106) is true.” This is a genuine fixed-point iteration (no free variable to search — delta1/delta2/F are simply recomputed from their own previous values each pass), which is simpler than Methods 1/2, but has one easy-to-miss detail: F is seeded at 1 by Formula (85), which is outside the repeated (88)-(108) range. Formula (94) recomputes F partway through every pass and that value is used by Formula (89) of the *next* pass — F is not reset to 1 on every iteration. This was confirmed by checking that only the “carry F forward” interpretation reproduces Annex F.5's own First/Last trial numbers (zeta_m = 12.760° → 12.265°, matching only when F = 1.187 from the first pass's Formula (94), not F = 1, is used in the second pass's Formula (89)).</w:t>
      </w:r>
    </w:p>
    <w:p>
      <w:pPr>
        <w:pStyle w:val="Heading2"/>
        <w:spacing w:after="120" w:before="260"/>
      </w:pPr>
      <w:r>
        <w:t xml:space="preserve">5.4 A likely subscript slip in Annex C.5, Formula (C.5)</w:t>
      </w:r>
    </w:p>
    <w:p>
      <w:pPr>
        <w:spacing w:after="160"/>
      </w:pPr>
      <w:r>
        <w:t xml:space="preserve">Table C.4's constant-slot-width formula is printed with a bare beta_m in one place (Σtheta_fC = 90·met / [Re2·tan(alpha_n)·cos(beta_m)] × …) and beta_m2 immediately after, in the same formula (…× [1 − Rm2·sin(beta_m2)/rc0]). Every other formula in Clauses 6-8 and Annex C that needs “the” mean spiral angle in this kind of crown-gear-referenced context uses beta_m2 specifically (never a bare beta_m), so AnnexC5.cs treats beta_m in the first factor as beta_m2 as well. This could not be checked against Annex F, because none of the four samples exercise Annex C.5 — all four supply theta_a2/theta_f2 directly as Table 3 inputs rather than deriving them from a taper type. Flagged here as unverified; if a future worked example for the constant- or modified-slot-width taper surfaces, re-check this against it.</w:t>
      </w:r>
    </w:p>
    <w:p>
      <w:pPr>
        <w:pStyle w:val="Heading2"/>
        <w:spacing w:after="120" w:before="260"/>
      </w:pPr>
      <w:r>
        <w:t xml:space="preserve">5.5 A mislabelled intermediate in Annex F.5 itself</w:t>
      </w:r>
    </w:p>
    <w:p>
      <w:pPr>
        <w:spacing w:after="160"/>
      </w:pPr>
      <w:r>
        <w:t xml:space="preserve">Formula (F.523) in Annex F.5 is printed with the label phi_e21, immediately following (F.522) which is genuinely phi_e21; by its position and role in the calculation (it feeds beta_i21, Formula F.525, which needs phi_i21) it is actually phi_i21 — an apparent copy-paste label error in the standard's own worked example, not a formula error (the printed number reproduces correctly whichever label is attached). Noted here in case it causes confusion when cross-checking by hand against the printed standard.</w:t>
      </w:r>
    </w:p>
    <w:p>
      <w:pPr>
        <w:pStyle w:val="Heading1"/>
        <w:spacing w:after="160" w:before="320"/>
      </w:pPr>
      <w:r>
        <w:t xml:space="preserve">6. Deliberately out of scope, and why</w:t>
      </w:r>
    </w:p>
    <w:p>
      <w:pPr>
        <w:pStyle w:val="ListParagraph"/>
        <w:numPr>
          <w:ilvl w:val="0"/>
          <w:numId w:val="1"/>
        </w:numPr>
        <w:spacing w:after="80"/>
      </w:pPr>
      <w:r>
        <w:t xml:space="preserve">Annex B (preliminary sizing charts, Figures B.2-B.7, Table B.1-B.2): these are hand-read-off-a-chart design aids for choosing z1, face width and spiral angle before Clause 6 is even entered — no exact formulae to implement beyond the handful of algebraic ones already folded into the code comments (B.1 torque, B.7's spiral-angle-vs-contact-ratio relation).</w:t>
      </w:r>
    </w:p>
    <w:p>
      <w:pPr>
        <w:pStyle w:val="ListParagraph"/>
        <w:numPr>
          <w:ilvl w:val="0"/>
          <w:numId w:val="1"/>
        </w:numPr>
        <w:spacing w:after="80"/>
      </w:pPr>
      <w:r>
        <w:t xml:space="preserve">Annex D (analysis of forces, Formulae D.1-D.10): a direct, non-iterative 10-formula block (tangential/axial/radial force from torque, pitch angle, spiral angle and pressure angle) that would be a natural follow-up, but wasn't needed for this pass since ISO10300Calc and AGMA2003D19Calc already compute their own tangential forces internally from the same pitch data. Worth adding later if a standalone force report becomes useful.</w:t>
      </w:r>
    </w:p>
    <w:p>
      <w:pPr>
        <w:pStyle w:val="ListParagraph"/>
        <w:numPr>
          <w:ilvl w:val="0"/>
          <w:numId w:val="1"/>
        </w:numPr>
        <w:spacing w:after="80"/>
      </w:pPr>
      <w:r>
        <w:t xml:space="preserve">Annex E (Table E.1, standard cutter radii/blade-group counts): reference data only; rc0 and z0 are free-entry numeric fields rather than a constrained dropdown, matching how CutterRadius is already handled in ISO10300Calc.</w:t>
      </w:r>
    </w:p>
    <w:p>
      <w:pPr>
        <w:pStyle w:val="Heading1"/>
        <w:spacing w:after="160" w:before="320"/>
      </w:pPr>
      <w:r>
        <w:t xml:space="preserve">7. Suggested next step</w:t>
      </w:r>
    </w:p>
    <w:p>
      <w:pPr>
        <w:spacing w:after="160"/>
      </w:pPr>
      <w:r>
        <w:t xml:space="preserve">The standard's own foreword states its purpose plainly: “An additional objective of this document is that, on the basis of the combined bevel gear geometries, an ISO hypoid gear rating system can be established.” ISO10300Calc and AGMA2003D19Calc both already carry this exact framing in their own input-model doc comments (“the ISO 23509 output data … not computed by this tool … taken as a given starting point”). With ISO23509Calc now validated against all four of the standard's own worked examples, the natural next step is wiring its GearDimensionsResult / PitchConeResult output directly into those two calculators' input models, so a user enters raw design data (z1, z2, shaft angle, offset, face width, cutter data) once in ISO23509Calc and both rating tools consume the result, rather than re-entering the same dm1/dm2/delta1/delta2/ham/hfm/xhm figures by hand into three separate PropertyGrids.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2026-09-19T15:00:48.306Z</dcterms:created>
  <dcterms:modified xsi:type="dcterms:W3CDTF">2026-09-19T15:00:48.307Z</dcterms:modified>
</cp:coreProperties>
</file>

<file path=docProps/custom.xml><?xml version="1.0" encoding="utf-8"?>
<Properties xmlns="http://schemas.openxmlformats.org/officeDocument/2006/custom-properties" xmlns:vt="http://schemas.openxmlformats.org/officeDocument/2006/docPropsVTypes"/>
</file>