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1F1F"/>
          <w:sz w:val="40"/>
          <w:szCs w:val="40"/>
        </w:rPr>
        <w:t xml:space="preserve">ANSI/AGMA 6134-C21</w:t>
      </w:r>
    </w:p>
    <w:p>
      <w:pPr>
        <w:spacing w:after="40"/>
        <w:jc w:val="center"/>
      </w:pPr>
      <w:r>
        <w:rPr>
          <w:i/>
          <w:iCs/>
          <w:color w:val="555555"/>
          <w:sz w:val="26"/>
          <w:szCs w:val="26"/>
        </w:rPr>
        <w:t xml:space="preserve">Practice for Enclosed Cylindrical Wormgear Speed Reducers and Gearmotors</w:t>
      </w:r>
    </w:p>
    <w:p>
      <w:pPr>
        <w:spacing w:after="400"/>
        <w:jc w:val="center"/>
      </w:pPr>
      <w:r>
        <w:rPr>
          <w:b/>
          <w:bCs/>
          <w:color w:val="9E7A14"/>
          <w:sz w:val="30"/>
          <w:szCs w:val="30"/>
        </w:rPr>
        <w:t xml:space="preserve">Implementation Findings</w:t>
      </w:r>
    </w:p>
    <w:p>
      <w:pPr>
        <w:spacing w:after="700"/>
        <w:jc w:val="center"/>
      </w:pPr>
      <w:r>
        <w:rPr>
          <w:color w:val="555555"/>
          <w:sz w:val="20"/>
          <w:szCs w:val="20"/>
        </w:rPr>
        <w:t xml:space="preserve">AGMAStandards repository — AGMA6134C21Calc project — 2026-09-19</w:t>
      </w:r>
    </w:p>
    <w:p>
      <w:pPr>
        <w:pStyle w:val="Heading1"/>
        <w:spacing w:after="160" w:before="360"/>
      </w:pPr>
      <w:r>
        <w:t xml:space="preserve">1. Overview</w:t>
      </w:r>
    </w:p>
    <w:p>
      <w:pPr>
        <w:spacing w:after="140"/>
      </w:pPr>
      <w:r>
        <w:t xml:space="preserve">This document records the findings from implementing ANSI/AGMA 6134-C21, Practice for Enclosed Cylindrical Wormgear Speed Reducers and Gearmotors (approved April 8, 2021), as a standalone WinForms calculator (AGMA6134C21Calc) in the AGMAStandards repository, following the same pattern established by the AGMA 929-B22, AGMA 2003-D19, ISO 10300 and ISO 23509 calculators already in the repository.</w:t>
      </w:r>
    </w:p>
    <w:p>
      <w:pPr>
        <w:spacing w:after="140"/>
      </w:pPr>
      <w:r>
        <w:t xml:space="preserve">The implementation covers clause 4 (preliminary calculations), clause 5 (rating factors), clause 6 (wear and bending strength ratings and efficiency), clause 7.1.4 (overhung shaft loads), clause 10.1 (equivalent input power / service factor), clause 11.1 (recommended lubricant viscosity, Table 9) and clause 12 (self-locking). It was validated end-to-end against the standard's own Annex C worked example, which every equation in clauses 4 through 6 passes to within numerical rounding of the published values (see section 4).</w:t>
      </w:r>
    </w:p>
    <w:p>
      <w:pPr>
        <w:pStyle w:val="Heading1"/>
        <w:spacing w:after="160" w:before="360"/>
      </w:pPr>
      <w:r>
        <w:t xml:space="preserve">2. What ANSI/AGMA 6134-C21 covers</w:t>
      </w:r>
    </w:p>
    <w:p>
      <w:pPr>
        <w:spacing w:after="140"/>
      </w:pPr>
      <w:r>
        <w:t xml:space="preserve">The standard gives a wear and bending-strength rating method, at a nominal 1.0 service factor and 25 000 hour design life, for cylindrical wormgear meshes where the worm is surface-hardened steel (carburized 58-62 HRC, or flame/induction hardened 50-62 HRC) and the wormgear is sand, static-chill/forged, or centrifugally cast tin bronze (UNS C90700, C91700 or C67300), meshing at standard center distance, with a gear ratio z2/z1 &gt;= 3.0, worm speed &lt;= 3600 rpm and sliding velocity &lt;= 30 m/s. It is the metric edition of ANSI/AGMA 6034-C21 and replaces the tabulated empirical factors of the withdrawn AGMA 6034-B92 with closed-form equations fitted to the same underlying curves, plus a new lubricant-type factor.</w:t>
      </w:r>
    </w:p>
    <w:p>
      <w:pPr>
        <w:spacing w:after="140"/>
      </w:pPr>
      <w:r>
        <w:t xml:space="preserve">Clauses outside the rating equations themselves (thermal rating capacity determination, housing and bearing design per AGMA 6101, lubricant compatibility and flushing procedure, cold-start provisions) are qualitative manufacturer guidance rather than closed-form calculations, and are summarized in section 6 ("Not implemented") rather than coded.</w:t>
      </w:r>
    </w:p>
    <w:p>
      <w:pPr>
        <w:pStyle w:val="Heading1"/>
        <w:spacing w:after="160" w:before="360"/>
      </w:pPr>
      <w:r>
        <w:t xml:space="preserve">3. Repository changes</w:t>
      </w:r>
    </w:p>
    <w:p>
      <w:pPr>
        <w:spacing w:after="140"/>
      </w:pPr>
      <w:r>
        <w:t xml:space="preserve">A new project, AGMA6134C21Calc, was added alongside the existing calculators:</w:t>
      </w:r>
    </w:p>
    <w:p>
      <w:pPr>
        <w:pStyle w:val="ListParagraph"/>
        <w:numPr>
          <w:ilvl w:val="0"/>
          <w:numId w:val="1"/>
        </w:numPr>
        <w:spacing w:after="80"/>
      </w:pPr>
      <w:r>
        <w:t xml:space="preserve">Models/Enums.cs — GearCastingMethod, WormHeatTreat, OilType, OverhungDriveType, ServiceDuration, ShockLoadClass, AmbientTemperatureBand.</w:t>
      </w:r>
    </w:p>
    <w:p>
      <w:pPr>
        <w:pStyle w:val="ListParagraph"/>
        <w:numPr>
          <w:ilvl w:val="0"/>
          <w:numId w:val="1"/>
        </w:numPr>
        <w:spacing w:after="80"/>
      </w:pPr>
      <w:r>
        <w:t xml:space="preserve">Models/AgmaInputs.cs — all inputs, bound to a PropertyGrid, defaulted to the Annex C worked example.</w:t>
      </w:r>
    </w:p>
    <w:p>
      <w:pPr>
        <w:pStyle w:val="ListParagraph"/>
        <w:numPr>
          <w:ilvl w:val="0"/>
          <w:numId w:val="1"/>
        </w:numPr>
        <w:spacing w:after="80"/>
      </w:pPr>
      <w:r>
        <w:t xml:space="preserve">Calc/MathUtil.cs — degree-based trig helpers and the radian-argument arcsine required by Eq 12.</w:t>
      </w:r>
    </w:p>
    <w:p>
      <w:pPr>
        <w:pStyle w:val="ListParagraph"/>
        <w:numPr>
          <w:ilvl w:val="0"/>
          <w:numId w:val="1"/>
        </w:numPr>
        <w:spacing w:after="80"/>
      </w:pPr>
      <w:r>
        <w:t xml:space="preserve">Calc/CalcTrace.cs — records every intermediate value (symbol, equation #, description, value, unit) for the results report, same pattern as the other calculators.</w:t>
      </w:r>
    </w:p>
    <w:p>
      <w:pPr>
        <w:pStyle w:val="ListParagraph"/>
        <w:numPr>
          <w:ilvl w:val="0"/>
          <w:numId w:val="1"/>
        </w:numPr>
        <w:spacing w:after="80"/>
      </w:pPr>
      <w:r>
        <w:t xml:space="preserve">Calc/AgmaCalculator.cs — the calculation engine (clauses 4, 5, 6, 7.1.4, 10.1, 11.1, 12).</w:t>
      </w:r>
    </w:p>
    <w:p>
      <w:pPr>
        <w:pStyle w:val="ListParagraph"/>
        <w:numPr>
          <w:ilvl w:val="0"/>
          <w:numId w:val="1"/>
        </w:numPr>
        <w:spacing w:after="80"/>
      </w:pPr>
      <w:r>
        <w:t xml:space="preserve">Calc/SelfTest.cs — reproduces the Annex C example and checks all 27 published intermediate/final values (run with "AGMA6134C21Calc.exe --selftest").</w:t>
      </w:r>
    </w:p>
    <w:p>
      <w:pPr>
        <w:pStyle w:val="ListParagraph"/>
        <w:numPr>
          <w:ilvl w:val="0"/>
          <w:numId w:val="1"/>
        </w:numPr>
        <w:spacing w:after="80"/>
      </w:pPr>
      <w:r>
        <w:t xml:space="preserve">MainForm.cs / MainForm.Designer.cs / Program.cs — the WinForms UI (PropertyGrid input, text report output, "Load Example" and "Save Report" buttons), matching the layout of the other calculators in the repository.</w:t>
      </w:r>
    </w:p>
    <w:p>
      <w:pPr>
        <w:spacing w:after="140"/>
      </w:pPr>
      <w:r>
        <w:t xml:space="preserve">The hub application was updated to list the new calculator:</w:t>
      </w:r>
    </w:p>
    <w:p>
      <w:pPr>
        <w:pStyle w:val="ListParagraph"/>
        <w:numPr>
          <w:ilvl w:val="0"/>
          <w:numId w:val="1"/>
        </w:numPr>
        <w:spacing w:after="80"/>
      </w:pPr>
      <w:r>
        <w:t xml:space="preserve">AGMAStandardsHub/StandardCatalog.cs — new StandardEntry for "ANSI/AGMA 6134-C21".</w:t>
      </w:r>
    </w:p>
    <w:p>
      <w:pPr>
        <w:pStyle w:val="ListParagraph"/>
        <w:numPr>
          <w:ilvl w:val="0"/>
          <w:numId w:val="1"/>
        </w:numPr>
        <w:spacing w:after="80"/>
      </w:pPr>
      <w:r>
        <w:t xml:space="preserve">AGMAStandardsHub/AGMAStandardsHub.csproj — added a ProjectReference to AGMA6134C21Calc.</w:t>
      </w:r>
    </w:p>
    <w:p>
      <w:pPr>
        <w:pStyle w:val="ListParagraph"/>
        <w:numPr>
          <w:ilvl w:val="0"/>
          <w:numId w:val="1"/>
        </w:numPr>
        <w:spacing w:after="80"/>
      </w:pPr>
      <w:r>
        <w:t xml:space="preserve">AGMAStandards.sln — added the new project and its build configurations.</w:t>
      </w:r>
    </w:p>
    <w:p>
      <w:pPr>
        <w:spacing w:after="140"/>
      </w:pPr>
      <w:r>
        <w:t xml:space="preserve">The whole solution (AGMAStandards.sln) builds with 0 warnings and 0 errors after these changes (dotnet build, Debug configuration, net8.0-windows).</w:t>
      </w:r>
    </w:p>
    <w:p>
      <w:pPr>
        <w:pStyle w:val="Heading1"/>
        <w:spacing w:after="160" w:before="360"/>
      </w:pPr>
      <w:r>
        <w:t xml:space="preserve">4. Equations implemented, by clause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rPr>
          <w:tblHeader/>
        </w:trPr>
        <w:tc>
          <w:tcPr>
            <w:tcW w:type="dxa" w:w="1500"/>
            <w:shd w:fill="E8E1CE" w:val="clear"/>
            <w:tcMar>
              <w:top w:type="dxa" w:w="60"/>
              <w:left w:type="dxa" w:w="100"/>
              <w:bottom w:type="dxa" w:w="60"/>
              <w:right w:type="dxa" w:w="100"/>
            </w:tcMar>
          </w:tcPr>
          <w:p>
            <w:pPr>
              <w:jc w:val="left"/>
            </w:pPr>
            <w:r>
              <w:rPr>
                <w:b/>
                <w:bCs/>
                <w:sz w:val="18"/>
                <w:szCs w:val="18"/>
              </w:rPr>
              <w:t xml:space="preserve">Clause</w:t>
            </w:r>
          </w:p>
        </w:tc>
        <w:tc>
          <w:tcPr>
            <w:tcW w:type="dxa" w:w="5860"/>
            <w:shd w:fill="E8E1CE" w:val="clear"/>
            <w:tcMar>
              <w:top w:type="dxa" w:w="60"/>
              <w:left w:type="dxa" w:w="100"/>
              <w:bottom w:type="dxa" w:w="60"/>
              <w:right w:type="dxa" w:w="100"/>
            </w:tcMar>
          </w:tcPr>
          <w:p>
            <w:pPr>
              <w:jc w:val="left"/>
            </w:pPr>
            <w:r>
              <w:rPr>
                <w:b/>
                <w:bCs/>
                <w:sz w:val="18"/>
                <w:szCs w:val="18"/>
              </w:rPr>
              <w:t xml:space="preserve">Content</w:t>
            </w:r>
          </w:p>
        </w:tc>
        <w:tc>
          <w:tcPr>
            <w:tcW w:type="dxa" w:w="2000"/>
            <w:shd w:fill="E8E1CE" w:val="clear"/>
            <w:tcMar>
              <w:top w:type="dxa" w:w="60"/>
              <w:left w:type="dxa" w:w="100"/>
              <w:bottom w:type="dxa" w:w="60"/>
              <w:right w:type="dxa" w:w="100"/>
            </w:tcMar>
          </w:tcPr>
          <w:p>
            <w:pPr>
              <w:jc w:val="left"/>
            </w:pPr>
            <w:r>
              <w:rPr>
                <w:b/>
                <w:bCs/>
                <w:sz w:val="18"/>
                <w:szCs w:val="18"/>
              </w:rPr>
              <w:t xml:space="preserve">Equations</w:t>
            </w:r>
          </w:p>
        </w:tc>
      </w:tr>
      <w:tr>
        <w:tc>
          <w:tcPr>
            <w:tcW w:type="dxa" w:w="1500"/>
            <w:tcMar>
              <w:top w:type="dxa" w:w="60"/>
              <w:left w:type="dxa" w:w="100"/>
              <w:bottom w:type="dxa" w:w="60"/>
              <w:right w:type="dxa" w:w="100"/>
            </w:tcMar>
          </w:tcPr>
          <w:p>
            <w:pPr>
              <w:jc w:val="left"/>
            </w:pPr>
            <w:r>
              <w:rPr>
                <w:b w:val="false"/>
                <w:bCs w:val="false"/>
                <w:sz w:val="18"/>
                <w:szCs w:val="18"/>
              </w:rPr>
              <w:t xml:space="preserve">4.2 - 4.10</w:t>
            </w:r>
          </w:p>
        </w:tc>
        <w:tc>
          <w:tcPr>
            <w:tcW w:type="dxa" w:w="5860"/>
            <w:tcMar>
              <w:top w:type="dxa" w:w="60"/>
              <w:left w:type="dxa" w:w="100"/>
              <w:bottom w:type="dxa" w:w="60"/>
              <w:right w:type="dxa" w:w="100"/>
            </w:tcMar>
          </w:tcPr>
          <w:p>
            <w:pPr>
              <w:jc w:val="left"/>
            </w:pPr>
            <w:r>
              <w:rPr>
                <w:b w:val="false"/>
                <w:bCs w:val="false"/>
                <w:sz w:val="18"/>
                <w:szCs w:val="18"/>
              </w:rPr>
              <w:t xml:space="preserve">Helix angle, pitch diameters, axial pitch, center distance, gear ratio, sliding velocity, gear speed, effective face width, gear tooth root length</w:t>
            </w:r>
          </w:p>
        </w:tc>
        <w:tc>
          <w:tcPr>
            <w:tcW w:type="dxa" w:w="2000"/>
            <w:tcMar>
              <w:top w:type="dxa" w:w="60"/>
              <w:left w:type="dxa" w:w="100"/>
              <w:bottom w:type="dxa" w:w="60"/>
              <w:right w:type="dxa" w:w="100"/>
            </w:tcMar>
          </w:tcPr>
          <w:p>
            <w:pPr>
              <w:jc w:val="left"/>
            </w:pPr>
            <w:r>
              <w:rPr>
                <w:b w:val="false"/>
                <w:bCs w:val="false"/>
                <w:sz w:val="18"/>
                <w:szCs w:val="18"/>
              </w:rPr>
              <w:t xml:space="preserve">Eq 1, 4, 6-12</w:t>
            </w:r>
          </w:p>
        </w:tc>
      </w:tr>
      <w:tr>
        <w:tc>
          <w:tcPr>
            <w:tcW w:type="dxa" w:w="1500"/>
            <w:tcMar>
              <w:top w:type="dxa" w:w="60"/>
              <w:left w:type="dxa" w:w="100"/>
              <w:bottom w:type="dxa" w:w="60"/>
              <w:right w:type="dxa" w:w="100"/>
            </w:tcMar>
          </w:tcPr>
          <w:p>
            <w:pPr>
              <w:jc w:val="left"/>
            </w:pPr>
            <w:r>
              <w:rPr>
                <w:b w:val="false"/>
                <w:bCs w:val="false"/>
                <w:sz w:val="18"/>
                <w:szCs w:val="18"/>
              </w:rPr>
              <w:t xml:space="preserve">1.2 (scope)</w:t>
            </w:r>
          </w:p>
        </w:tc>
        <w:tc>
          <w:tcPr>
            <w:tcW w:type="dxa" w:w="5860"/>
            <w:tcMar>
              <w:top w:type="dxa" w:w="60"/>
              <w:left w:type="dxa" w:w="100"/>
              <w:bottom w:type="dxa" w:w="60"/>
              <w:right w:type="dxa" w:w="100"/>
            </w:tcMar>
          </w:tcPr>
          <w:p>
            <w:pPr>
              <w:jc w:val="left"/>
            </w:pPr>
            <w:r>
              <w:rPr>
                <w:b w:val="false"/>
                <w:bCs w:val="false"/>
                <w:sz w:val="18"/>
                <w:szCs w:val="18"/>
              </w:rPr>
              <w:t xml:space="preserve">Scope checks: worm pitch diameter range, worm maximum radial deflection, gear ratio &gt;= 3.0, worm speed &lt;= 3600 rpm, sliding velocity &lt;= 30 m/s, worm hardness range (Table 1)</w:t>
            </w:r>
          </w:p>
        </w:tc>
        <w:tc>
          <w:tcPr>
            <w:tcW w:type="dxa" w:w="2000"/>
            <w:tcMar>
              <w:top w:type="dxa" w:w="60"/>
              <w:left w:type="dxa" w:w="100"/>
              <w:bottom w:type="dxa" w:w="60"/>
              <w:right w:type="dxa" w:w="100"/>
            </w:tcMar>
          </w:tcPr>
          <w:p>
            <w:pPr>
              <w:jc w:val="left"/>
            </w:pPr>
            <w:r>
              <w:rPr>
                <w:b w:val="false"/>
                <w:bCs w:val="false"/>
                <w:sz w:val="18"/>
                <w:szCs w:val="18"/>
              </w:rPr>
              <w:t xml:space="preserve">Eq 2, 3</w:t>
            </w:r>
          </w:p>
        </w:tc>
      </w:tr>
      <w:tr>
        <w:tc>
          <w:tcPr>
            <w:tcW w:type="dxa" w:w="1500"/>
            <w:tcMar>
              <w:top w:type="dxa" w:w="60"/>
              <w:left w:type="dxa" w:w="100"/>
              <w:bottom w:type="dxa" w:w="60"/>
              <w:right w:type="dxa" w:w="100"/>
            </w:tcMar>
          </w:tcPr>
          <w:p>
            <w:pPr>
              <w:jc w:val="left"/>
            </w:pPr>
            <w:r>
              <w:rPr>
                <w:b w:val="false"/>
                <w:bCs w:val="false"/>
                <w:sz w:val="18"/>
                <w:szCs w:val="18"/>
              </w:rPr>
              <w:t xml:space="preserve">5.1</w:t>
            </w:r>
          </w:p>
        </w:tc>
        <w:tc>
          <w:tcPr>
            <w:tcW w:type="dxa" w:w="5860"/>
            <w:tcMar>
              <w:top w:type="dxa" w:w="60"/>
              <w:left w:type="dxa" w:w="100"/>
              <w:bottom w:type="dxa" w:w="60"/>
              <w:right w:type="dxa" w:w="100"/>
            </w:tcMar>
          </w:tcPr>
          <w:p>
            <w:pPr>
              <w:jc w:val="left"/>
            </w:pPr>
            <w:r>
              <w:rPr>
                <w:b w:val="false"/>
                <w:bCs w:val="false"/>
                <w:sz w:val="18"/>
                <w:szCs w:val="18"/>
              </w:rPr>
              <w:t xml:space="preserve">Materials factor Ks (via Kd, Table 3, by casting method and pitch diameter)</w:t>
            </w:r>
          </w:p>
        </w:tc>
        <w:tc>
          <w:tcPr>
            <w:tcW w:type="dxa" w:w="2000"/>
            <w:tcMar>
              <w:top w:type="dxa" w:w="60"/>
              <w:left w:type="dxa" w:w="100"/>
              <w:bottom w:type="dxa" w:w="60"/>
              <w:right w:type="dxa" w:w="100"/>
            </w:tcMar>
          </w:tcPr>
          <w:p>
            <w:pPr>
              <w:jc w:val="left"/>
            </w:pPr>
            <w:r>
              <w:rPr>
                <w:b w:val="false"/>
                <w:bCs w:val="false"/>
                <w:sz w:val="18"/>
                <w:szCs w:val="18"/>
              </w:rPr>
              <w:t xml:space="preserve">Eq 13, Table 3</w:t>
            </w:r>
          </w:p>
        </w:tc>
      </w:tr>
      <w:tr>
        <w:tc>
          <w:tcPr>
            <w:tcW w:type="dxa" w:w="1500"/>
            <w:tcMar>
              <w:top w:type="dxa" w:w="60"/>
              <w:left w:type="dxa" w:w="100"/>
              <w:bottom w:type="dxa" w:w="60"/>
              <w:right w:type="dxa" w:w="100"/>
            </w:tcMar>
          </w:tcPr>
          <w:p>
            <w:pPr>
              <w:jc w:val="left"/>
            </w:pPr>
            <w:r>
              <w:rPr>
                <w:b w:val="false"/>
                <w:bCs w:val="false"/>
                <w:sz w:val="18"/>
                <w:szCs w:val="18"/>
              </w:rPr>
              <w:t xml:space="preserve">5.2</w:t>
            </w:r>
          </w:p>
        </w:tc>
        <w:tc>
          <w:tcPr>
            <w:tcW w:type="dxa" w:w="5860"/>
            <w:tcMar>
              <w:top w:type="dxa" w:w="60"/>
              <w:left w:type="dxa" w:w="100"/>
              <w:bottom w:type="dxa" w:w="60"/>
              <w:right w:type="dxa" w:w="100"/>
            </w:tcMar>
          </w:tcPr>
          <w:p>
            <w:pPr>
              <w:jc w:val="left"/>
            </w:pPr>
            <w:r>
              <w:rPr>
                <w:b w:val="false"/>
                <w:bCs w:val="false"/>
                <w:sz w:val="18"/>
                <w:szCs w:val="18"/>
              </w:rPr>
              <w:t xml:space="preserve">Ratio correction factor Km</w:t>
            </w:r>
          </w:p>
        </w:tc>
        <w:tc>
          <w:tcPr>
            <w:tcW w:type="dxa" w:w="2000"/>
            <w:tcMar>
              <w:top w:type="dxa" w:w="60"/>
              <w:left w:type="dxa" w:w="100"/>
              <w:bottom w:type="dxa" w:w="60"/>
              <w:right w:type="dxa" w:w="100"/>
            </w:tcMar>
          </w:tcPr>
          <w:p>
            <w:pPr>
              <w:jc w:val="left"/>
            </w:pPr>
            <w:r>
              <w:rPr>
                <w:b w:val="false"/>
                <w:bCs w:val="false"/>
                <w:sz w:val="18"/>
                <w:szCs w:val="18"/>
              </w:rPr>
              <w:t xml:space="preserve">Table 4</w:t>
            </w:r>
          </w:p>
        </w:tc>
      </w:tr>
      <w:tr>
        <w:tc>
          <w:tcPr>
            <w:tcW w:type="dxa" w:w="1500"/>
            <w:tcMar>
              <w:top w:type="dxa" w:w="60"/>
              <w:left w:type="dxa" w:w="100"/>
              <w:bottom w:type="dxa" w:w="60"/>
              <w:right w:type="dxa" w:w="100"/>
            </w:tcMar>
          </w:tcPr>
          <w:p>
            <w:pPr>
              <w:jc w:val="left"/>
            </w:pPr>
            <w:r>
              <w:rPr>
                <w:b w:val="false"/>
                <w:bCs w:val="false"/>
                <w:sz w:val="18"/>
                <w:szCs w:val="18"/>
              </w:rPr>
              <w:t xml:space="preserve">5.3</w:t>
            </w:r>
          </w:p>
        </w:tc>
        <w:tc>
          <w:tcPr>
            <w:tcW w:type="dxa" w:w="5860"/>
            <w:tcMar>
              <w:top w:type="dxa" w:w="60"/>
              <w:left w:type="dxa" w:w="100"/>
              <w:bottom w:type="dxa" w:w="60"/>
              <w:right w:type="dxa" w:w="100"/>
            </w:tcMar>
          </w:tcPr>
          <w:p>
            <w:pPr>
              <w:jc w:val="left"/>
            </w:pPr>
            <w:r>
              <w:rPr>
                <w:b w:val="false"/>
                <w:bCs w:val="false"/>
                <w:sz w:val="18"/>
                <w:szCs w:val="18"/>
              </w:rPr>
              <w:t xml:space="preserve">Sliding velocity factor Kv</w:t>
            </w:r>
          </w:p>
        </w:tc>
        <w:tc>
          <w:tcPr>
            <w:tcW w:type="dxa" w:w="2000"/>
            <w:tcMar>
              <w:top w:type="dxa" w:w="60"/>
              <w:left w:type="dxa" w:w="100"/>
              <w:bottom w:type="dxa" w:w="60"/>
              <w:right w:type="dxa" w:w="100"/>
            </w:tcMar>
          </w:tcPr>
          <w:p>
            <w:pPr>
              <w:jc w:val="left"/>
            </w:pPr>
            <w:r>
              <w:rPr>
                <w:b w:val="false"/>
                <w:bCs w:val="false"/>
                <w:sz w:val="18"/>
                <w:szCs w:val="18"/>
              </w:rPr>
              <w:t xml:space="preserve">Table 5</w:t>
            </w:r>
          </w:p>
        </w:tc>
      </w:tr>
      <w:tr>
        <w:tc>
          <w:tcPr>
            <w:tcW w:type="dxa" w:w="1500"/>
            <w:tcMar>
              <w:top w:type="dxa" w:w="60"/>
              <w:left w:type="dxa" w:w="100"/>
              <w:bottom w:type="dxa" w:w="60"/>
              <w:right w:type="dxa" w:w="100"/>
            </w:tcMar>
          </w:tcPr>
          <w:p>
            <w:pPr>
              <w:jc w:val="left"/>
            </w:pPr>
            <w:r>
              <w:rPr>
                <w:b w:val="false"/>
                <w:bCs w:val="false"/>
                <w:sz w:val="18"/>
                <w:szCs w:val="18"/>
              </w:rPr>
              <w:t xml:space="preserve">5.4</w:t>
            </w:r>
          </w:p>
        </w:tc>
        <w:tc>
          <w:tcPr>
            <w:tcW w:type="dxa" w:w="5860"/>
            <w:tcMar>
              <w:top w:type="dxa" w:w="60"/>
              <w:left w:type="dxa" w:w="100"/>
              <w:bottom w:type="dxa" w:w="60"/>
              <w:right w:type="dxa" w:w="100"/>
            </w:tcMar>
          </w:tcPr>
          <w:p>
            <w:pPr>
              <w:jc w:val="left"/>
            </w:pPr>
            <w:r>
              <w:rPr>
                <w:b w:val="false"/>
                <w:bCs w:val="false"/>
                <w:sz w:val="18"/>
                <w:szCs w:val="18"/>
              </w:rPr>
              <w:t xml:space="preserve">Gear speed factor Kn</w:t>
            </w:r>
          </w:p>
        </w:tc>
        <w:tc>
          <w:tcPr>
            <w:tcW w:type="dxa" w:w="2000"/>
            <w:tcMar>
              <w:top w:type="dxa" w:w="60"/>
              <w:left w:type="dxa" w:w="100"/>
              <w:bottom w:type="dxa" w:w="60"/>
              <w:right w:type="dxa" w:w="100"/>
            </w:tcMar>
          </w:tcPr>
          <w:p>
            <w:pPr>
              <w:jc w:val="left"/>
            </w:pPr>
            <w:r>
              <w:rPr>
                <w:b w:val="false"/>
                <w:bCs w:val="false"/>
                <w:sz w:val="18"/>
                <w:szCs w:val="18"/>
              </w:rPr>
              <w:t xml:space="preserve">Table 6</w:t>
            </w:r>
          </w:p>
        </w:tc>
      </w:tr>
      <w:tr>
        <w:tc>
          <w:tcPr>
            <w:tcW w:type="dxa" w:w="1500"/>
            <w:tcMar>
              <w:top w:type="dxa" w:w="60"/>
              <w:left w:type="dxa" w:w="100"/>
              <w:bottom w:type="dxa" w:w="60"/>
              <w:right w:type="dxa" w:w="100"/>
            </w:tcMar>
          </w:tcPr>
          <w:p>
            <w:pPr>
              <w:jc w:val="left"/>
            </w:pPr>
            <w:r>
              <w:rPr>
                <w:b w:val="false"/>
                <w:bCs w:val="false"/>
                <w:sz w:val="18"/>
                <w:szCs w:val="18"/>
              </w:rPr>
              <w:t xml:space="preserve">5.5</w:t>
            </w:r>
          </w:p>
        </w:tc>
        <w:tc>
          <w:tcPr>
            <w:tcW w:type="dxa" w:w="5860"/>
            <w:tcMar>
              <w:top w:type="dxa" w:w="60"/>
              <w:left w:type="dxa" w:w="100"/>
              <w:bottom w:type="dxa" w:w="60"/>
              <w:right w:type="dxa" w:w="100"/>
            </w:tcMar>
          </w:tcPr>
          <w:p>
            <w:pPr>
              <w:jc w:val="left"/>
            </w:pPr>
            <w:r>
              <w:rPr>
                <w:b w:val="false"/>
                <w:bCs w:val="false"/>
                <w:sz w:val="18"/>
                <w:szCs w:val="18"/>
              </w:rPr>
              <w:t xml:space="preserve">Oil type factors Z_oil-wear, Z_oil-mu</w:t>
            </w:r>
          </w:p>
        </w:tc>
        <w:tc>
          <w:tcPr>
            <w:tcW w:type="dxa" w:w="2000"/>
            <w:tcMar>
              <w:top w:type="dxa" w:w="60"/>
              <w:left w:type="dxa" w:w="100"/>
              <w:bottom w:type="dxa" w:w="60"/>
              <w:right w:type="dxa" w:w="100"/>
            </w:tcMar>
          </w:tcPr>
          <w:p>
            <w:pPr>
              <w:jc w:val="left"/>
            </w:pPr>
            <w:r>
              <w:rPr>
                <w:b w:val="false"/>
                <w:bCs w:val="false"/>
                <w:sz w:val="18"/>
                <w:szCs w:val="18"/>
              </w:rPr>
              <w:t xml:space="preserve">Table 7</w:t>
            </w:r>
          </w:p>
        </w:tc>
      </w:tr>
      <w:tr>
        <w:tc>
          <w:tcPr>
            <w:tcW w:type="dxa" w:w="1500"/>
            <w:tcMar>
              <w:top w:type="dxa" w:w="60"/>
              <w:left w:type="dxa" w:w="100"/>
              <w:bottom w:type="dxa" w:w="60"/>
              <w:right w:type="dxa" w:w="100"/>
            </w:tcMar>
          </w:tcPr>
          <w:p>
            <w:pPr>
              <w:jc w:val="left"/>
            </w:pPr>
            <w:r>
              <w:rPr>
                <w:b w:val="false"/>
                <w:bCs w:val="false"/>
                <w:sz w:val="18"/>
                <w:szCs w:val="18"/>
              </w:rPr>
              <w:t xml:space="preserve">5.6</w:t>
            </w:r>
          </w:p>
        </w:tc>
        <w:tc>
          <w:tcPr>
            <w:tcW w:type="dxa" w:w="5860"/>
            <w:tcMar>
              <w:top w:type="dxa" w:w="60"/>
              <w:left w:type="dxa" w:w="100"/>
              <w:bottom w:type="dxa" w:w="60"/>
              <w:right w:type="dxa" w:w="100"/>
            </w:tcMar>
          </w:tcPr>
          <w:p>
            <w:pPr>
              <w:jc w:val="left"/>
            </w:pPr>
            <w:r>
              <w:rPr>
                <w:b w:val="false"/>
                <w:bCs w:val="false"/>
                <w:sz w:val="18"/>
                <w:szCs w:val="18"/>
              </w:rPr>
              <w:t xml:space="preserve">Dynamic coefficient of friction, mu</w:t>
            </w:r>
          </w:p>
        </w:tc>
        <w:tc>
          <w:tcPr>
            <w:tcW w:type="dxa" w:w="2000"/>
            <w:tcMar>
              <w:top w:type="dxa" w:w="60"/>
              <w:left w:type="dxa" w:w="100"/>
              <w:bottom w:type="dxa" w:w="60"/>
              <w:right w:type="dxa" w:w="100"/>
            </w:tcMar>
          </w:tcPr>
          <w:p>
            <w:pPr>
              <w:jc w:val="left"/>
            </w:pPr>
            <w:r>
              <w:rPr>
                <w:b w:val="false"/>
                <w:bCs w:val="false"/>
                <w:sz w:val="18"/>
                <w:szCs w:val="18"/>
              </w:rPr>
              <w:t xml:space="preserve">Eq 14</w:t>
            </w:r>
          </w:p>
        </w:tc>
      </w:tr>
      <w:tr>
        <w:tc>
          <w:tcPr>
            <w:tcW w:type="dxa" w:w="1500"/>
            <w:tcMar>
              <w:top w:type="dxa" w:w="60"/>
              <w:left w:type="dxa" w:w="100"/>
              <w:bottom w:type="dxa" w:w="60"/>
              <w:right w:type="dxa" w:w="100"/>
            </w:tcMar>
          </w:tcPr>
          <w:p>
            <w:pPr>
              <w:jc w:val="left"/>
            </w:pPr>
            <w:r>
              <w:rPr>
                <w:b w:val="false"/>
                <w:bCs w:val="false"/>
                <w:sz w:val="18"/>
                <w:szCs w:val="18"/>
              </w:rPr>
              <w:t xml:space="preserve">6.1</w:t>
            </w:r>
          </w:p>
        </w:tc>
        <w:tc>
          <w:tcPr>
            <w:tcW w:type="dxa" w:w="5860"/>
            <w:tcMar>
              <w:top w:type="dxa" w:w="60"/>
              <w:left w:type="dxa" w:w="100"/>
              <w:bottom w:type="dxa" w:w="60"/>
              <w:right w:type="dxa" w:w="100"/>
            </w:tcMar>
          </w:tcPr>
          <w:p>
            <w:pPr>
              <w:jc w:val="left"/>
            </w:pPr>
            <w:r>
              <w:rPr>
                <w:b w:val="false"/>
                <w:bCs w:val="false"/>
                <w:sz w:val="18"/>
                <w:szCs w:val="18"/>
              </w:rPr>
              <w:t xml:space="preserve">Wear rating chain: allowable tangential load, friction force, output power, power loss, input power rating, allowable torque</w:t>
            </w:r>
          </w:p>
        </w:tc>
        <w:tc>
          <w:tcPr>
            <w:tcW w:type="dxa" w:w="2000"/>
            <w:tcMar>
              <w:top w:type="dxa" w:w="60"/>
              <w:left w:type="dxa" w:w="100"/>
              <w:bottom w:type="dxa" w:w="60"/>
              <w:right w:type="dxa" w:w="100"/>
            </w:tcMar>
          </w:tcPr>
          <w:p>
            <w:pPr>
              <w:jc w:val="left"/>
            </w:pPr>
            <w:r>
              <w:rPr>
                <w:b w:val="false"/>
                <w:bCs w:val="false"/>
                <w:sz w:val="18"/>
                <w:szCs w:val="18"/>
              </w:rPr>
              <w:t xml:space="preserve">Eq 15-20</w:t>
            </w:r>
          </w:p>
        </w:tc>
      </w:tr>
      <w:tr>
        <w:tc>
          <w:tcPr>
            <w:tcW w:type="dxa" w:w="1500"/>
            <w:tcMar>
              <w:top w:type="dxa" w:w="60"/>
              <w:left w:type="dxa" w:w="100"/>
              <w:bottom w:type="dxa" w:w="60"/>
              <w:right w:type="dxa" w:w="100"/>
            </w:tcMar>
          </w:tcPr>
          <w:p>
            <w:pPr>
              <w:jc w:val="left"/>
            </w:pPr>
            <w:r>
              <w:rPr>
                <w:b w:val="false"/>
                <w:bCs w:val="false"/>
                <w:sz w:val="18"/>
                <w:szCs w:val="18"/>
              </w:rPr>
              <w:t xml:space="preserve">6.2</w:t>
            </w:r>
          </w:p>
        </w:tc>
        <w:tc>
          <w:tcPr>
            <w:tcW w:type="dxa" w:w="5860"/>
            <w:tcMar>
              <w:top w:type="dxa" w:w="60"/>
              <w:left w:type="dxa" w:w="100"/>
              <w:bottom w:type="dxa" w:w="60"/>
              <w:right w:type="dxa" w:w="100"/>
            </w:tcMar>
          </w:tcPr>
          <w:p>
            <w:pPr>
              <w:jc w:val="left"/>
            </w:pPr>
            <w:r>
              <w:rPr>
                <w:b w:val="false"/>
                <w:bCs w:val="false"/>
                <w:sz w:val="18"/>
                <w:szCs w:val="18"/>
              </w:rPr>
              <w:t xml:space="preserve">Forward (worm-driving) and back-drive (gear-driving) efficiency</w:t>
            </w:r>
          </w:p>
        </w:tc>
        <w:tc>
          <w:tcPr>
            <w:tcW w:type="dxa" w:w="2000"/>
            <w:tcMar>
              <w:top w:type="dxa" w:w="60"/>
              <w:left w:type="dxa" w:w="100"/>
              <w:bottom w:type="dxa" w:w="60"/>
              <w:right w:type="dxa" w:w="100"/>
            </w:tcMar>
          </w:tcPr>
          <w:p>
            <w:pPr>
              <w:jc w:val="left"/>
            </w:pPr>
            <w:r>
              <w:rPr>
                <w:b w:val="false"/>
                <w:bCs w:val="false"/>
                <w:sz w:val="18"/>
                <w:szCs w:val="18"/>
              </w:rPr>
              <w:t xml:space="preserve">Eq 21, 22</w:t>
            </w:r>
          </w:p>
        </w:tc>
      </w:tr>
      <w:tr>
        <w:tc>
          <w:tcPr>
            <w:tcW w:type="dxa" w:w="1500"/>
            <w:tcMar>
              <w:top w:type="dxa" w:w="60"/>
              <w:left w:type="dxa" w:w="100"/>
              <w:bottom w:type="dxa" w:w="60"/>
              <w:right w:type="dxa" w:w="100"/>
            </w:tcMar>
          </w:tcPr>
          <w:p>
            <w:pPr>
              <w:jc w:val="left"/>
            </w:pPr>
            <w:r>
              <w:rPr>
                <w:b w:val="false"/>
                <w:bCs w:val="false"/>
                <w:sz w:val="18"/>
                <w:szCs w:val="18"/>
              </w:rPr>
              <w:t xml:space="preserve">6.3</w:t>
            </w:r>
          </w:p>
        </w:tc>
        <w:tc>
          <w:tcPr>
            <w:tcW w:type="dxa" w:w="5860"/>
            <w:tcMar>
              <w:top w:type="dxa" w:w="60"/>
              <w:left w:type="dxa" w:w="100"/>
              <w:bottom w:type="dxa" w:w="60"/>
              <w:right w:type="dxa" w:w="100"/>
            </w:tcMar>
          </w:tcPr>
          <w:p>
            <w:pPr>
              <w:jc w:val="left"/>
            </w:pPr>
            <w:r>
              <w:rPr>
                <w:b w:val="false"/>
                <w:bCs w:val="false"/>
                <w:sz w:val="18"/>
                <w:szCs w:val="18"/>
              </w:rPr>
              <w:t xml:space="preserve">Bending rating chain: allowable bronze bending stress (constant), allowable tangential load, allowable torque, input power rating</w:t>
            </w:r>
          </w:p>
        </w:tc>
        <w:tc>
          <w:tcPr>
            <w:tcW w:type="dxa" w:w="2000"/>
            <w:tcMar>
              <w:top w:type="dxa" w:w="60"/>
              <w:left w:type="dxa" w:w="100"/>
              <w:bottom w:type="dxa" w:w="60"/>
              <w:right w:type="dxa" w:w="100"/>
            </w:tcMar>
          </w:tcPr>
          <w:p>
            <w:pPr>
              <w:jc w:val="left"/>
            </w:pPr>
            <w:r>
              <w:rPr>
                <w:b w:val="false"/>
                <w:bCs w:val="false"/>
                <w:sz w:val="18"/>
                <w:szCs w:val="18"/>
              </w:rPr>
              <w:t xml:space="preserve">Eq 23-26</w:t>
            </w:r>
          </w:p>
        </w:tc>
      </w:tr>
      <w:tr>
        <w:tc>
          <w:tcPr>
            <w:tcW w:type="dxa" w:w="1500"/>
            <w:tcMar>
              <w:top w:type="dxa" w:w="60"/>
              <w:left w:type="dxa" w:w="100"/>
              <w:bottom w:type="dxa" w:w="60"/>
              <w:right w:type="dxa" w:w="100"/>
            </w:tcMar>
          </w:tcPr>
          <w:p>
            <w:pPr>
              <w:jc w:val="left"/>
            </w:pPr>
            <w:r>
              <w:rPr>
                <w:b w:val="false"/>
                <w:bCs w:val="false"/>
                <w:sz w:val="18"/>
                <w:szCs w:val="18"/>
              </w:rPr>
              <w:t xml:space="preserve">7.1.4</w:t>
            </w:r>
          </w:p>
        </w:tc>
        <w:tc>
          <w:tcPr>
            <w:tcW w:type="dxa" w:w="5860"/>
            <w:tcMar>
              <w:top w:type="dxa" w:w="60"/>
              <w:left w:type="dxa" w:w="100"/>
              <w:bottom w:type="dxa" w:w="60"/>
              <w:right w:type="dxa" w:w="100"/>
            </w:tcMar>
          </w:tcPr>
          <w:p>
            <w:pPr>
              <w:jc w:val="left"/>
            </w:pPr>
            <w:r>
              <w:rPr>
                <w:b w:val="false"/>
                <w:bCs w:val="false"/>
                <w:sz w:val="18"/>
                <w:szCs w:val="18"/>
              </w:rPr>
              <w:t xml:space="preserve">Overhung shaft load (optional; requires an applied input power and mounted-element pitch diameter)</w:t>
            </w:r>
          </w:p>
        </w:tc>
        <w:tc>
          <w:tcPr>
            <w:tcW w:type="dxa" w:w="2000"/>
            <w:tcMar>
              <w:top w:type="dxa" w:w="60"/>
              <w:left w:type="dxa" w:w="100"/>
              <w:bottom w:type="dxa" w:w="60"/>
              <w:right w:type="dxa" w:w="100"/>
            </w:tcMar>
          </w:tcPr>
          <w:p>
            <w:pPr>
              <w:jc w:val="left"/>
            </w:pPr>
            <w:r>
              <w:rPr>
                <w:b w:val="false"/>
                <w:bCs w:val="false"/>
                <w:sz w:val="18"/>
                <w:szCs w:val="18"/>
              </w:rPr>
              <w:t xml:space="preserve">Eq 27, Table 8</w:t>
            </w:r>
          </w:p>
        </w:tc>
      </w:tr>
      <w:tr>
        <w:tc>
          <w:tcPr>
            <w:tcW w:type="dxa" w:w="1500"/>
            <w:tcMar>
              <w:top w:type="dxa" w:w="60"/>
              <w:left w:type="dxa" w:w="100"/>
              <w:bottom w:type="dxa" w:w="60"/>
              <w:right w:type="dxa" w:w="100"/>
            </w:tcMar>
          </w:tcPr>
          <w:p>
            <w:pPr>
              <w:jc w:val="left"/>
            </w:pPr>
            <w:r>
              <w:rPr>
                <w:b w:val="false"/>
                <w:bCs w:val="false"/>
                <w:sz w:val="18"/>
                <w:szCs w:val="18"/>
              </w:rPr>
              <w:t xml:space="preserve">10.1</w:t>
            </w:r>
          </w:p>
        </w:tc>
        <w:tc>
          <w:tcPr>
            <w:tcW w:type="dxa" w:w="5860"/>
            <w:tcMar>
              <w:top w:type="dxa" w:w="60"/>
              <w:left w:type="dxa" w:w="100"/>
              <w:bottom w:type="dxa" w:w="60"/>
              <w:right w:type="dxa" w:w="100"/>
            </w:tcMar>
          </w:tcPr>
          <w:p>
            <w:pPr>
              <w:jc w:val="left"/>
            </w:pPr>
            <w:r>
              <w:rPr>
                <w:b w:val="false"/>
                <w:bCs w:val="false"/>
                <w:sz w:val="18"/>
                <w:szCs w:val="18"/>
              </w:rPr>
              <w:t xml:space="preserve">Equivalent input power = specified power x service factor, compared to the governing (minimum of wear/bending) rated input power</w:t>
            </w:r>
          </w:p>
        </w:tc>
        <w:tc>
          <w:tcPr>
            <w:tcW w:type="dxa" w:w="2000"/>
            <w:tcMar>
              <w:top w:type="dxa" w:w="60"/>
              <w:left w:type="dxa" w:w="100"/>
              <w:bottom w:type="dxa" w:w="60"/>
              <w:right w:type="dxa" w:w="100"/>
            </w:tcMar>
          </w:tcPr>
          <w:p>
            <w:pPr>
              <w:jc w:val="left"/>
            </w:pPr>
            <w:r>
              <w:rPr>
                <w:b w:val="false"/>
                <w:bCs w:val="false"/>
                <w:sz w:val="18"/>
                <w:szCs w:val="18"/>
              </w:rPr>
              <w:t xml:space="preserve">Annex A Table A.1</w:t>
            </w:r>
          </w:p>
        </w:tc>
      </w:tr>
      <w:tr>
        <w:tc>
          <w:tcPr>
            <w:tcW w:type="dxa" w:w="1500"/>
            <w:tcMar>
              <w:top w:type="dxa" w:w="60"/>
              <w:left w:type="dxa" w:w="100"/>
              <w:bottom w:type="dxa" w:w="60"/>
              <w:right w:type="dxa" w:w="100"/>
            </w:tcMar>
          </w:tcPr>
          <w:p>
            <w:pPr>
              <w:jc w:val="left"/>
            </w:pPr>
            <w:r>
              <w:rPr>
                <w:b w:val="false"/>
                <w:bCs w:val="false"/>
                <w:sz w:val="18"/>
                <w:szCs w:val="18"/>
              </w:rPr>
              <w:t xml:space="preserve">11.1</w:t>
            </w:r>
          </w:p>
        </w:tc>
        <w:tc>
          <w:tcPr>
            <w:tcW w:type="dxa" w:w="5860"/>
            <w:tcMar>
              <w:top w:type="dxa" w:w="60"/>
              <w:left w:type="dxa" w:w="100"/>
              <w:bottom w:type="dxa" w:w="60"/>
              <w:right w:type="dxa" w:w="100"/>
            </w:tcMar>
          </w:tcPr>
          <w:p>
            <w:pPr>
              <w:jc w:val="left"/>
            </w:pPr>
            <w:r>
              <w:rPr>
                <w:b w:val="false"/>
                <w:bCs w:val="false"/>
                <w:sz w:val="18"/>
                <w:szCs w:val="18"/>
              </w:rPr>
              <w:t xml:space="preserve">Recommended lubricant viscosity (ISO VG) by mesh center distance, worm speed and ambient band</w:t>
            </w:r>
          </w:p>
        </w:tc>
        <w:tc>
          <w:tcPr>
            <w:tcW w:type="dxa" w:w="2000"/>
            <w:tcMar>
              <w:top w:type="dxa" w:w="60"/>
              <w:left w:type="dxa" w:w="100"/>
              <w:bottom w:type="dxa" w:w="60"/>
              <w:right w:type="dxa" w:w="100"/>
            </w:tcMar>
          </w:tcPr>
          <w:p>
            <w:pPr>
              <w:jc w:val="left"/>
            </w:pPr>
            <w:r>
              <w:rPr>
                <w:b w:val="false"/>
                <w:bCs w:val="false"/>
                <w:sz w:val="18"/>
                <w:szCs w:val="18"/>
              </w:rPr>
              <w:t xml:space="preserve">Table 9</w:t>
            </w:r>
          </w:p>
        </w:tc>
      </w:tr>
      <w:tr>
        <w:tc>
          <w:tcPr>
            <w:tcW w:type="dxa" w:w="1500"/>
            <w:tcMar>
              <w:top w:type="dxa" w:w="60"/>
              <w:left w:type="dxa" w:w="100"/>
              <w:bottom w:type="dxa" w:w="60"/>
              <w:right w:type="dxa" w:w="100"/>
            </w:tcMar>
          </w:tcPr>
          <w:p>
            <w:pPr>
              <w:jc w:val="left"/>
            </w:pPr>
            <w:r>
              <w:rPr>
                <w:b w:val="false"/>
                <w:bCs w:val="false"/>
                <w:sz w:val="18"/>
                <w:szCs w:val="18"/>
              </w:rPr>
              <w:t xml:space="preserve">12.2</w:t>
            </w:r>
          </w:p>
        </w:tc>
        <w:tc>
          <w:tcPr>
            <w:tcW w:type="dxa" w:w="5860"/>
            <w:tcMar>
              <w:top w:type="dxa" w:w="60"/>
              <w:left w:type="dxa" w:w="100"/>
              <w:bottom w:type="dxa" w:w="60"/>
              <w:right w:type="dxa" w:w="100"/>
            </w:tcMar>
          </w:tcPr>
          <w:p>
            <w:pPr>
              <w:jc w:val="left"/>
            </w:pPr>
            <w:r>
              <w:rPr>
                <w:b w:val="false"/>
                <w:bCs w:val="false"/>
                <w:sz w:val="18"/>
                <w:szCs w:val="18"/>
              </w:rPr>
              <w:t xml:space="preserve">Self-locking indicator from the sign of the back-drive efficiency (Eq 22)</w:t>
            </w:r>
          </w:p>
        </w:tc>
        <w:tc>
          <w:tcPr>
            <w:tcW w:type="dxa" w:w="2000"/>
            <w:tcMar>
              <w:top w:type="dxa" w:w="60"/>
              <w:left w:type="dxa" w:w="100"/>
              <w:bottom w:type="dxa" w:w="60"/>
              <w:right w:type="dxa" w:w="100"/>
            </w:tcMar>
          </w:tcPr>
          <w:p>
            <w:pPr>
              <w:jc w:val="left"/>
            </w:pPr>
            <w:r>
              <w:rPr>
                <w:b w:val="false"/>
                <w:bCs w:val="false"/>
                <w:sz w:val="18"/>
                <w:szCs w:val="18"/>
              </w:rPr>
              <w:t xml:space="preserve">Eq 22</w:t>
            </w:r>
          </w:p>
        </w:tc>
      </w:tr>
    </w:tbl>
    <w:p>
      <w:pPr>
        <w:pStyle w:val="Heading1"/>
        <w:spacing w:after="160" w:before="360"/>
      </w:pPr>
      <w:r>
        <w:t xml:space="preserve">5. Design decisions and interpretations</w:t>
      </w:r>
    </w:p>
    <w:p>
      <w:pPr>
        <w:spacing w:after="140"/>
      </w:pPr>
      <w:r>
        <w:t xml:space="preserve">A few points in the standard required an explicit modeling decision because they are either under-specified for a general-purpose calculator, or reference material outside this standard's own scope:</w:t>
      </w:r>
    </w:p>
    <w:p>
      <w:pPr>
        <w:pStyle w:val="Heading2"/>
        <w:spacing w:after="120" w:before="260"/>
      </w:pPr>
      <w:r>
        <w:t xml:space="preserve">5.1 Overhung shaft loads (Eq 27) need a torque, which needs an assumed input power</w:t>
      </w:r>
    </w:p>
    <w:p>
      <w:pPr>
        <w:spacing w:after="140"/>
      </w:pPr>
      <w:r>
        <w:t xml:space="preserve">Equation 27 rates an overhung load from a shaft torque T_k, but the standard's own numeric example (Annex C) never exercises clause 7 and so never demonstrates where T_k comes from for a specific application. T1 (worm shaft) was derived from a user-supplied "applied input power" input via T = 30000*P/(pi*n), the same power/torque/speed relationship the standard itself uses in Eq 26. T2 (wormgear shaft) was derived as the corresponding output power (input power times the forward efficiency eta_z1-2 from Eq 21) converted the same way. This whole section is gated behind a "Check overhung shaft loads" checkbox (default off) and is clearly labeled optional in the UI, since it is a downstream convenience calculation built on top of the standard's equations rather than a literal transcription of one.</w:t>
      </w:r>
    </w:p>
    <w:p>
      <w:pPr>
        <w:pStyle w:val="Heading2"/>
        <w:spacing w:after="120" w:before="260"/>
      </w:pPr>
      <w:r>
        <w:t xml:space="preserve">5.2 Service factor (clause 10.1) uses Table A.1, not the much larger Table A.3</w:t>
      </w:r>
    </w:p>
    <w:p>
      <w:pPr>
        <w:spacing w:after="140"/>
      </w:pPr>
      <w:r>
        <w:t xml:space="preserve">Annex A gives two ways to select a service factor: Table A.1 (a small 4x4 duration/shock-load matrix, for when magnitude and duration of shock loads are estimated directly) and Table A.3 (a several-hundred-row list of named applications from "Agitators" to "Winders", each with a duration-based service factor, spanning pages 23-29 of the standard). Table A.1 was implemented directly since it is small, general, and equation-like. Table A.3 was intentionally not transcribed: it is a reference lookup table of named industrial applications rather than a calculation, and reproducing several hundred rows verbatim inside a calculator's source code would be a transcription-error risk without adding calculation logic. A "manual service factor" override is provided instead so a value read from Table A.3 (or agreed with the manufacturer) can still be used directly in the clause 10.1 comparison.</w:t>
      </w:r>
    </w:p>
    <w:p>
      <w:pPr>
        <w:pStyle w:val="Heading2"/>
        <w:spacing w:after="120" w:before="260"/>
      </w:pPr>
      <w:r>
        <w:t xml:space="preserve">5.3 Worm hardness and heat treatment are scope checks only, not calculation inputs</w:t>
      </w:r>
    </w:p>
    <w:p>
      <w:pPr>
        <w:spacing w:after="140"/>
      </w:pPr>
      <w:r>
        <w:t xml:space="preserve">Table 1 (worm surface hardness and typical material) and the bronze alloy/casting-method list in clause 1.2 i) define the applicability boundary of the standard, not a term in any rating equation. The calculator uses the worm heat-treatment selection only to display a pass/fail scope check against Table 1's hardness range (Eq-adjacent, clause 1.2 d)); it has no numerical effect on Ks, Km, Kv, Kn, mu, or any downstream rating value, matching the standard's own equations, none of which take a hardness or alloy term.</w:t>
      </w:r>
    </w:p>
    <w:p>
      <w:pPr>
        <w:pStyle w:val="Heading2"/>
        <w:spacing w:after="120" w:before="260"/>
      </w:pPr>
      <w:r>
        <w:t xml:space="preserve">5.4 Table 9 (lubricant viscosity) transcribed exactly, including its one asymmetry</w:t>
      </w:r>
    </w:p>
    <w:p>
      <w:pPr>
        <w:spacing w:after="140"/>
      </w:pPr>
      <w:r>
        <w:t xml:space="preserve">Table 9's recommended ISO VG for the colder ambient band (-10 C to 10 C) is 460 for every row. For the warmer band (10 C to 52 C) it is 680 at lower worm speeds and 460 at higher speeds, with the break speed decreasing as mesh center distance increases (700, 450, 300, 250, 200 rpm) - except that the smallest center-distance band (a &lt;= 152 mm) recommends 680 at both its speed sub-bands. This exact behavior (including the top-band exception) was reproduced in LubricantViscosityTable9(); it is presented as an informative note in the results report, not a rating value, matching the standard's own framing of clause 11 as lubrication guidance.</w:t>
      </w:r>
    </w:p>
    <w:p>
      <w:pPr>
        <w:pStyle w:val="Heading2"/>
        <w:spacing w:after="120" w:before="260"/>
      </w:pPr>
      <w:r>
        <w:t xml:space="preserve">5.5 Worm radial deflection (Eq 3) is a user-supplied check value, not calculated</w:t>
      </w:r>
    </w:p>
    <w:p>
      <w:pPr>
        <w:spacing w:after="140"/>
      </w:pPr>
      <w:r>
        <w:t xml:space="preserve">Clause 1.2 h) requires the worm's maximum radial deflection under load to satisfy Eq 3, but the standard explicitly defers the deflection calculation itself to ANSI/AGMA 6022 (Design Manual for Cylindrical Worm Gearing), a separate standard not implemented here. The calculator therefore takes the deflection as a direct input (defaulted to the Annex C example's own value, 0.076 mm) and only evaluates the Eq 3 pass/fail comparison, consistent with the Annex C example itself, which does the same (C.3.6).</w:t>
      </w:r>
    </w:p>
    <w:p>
      <w:pPr>
        <w:pStyle w:val="Heading2"/>
        <w:spacing w:after="120" w:before="260"/>
      </w:pPr>
      <w:r>
        <w:t xml:space="preserve">5.6 Self-locking (clause 12) is reported as a directional indicator, not a certification</w:t>
      </w:r>
    </w:p>
    <w:p>
      <w:pPr>
        <w:spacing w:after="140"/>
      </w:pPr>
      <w:r>
        <w:t xml:space="preserve">The standard is explicit that a positive (non-zero) margin on Eq 22's back-drive efficiency is necessary but not sufficient for practical self-locking: vibration can unlock an otherwise statically self-locking mesh, and the standard recommends an anti-rollback device wherever self-locking must be assured (clause 12.3). The calculator's self-locking note reproduces this caveat verbatim alongside the eta_z2-1 &lt;= 0 check, rather than presenting a bare pass/fail.</w:t>
      </w:r>
    </w:p>
    <w:p>
      <w:pPr>
        <w:pStyle w:val="Heading1"/>
        <w:spacing w:after="160" w:before="360"/>
      </w:pPr>
      <w:r>
        <w:t xml:space="preserve">6. Not implemented (by design)</w:t>
      </w:r>
    </w:p>
    <w:p>
      <w:pPr>
        <w:spacing w:after="140"/>
      </w:pPr>
      <w:r>
        <w:t xml:space="preserve">The following clauses are descriptive/qualitative manufacturer or user guidance rather than closed-form calculations, and were left out of the calculator on that basis:</w:t>
      </w:r>
    </w:p>
    <w:p>
      <w:pPr>
        <w:pStyle w:val="ListParagraph"/>
        <w:numPr>
          <w:ilvl w:val="0"/>
          <w:numId w:val="1"/>
        </w:numPr>
        <w:spacing w:after="80"/>
      </w:pPr>
      <w:r>
        <w:t xml:space="preserve">Clause 8 (Thermal rating) - thermal capacity is determined by test per 8.3's four qualifications (oil level, run-in, steady-state operation, measurement point); the standard gives no formula for it.</w:t>
      </w:r>
    </w:p>
    <w:p>
      <w:pPr>
        <w:pStyle w:val="ListParagraph"/>
        <w:numPr>
          <w:ilvl w:val="0"/>
          <w:numId w:val="1"/>
        </w:numPr>
        <w:spacing w:after="80"/>
      </w:pPr>
      <w:r>
        <w:t xml:space="preserve">Clause 9.1-9.2 (No-load losses, multiple reductions) - no-load loss is experimentally determined, and multi-reduction rating is a described procedure (rate each pair, take the governing one) rather than a new equation; a user modeling a specific multi-stage reducer would run this calculator once per stage.</w:t>
      </w:r>
    </w:p>
    <w:p>
      <w:pPr>
        <w:pStyle w:val="ListParagraph"/>
        <w:numPr>
          <w:ilvl w:val="0"/>
          <w:numId w:val="1"/>
        </w:numPr>
        <w:spacing w:after="80"/>
      </w:pPr>
      <w:r>
        <w:t xml:space="preserve">Clause 9.3-9.4 (Spur/helical/bevel stages, momentary overloads) - these reference ANSI/AGMA 6113 for non-wormgear stages and state qualitative overload limits (300% for up to 2 seconds, 25 000 cycles over life) with no new formula.</w:t>
      </w:r>
    </w:p>
    <w:p>
      <w:pPr>
        <w:pStyle w:val="ListParagraph"/>
        <w:numPr>
          <w:ilvl w:val="0"/>
          <w:numId w:val="1"/>
        </w:numPr>
        <w:spacing w:after="80"/>
      </w:pPr>
      <w:r>
        <w:t xml:space="preserve">Clause 11 (Lubrication) beyond Table 9 - compatibility, flushing procedure, additive restrictions, cold-start and sump-heater guidance are procedural/qualitative.</w:t>
      </w:r>
    </w:p>
    <w:p>
      <w:pPr>
        <w:pStyle w:val="ListParagraph"/>
        <w:numPr>
          <w:ilvl w:val="0"/>
          <w:numId w:val="1"/>
        </w:numPr>
        <w:spacing w:after="80"/>
      </w:pPr>
      <w:r>
        <w:t xml:space="preserve">Annex A Table A.3 (application-specific service factors) - see section 5.2.</w:t>
      </w:r>
    </w:p>
    <w:p>
      <w:pPr>
        <w:pStyle w:val="ListParagraph"/>
        <w:numPr>
          <w:ilvl w:val="0"/>
          <w:numId w:val="1"/>
        </w:numPr>
        <w:spacing w:after="80"/>
      </w:pPr>
      <w:r>
        <w:t xml:space="preserve">Annex B (User recommendations) - informative purchasing/installation guidance (protection, standard ratios, bore sizing, sound), not a calculation.</w:t>
      </w:r>
    </w:p>
    <w:p>
      <w:pPr>
        <w:spacing w:after="140"/>
      </w:pPr>
      <w:r>
        <w:t xml:space="preserve">None of these omissions affect the correctness of the implemented rating chain: Annex C's own worked example does not exercise any of them either.</w:t>
      </w:r>
    </w:p>
    <w:p>
      <w:pPr>
        <w:pStyle w:val="Heading1"/>
        <w:spacing w:after="160" w:before="360"/>
      </w:pPr>
      <w:r>
        <w:t xml:space="preserve">7. Validation against Annex C</w:t>
      </w:r>
    </w:p>
    <w:p>
      <w:pPr>
        <w:spacing w:after="140"/>
      </w:pPr>
      <w:r>
        <w:t xml:space="preserve">Annex C's worked example (worm: 8620 steel, 58 HRC, single-start, 6 deg lead angle; wormgear: 30-tooth C90700 bronze, centrifugally cast, 6 deg helix angle; mn = 4 mm, alpha_n = 20 deg, n1 = 1750 rpm; PAO oil) was encoded exactly as published (Table C.1) and run through AgmaCalculator.Calculate(). All 27 published intermediate and final values were checked; every one passed. The largest deviation (0.73%, on the sliding velocity v1) is fully explained by the standard itself: Annex C prints v1 rounded to 3.5 m/s and then re-uses that rounded value in every later hand calculation (Kv, mu, ...), whereas this implementation carries full double precision through the whole chain, per the standard's own recommendation in clause 4.1 ("enough significant digits (at least double precision) be used ... to obtain an accurate result") and Annex C's own Note 1 ("calculation results ... may not round off exactly to the equations as displayed"). All other deviations are below 0.4% and attributable to the same effect.</w:t>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1300"/>
        <w:gridCol w:w="1350"/>
        <w:gridCol w:w="1350"/>
        <w:gridCol w:w="1200"/>
        <w:gridCol w:w="1560"/>
      </w:tblGrid>
      <w:tr>
        <w:trPr>
          <w:tblHeader/>
        </w:trPr>
        <w:tc>
          <w:tcPr>
            <w:tcW w:type="dxa" w:w="1300"/>
            <w:shd w:fill="E8E1CE" w:val="clear"/>
            <w:tcMar>
              <w:top w:type="dxa" w:w="60"/>
              <w:left w:type="dxa" w:w="100"/>
              <w:bottom w:type="dxa" w:w="60"/>
              <w:right w:type="dxa" w:w="100"/>
            </w:tcMar>
          </w:tcPr>
          <w:p>
            <w:pPr>
              <w:jc w:val="left"/>
            </w:pPr>
            <w:r>
              <w:rPr>
                <w:b/>
                <w:bCs/>
                <w:sz w:val="18"/>
                <w:szCs w:val="18"/>
              </w:rPr>
              <w:t xml:space="preserve">Symbol</w:t>
            </w:r>
          </w:p>
        </w:tc>
        <w:tc>
          <w:tcPr>
            <w:tcW w:type="dxa" w:w="1350"/>
            <w:shd w:fill="E8E1CE" w:val="clear"/>
            <w:tcMar>
              <w:top w:type="dxa" w:w="60"/>
              <w:left w:type="dxa" w:w="100"/>
              <w:bottom w:type="dxa" w:w="60"/>
              <w:right w:type="dxa" w:w="100"/>
            </w:tcMar>
          </w:tcPr>
          <w:p>
            <w:pPr>
              <w:jc w:val="left"/>
            </w:pPr>
            <w:r>
              <w:rPr>
                <w:b/>
                <w:bCs/>
                <w:sz w:val="18"/>
                <w:szCs w:val="18"/>
              </w:rPr>
              <w:t xml:space="preserve">Expected (Annex C)</w:t>
            </w:r>
          </w:p>
        </w:tc>
        <w:tc>
          <w:tcPr>
            <w:tcW w:type="dxa" w:w="1350"/>
            <w:shd w:fill="E8E1CE" w:val="clear"/>
            <w:tcMar>
              <w:top w:type="dxa" w:w="60"/>
              <w:left w:type="dxa" w:w="100"/>
              <w:bottom w:type="dxa" w:w="60"/>
              <w:right w:type="dxa" w:w="100"/>
            </w:tcMar>
          </w:tcPr>
          <w:p>
            <w:pPr>
              <w:jc w:val="left"/>
            </w:pPr>
            <w:r>
              <w:rPr>
                <w:b/>
                <w:bCs/>
                <w:sz w:val="18"/>
                <w:szCs w:val="18"/>
              </w:rPr>
              <w:t xml:space="preserve">Calculated</w:t>
            </w:r>
          </w:p>
        </w:tc>
        <w:tc>
          <w:tcPr>
            <w:tcW w:type="dxa" w:w="1200"/>
            <w:shd w:fill="E8E1CE" w:val="clear"/>
            <w:tcMar>
              <w:top w:type="dxa" w:w="60"/>
              <w:left w:type="dxa" w:w="100"/>
              <w:bottom w:type="dxa" w:w="60"/>
              <w:right w:type="dxa" w:w="100"/>
            </w:tcMar>
          </w:tcPr>
          <w:p>
            <w:pPr>
              <w:jc w:val="left"/>
            </w:pPr>
            <w:r>
              <w:rPr>
                <w:b/>
                <w:bCs/>
                <w:sz w:val="18"/>
                <w:szCs w:val="18"/>
              </w:rPr>
              <w:t xml:space="preserve">Diff %</w:t>
            </w:r>
          </w:p>
        </w:tc>
        <w:tc>
          <w:tcPr>
            <w:tcW w:type="dxa" w:w="1560"/>
            <w:shd w:fill="E8E1CE" w:val="clear"/>
            <w:tcMar>
              <w:top w:type="dxa" w:w="60"/>
              <w:left w:type="dxa" w:w="100"/>
              <w:bottom w:type="dxa" w:w="60"/>
              <w:right w:type="dxa" w:w="100"/>
            </w:tcMar>
          </w:tcPr>
          <w:p>
            <w:pPr>
              <w:jc w:val="left"/>
            </w:pPr>
            <w:r>
              <w:rPr>
                <w:b/>
                <w:bCs/>
                <w:sz w:val="18"/>
                <w:szCs w:val="18"/>
              </w:rPr>
              <w:t xml:space="preserve">Result</w:t>
            </w:r>
          </w:p>
        </w:tc>
      </w:tr>
      <w:tr>
        <w:tc>
          <w:tcPr>
            <w:tcW w:type="dxa" w:w="1300"/>
            <w:tcMar>
              <w:top w:type="dxa" w:w="60"/>
              <w:left w:type="dxa" w:w="100"/>
              <w:bottom w:type="dxa" w:w="60"/>
              <w:right w:type="dxa" w:w="100"/>
            </w:tcMar>
          </w:tcPr>
          <w:p>
            <w:pPr>
              <w:jc w:val="left"/>
            </w:pPr>
            <w:r>
              <w:rPr>
                <w:b w:val="false"/>
                <w:bCs w:val="false"/>
                <w:sz w:val="18"/>
                <w:szCs w:val="18"/>
              </w:rPr>
              <w:t xml:space="preserve">beta1 (deg)</w:t>
            </w:r>
          </w:p>
        </w:tc>
        <w:tc>
          <w:tcPr>
            <w:tcW w:type="dxa" w:w="1350"/>
            <w:tcMar>
              <w:top w:type="dxa" w:w="60"/>
              <w:left w:type="dxa" w:w="100"/>
              <w:bottom w:type="dxa" w:w="60"/>
              <w:right w:type="dxa" w:w="100"/>
            </w:tcMar>
          </w:tcPr>
          <w:p>
            <w:pPr>
              <w:jc w:val="left"/>
            </w:pPr>
            <w:r>
              <w:rPr>
                <w:b w:val="false"/>
                <w:bCs w:val="false"/>
                <w:sz w:val="18"/>
                <w:szCs w:val="18"/>
              </w:rPr>
              <w:t xml:space="preserve">84.00000</w:t>
            </w:r>
          </w:p>
        </w:tc>
        <w:tc>
          <w:tcPr>
            <w:tcW w:type="dxa" w:w="1350"/>
            <w:tcMar>
              <w:top w:type="dxa" w:w="60"/>
              <w:left w:type="dxa" w:w="100"/>
              <w:bottom w:type="dxa" w:w="60"/>
              <w:right w:type="dxa" w:w="100"/>
            </w:tcMar>
          </w:tcPr>
          <w:p>
            <w:pPr>
              <w:jc w:val="left"/>
            </w:pPr>
            <w:r>
              <w:rPr>
                <w:b w:val="false"/>
                <w:bCs w:val="false"/>
                <w:sz w:val="18"/>
                <w:szCs w:val="18"/>
              </w:rPr>
              <w:t xml:space="preserve">84.00000</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d1 (mm)</w:t>
            </w:r>
          </w:p>
        </w:tc>
        <w:tc>
          <w:tcPr>
            <w:tcW w:type="dxa" w:w="1350"/>
            <w:tcMar>
              <w:top w:type="dxa" w:w="60"/>
              <w:left w:type="dxa" w:w="100"/>
              <w:bottom w:type="dxa" w:w="60"/>
              <w:right w:type="dxa" w:w="100"/>
            </w:tcMar>
          </w:tcPr>
          <w:p>
            <w:pPr>
              <w:jc w:val="left"/>
            </w:pPr>
            <w:r>
              <w:rPr>
                <w:b w:val="false"/>
                <w:bCs w:val="false"/>
                <w:sz w:val="18"/>
                <w:szCs w:val="18"/>
              </w:rPr>
              <w:t xml:space="preserve">38.26700</w:t>
            </w:r>
          </w:p>
        </w:tc>
        <w:tc>
          <w:tcPr>
            <w:tcW w:type="dxa" w:w="1350"/>
            <w:tcMar>
              <w:top w:type="dxa" w:w="60"/>
              <w:left w:type="dxa" w:w="100"/>
              <w:bottom w:type="dxa" w:w="60"/>
              <w:right w:type="dxa" w:w="100"/>
            </w:tcMar>
          </w:tcPr>
          <w:p>
            <w:pPr>
              <w:jc w:val="left"/>
            </w:pPr>
            <w:r>
              <w:rPr>
                <w:b w:val="false"/>
                <w:bCs w:val="false"/>
                <w:sz w:val="18"/>
                <w:szCs w:val="18"/>
              </w:rPr>
              <w:t xml:space="preserve">38.26709</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d2 (mm)</w:t>
            </w:r>
          </w:p>
        </w:tc>
        <w:tc>
          <w:tcPr>
            <w:tcW w:type="dxa" w:w="1350"/>
            <w:tcMar>
              <w:top w:type="dxa" w:w="60"/>
              <w:left w:type="dxa" w:w="100"/>
              <w:bottom w:type="dxa" w:w="60"/>
              <w:right w:type="dxa" w:w="100"/>
            </w:tcMar>
          </w:tcPr>
          <w:p>
            <w:pPr>
              <w:jc w:val="left"/>
            </w:pPr>
            <w:r>
              <w:rPr>
                <w:b w:val="false"/>
                <w:bCs w:val="false"/>
                <w:sz w:val="18"/>
                <w:szCs w:val="18"/>
              </w:rPr>
              <w:t xml:space="preserve">120.66090</w:t>
            </w:r>
          </w:p>
        </w:tc>
        <w:tc>
          <w:tcPr>
            <w:tcW w:type="dxa" w:w="1350"/>
            <w:tcMar>
              <w:top w:type="dxa" w:w="60"/>
              <w:left w:type="dxa" w:w="100"/>
              <w:bottom w:type="dxa" w:w="60"/>
              <w:right w:type="dxa" w:w="100"/>
            </w:tcMar>
          </w:tcPr>
          <w:p>
            <w:pPr>
              <w:jc w:val="left"/>
            </w:pPr>
            <w:r>
              <w:rPr>
                <w:b w:val="false"/>
                <w:bCs w:val="false"/>
                <w:sz w:val="18"/>
                <w:szCs w:val="18"/>
              </w:rPr>
              <w:t xml:space="preserve">120.66099</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px1 (mm)</w:t>
            </w:r>
          </w:p>
        </w:tc>
        <w:tc>
          <w:tcPr>
            <w:tcW w:type="dxa" w:w="1350"/>
            <w:tcMar>
              <w:top w:type="dxa" w:w="60"/>
              <w:left w:type="dxa" w:w="100"/>
              <w:bottom w:type="dxa" w:w="60"/>
              <w:right w:type="dxa" w:w="100"/>
            </w:tcMar>
          </w:tcPr>
          <w:p>
            <w:pPr>
              <w:jc w:val="left"/>
            </w:pPr>
            <w:r>
              <w:rPr>
                <w:b w:val="false"/>
                <w:bCs w:val="false"/>
                <w:sz w:val="18"/>
                <w:szCs w:val="18"/>
              </w:rPr>
              <w:t xml:space="preserve">12.64000</w:t>
            </w:r>
          </w:p>
        </w:tc>
        <w:tc>
          <w:tcPr>
            <w:tcW w:type="dxa" w:w="1350"/>
            <w:tcMar>
              <w:top w:type="dxa" w:w="60"/>
              <w:left w:type="dxa" w:w="100"/>
              <w:bottom w:type="dxa" w:w="60"/>
              <w:right w:type="dxa" w:w="100"/>
            </w:tcMar>
          </w:tcPr>
          <w:p>
            <w:pPr>
              <w:jc w:val="left"/>
            </w:pPr>
            <w:r>
              <w:rPr>
                <w:b w:val="false"/>
                <w:bCs w:val="false"/>
                <w:sz w:val="18"/>
                <w:szCs w:val="18"/>
              </w:rPr>
              <w:t xml:space="preserve">12.63559</w:t>
            </w:r>
          </w:p>
        </w:tc>
        <w:tc>
          <w:tcPr>
            <w:tcW w:type="dxa" w:w="1200"/>
            <w:tcMar>
              <w:top w:type="dxa" w:w="60"/>
              <w:left w:type="dxa" w:w="100"/>
              <w:bottom w:type="dxa" w:w="60"/>
              <w:right w:type="dxa" w:w="100"/>
            </w:tcMar>
          </w:tcPr>
          <w:p>
            <w:pPr>
              <w:jc w:val="left"/>
            </w:pPr>
            <w:r>
              <w:rPr>
                <w:b w:val="false"/>
                <w:bCs w:val="false"/>
                <w:sz w:val="18"/>
                <w:szCs w:val="18"/>
              </w:rPr>
              <w:t xml:space="preserve">-0.03</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a (mm)</w:t>
            </w:r>
          </w:p>
        </w:tc>
        <w:tc>
          <w:tcPr>
            <w:tcW w:type="dxa" w:w="1350"/>
            <w:tcMar>
              <w:top w:type="dxa" w:w="60"/>
              <w:left w:type="dxa" w:w="100"/>
              <w:bottom w:type="dxa" w:w="60"/>
              <w:right w:type="dxa" w:w="100"/>
            </w:tcMar>
          </w:tcPr>
          <w:p>
            <w:pPr>
              <w:jc w:val="left"/>
            </w:pPr>
            <w:r>
              <w:rPr>
                <w:b w:val="false"/>
                <w:bCs w:val="false"/>
                <w:sz w:val="18"/>
                <w:szCs w:val="18"/>
              </w:rPr>
              <w:t xml:space="preserve">79.46000</w:t>
            </w:r>
          </w:p>
        </w:tc>
        <w:tc>
          <w:tcPr>
            <w:tcW w:type="dxa" w:w="1350"/>
            <w:tcMar>
              <w:top w:type="dxa" w:w="60"/>
              <w:left w:type="dxa" w:w="100"/>
              <w:bottom w:type="dxa" w:w="60"/>
              <w:right w:type="dxa" w:w="100"/>
            </w:tcMar>
          </w:tcPr>
          <w:p>
            <w:pPr>
              <w:jc w:val="left"/>
            </w:pPr>
            <w:r>
              <w:rPr>
                <w:b w:val="false"/>
                <w:bCs w:val="false"/>
                <w:sz w:val="18"/>
                <w:szCs w:val="18"/>
              </w:rPr>
              <w:t xml:space="preserve">79.46404</w:t>
            </w:r>
          </w:p>
        </w:tc>
        <w:tc>
          <w:tcPr>
            <w:tcW w:type="dxa" w:w="1200"/>
            <w:tcMar>
              <w:top w:type="dxa" w:w="60"/>
              <w:left w:type="dxa" w:w="100"/>
              <w:bottom w:type="dxa" w:w="60"/>
              <w:right w:type="dxa" w:w="100"/>
            </w:tcMar>
          </w:tcPr>
          <w:p>
            <w:pPr>
              <w:jc w:val="left"/>
            </w:pPr>
            <w:r>
              <w:rPr>
                <w:b w:val="false"/>
                <w:bCs w:val="false"/>
                <w:sz w:val="18"/>
                <w:szCs w:val="18"/>
              </w:rPr>
              <w:t xml:space="preserve">0.01</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u</w:t>
            </w:r>
          </w:p>
        </w:tc>
        <w:tc>
          <w:tcPr>
            <w:tcW w:type="dxa" w:w="1350"/>
            <w:tcMar>
              <w:top w:type="dxa" w:w="60"/>
              <w:left w:type="dxa" w:w="100"/>
              <w:bottom w:type="dxa" w:w="60"/>
              <w:right w:type="dxa" w:w="100"/>
            </w:tcMar>
          </w:tcPr>
          <w:p>
            <w:pPr>
              <w:jc w:val="left"/>
            </w:pPr>
            <w:r>
              <w:rPr>
                <w:b w:val="false"/>
                <w:bCs w:val="false"/>
                <w:sz w:val="18"/>
                <w:szCs w:val="18"/>
              </w:rPr>
              <w:t xml:space="preserve">30.00000</w:t>
            </w:r>
          </w:p>
        </w:tc>
        <w:tc>
          <w:tcPr>
            <w:tcW w:type="dxa" w:w="1350"/>
            <w:tcMar>
              <w:top w:type="dxa" w:w="60"/>
              <w:left w:type="dxa" w:w="100"/>
              <w:bottom w:type="dxa" w:w="60"/>
              <w:right w:type="dxa" w:w="100"/>
            </w:tcMar>
          </w:tcPr>
          <w:p>
            <w:pPr>
              <w:jc w:val="left"/>
            </w:pPr>
            <w:r>
              <w:rPr>
                <w:b w:val="false"/>
                <w:bCs w:val="false"/>
                <w:sz w:val="18"/>
                <w:szCs w:val="18"/>
              </w:rPr>
              <w:t xml:space="preserve">30.00000</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v1 (m/s)</w:t>
            </w:r>
          </w:p>
        </w:tc>
        <w:tc>
          <w:tcPr>
            <w:tcW w:type="dxa" w:w="1350"/>
            <w:tcMar>
              <w:top w:type="dxa" w:w="60"/>
              <w:left w:type="dxa" w:w="100"/>
              <w:bottom w:type="dxa" w:w="60"/>
              <w:right w:type="dxa" w:w="100"/>
            </w:tcMar>
          </w:tcPr>
          <w:p>
            <w:pPr>
              <w:jc w:val="left"/>
            </w:pPr>
            <w:r>
              <w:rPr>
                <w:b w:val="false"/>
                <w:bCs w:val="false"/>
                <w:sz w:val="18"/>
                <w:szCs w:val="18"/>
              </w:rPr>
              <w:t xml:space="preserve">3.50000</w:t>
            </w:r>
          </w:p>
        </w:tc>
        <w:tc>
          <w:tcPr>
            <w:tcW w:type="dxa" w:w="1350"/>
            <w:tcMar>
              <w:top w:type="dxa" w:w="60"/>
              <w:left w:type="dxa" w:w="100"/>
              <w:bottom w:type="dxa" w:w="60"/>
              <w:right w:type="dxa" w:w="100"/>
            </w:tcMar>
          </w:tcPr>
          <w:p>
            <w:pPr>
              <w:jc w:val="left"/>
            </w:pPr>
            <w:r>
              <w:rPr>
                <w:b w:val="false"/>
                <w:bCs w:val="false"/>
                <w:sz w:val="18"/>
                <w:szCs w:val="18"/>
              </w:rPr>
              <w:t xml:space="preserve">3.52572</w:t>
            </w:r>
          </w:p>
        </w:tc>
        <w:tc>
          <w:tcPr>
            <w:tcW w:type="dxa" w:w="1200"/>
            <w:tcMar>
              <w:top w:type="dxa" w:w="60"/>
              <w:left w:type="dxa" w:w="100"/>
              <w:bottom w:type="dxa" w:w="60"/>
              <w:right w:type="dxa" w:w="100"/>
            </w:tcMar>
          </w:tcPr>
          <w:p>
            <w:pPr>
              <w:jc w:val="left"/>
            </w:pPr>
            <w:r>
              <w:rPr>
                <w:b w:val="false"/>
                <w:bCs w:val="false"/>
                <w:sz w:val="18"/>
                <w:szCs w:val="18"/>
              </w:rPr>
              <w:t xml:space="preserve">0.73</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n2 (rpm)</w:t>
            </w:r>
          </w:p>
        </w:tc>
        <w:tc>
          <w:tcPr>
            <w:tcW w:type="dxa" w:w="1350"/>
            <w:tcMar>
              <w:top w:type="dxa" w:w="60"/>
              <w:left w:type="dxa" w:w="100"/>
              <w:bottom w:type="dxa" w:w="60"/>
              <w:right w:type="dxa" w:w="100"/>
            </w:tcMar>
          </w:tcPr>
          <w:p>
            <w:pPr>
              <w:jc w:val="left"/>
            </w:pPr>
            <w:r>
              <w:rPr>
                <w:b w:val="false"/>
                <w:bCs w:val="false"/>
                <w:sz w:val="18"/>
                <w:szCs w:val="18"/>
              </w:rPr>
              <w:t xml:space="preserve">58.33000</w:t>
            </w:r>
          </w:p>
        </w:tc>
        <w:tc>
          <w:tcPr>
            <w:tcW w:type="dxa" w:w="1350"/>
            <w:tcMar>
              <w:top w:type="dxa" w:w="60"/>
              <w:left w:type="dxa" w:w="100"/>
              <w:bottom w:type="dxa" w:w="60"/>
              <w:right w:type="dxa" w:w="100"/>
            </w:tcMar>
          </w:tcPr>
          <w:p>
            <w:pPr>
              <w:jc w:val="left"/>
            </w:pPr>
            <w:r>
              <w:rPr>
                <w:b w:val="false"/>
                <w:bCs w:val="false"/>
                <w:sz w:val="18"/>
                <w:szCs w:val="18"/>
              </w:rPr>
              <w:t xml:space="preserve">58.33333</w:t>
            </w:r>
          </w:p>
        </w:tc>
        <w:tc>
          <w:tcPr>
            <w:tcW w:type="dxa" w:w="1200"/>
            <w:tcMar>
              <w:top w:type="dxa" w:w="60"/>
              <w:left w:type="dxa" w:w="100"/>
              <w:bottom w:type="dxa" w:w="60"/>
              <w:right w:type="dxa" w:w="100"/>
            </w:tcMar>
          </w:tcPr>
          <w:p>
            <w:pPr>
              <w:jc w:val="left"/>
            </w:pPr>
            <w:r>
              <w:rPr>
                <w:b w:val="false"/>
                <w:bCs w:val="false"/>
                <w:sz w:val="18"/>
                <w:szCs w:val="18"/>
              </w:rPr>
              <w:t xml:space="preserve">0.01</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be2 (mm)</w:t>
            </w:r>
          </w:p>
        </w:tc>
        <w:tc>
          <w:tcPr>
            <w:tcW w:type="dxa" w:w="1350"/>
            <w:tcMar>
              <w:top w:type="dxa" w:w="60"/>
              <w:left w:type="dxa" w:w="100"/>
              <w:bottom w:type="dxa" w:w="60"/>
              <w:right w:type="dxa" w:w="100"/>
            </w:tcMar>
          </w:tcPr>
          <w:p>
            <w:pPr>
              <w:jc w:val="left"/>
            </w:pPr>
            <w:r>
              <w:rPr>
                <w:b w:val="false"/>
                <w:bCs w:val="false"/>
                <w:sz w:val="18"/>
                <w:szCs w:val="18"/>
              </w:rPr>
              <w:t xml:space="preserve">25.51000</w:t>
            </w:r>
          </w:p>
        </w:tc>
        <w:tc>
          <w:tcPr>
            <w:tcW w:type="dxa" w:w="1350"/>
            <w:tcMar>
              <w:top w:type="dxa" w:w="60"/>
              <w:left w:type="dxa" w:w="100"/>
              <w:bottom w:type="dxa" w:w="60"/>
              <w:right w:type="dxa" w:w="100"/>
            </w:tcMar>
          </w:tcPr>
          <w:p>
            <w:pPr>
              <w:jc w:val="left"/>
            </w:pPr>
            <w:r>
              <w:rPr>
                <w:b w:val="false"/>
                <w:bCs w:val="false"/>
                <w:sz w:val="18"/>
                <w:szCs w:val="18"/>
              </w:rPr>
              <w:t xml:space="preserve">25.51139</w:t>
            </w:r>
          </w:p>
        </w:tc>
        <w:tc>
          <w:tcPr>
            <w:tcW w:type="dxa" w:w="1200"/>
            <w:tcMar>
              <w:top w:type="dxa" w:w="60"/>
              <w:left w:type="dxa" w:w="100"/>
              <w:bottom w:type="dxa" w:w="60"/>
              <w:right w:type="dxa" w:w="100"/>
            </w:tcMar>
          </w:tcPr>
          <w:p>
            <w:pPr>
              <w:jc w:val="left"/>
            </w:pPr>
            <w:r>
              <w:rPr>
                <w:b w:val="false"/>
                <w:bCs w:val="false"/>
                <w:sz w:val="18"/>
                <w:szCs w:val="18"/>
              </w:rPr>
              <w:t xml:space="preserve">0.01</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lf2 (mm)</w:t>
            </w:r>
          </w:p>
        </w:tc>
        <w:tc>
          <w:tcPr>
            <w:tcW w:type="dxa" w:w="1350"/>
            <w:tcMar>
              <w:top w:type="dxa" w:w="60"/>
              <w:left w:type="dxa" w:w="100"/>
              <w:bottom w:type="dxa" w:w="60"/>
              <w:right w:type="dxa" w:w="100"/>
            </w:tcMar>
          </w:tcPr>
          <w:p>
            <w:pPr>
              <w:jc w:val="left"/>
            </w:pPr>
            <w:r>
              <w:rPr>
                <w:b w:val="false"/>
                <w:bCs w:val="false"/>
                <w:sz w:val="18"/>
                <w:szCs w:val="18"/>
              </w:rPr>
              <w:t xml:space="preserve">26.88000</w:t>
            </w:r>
          </w:p>
        </w:tc>
        <w:tc>
          <w:tcPr>
            <w:tcW w:type="dxa" w:w="1350"/>
            <w:tcMar>
              <w:top w:type="dxa" w:w="60"/>
              <w:left w:type="dxa" w:w="100"/>
              <w:bottom w:type="dxa" w:w="60"/>
              <w:right w:type="dxa" w:w="100"/>
            </w:tcMar>
          </w:tcPr>
          <w:p>
            <w:pPr>
              <w:jc w:val="left"/>
            </w:pPr>
            <w:r>
              <w:rPr>
                <w:b w:val="false"/>
                <w:bCs w:val="false"/>
                <w:sz w:val="18"/>
                <w:szCs w:val="18"/>
              </w:rPr>
              <w:t xml:space="preserve">26.87926</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Ks</w:t>
            </w:r>
          </w:p>
        </w:tc>
        <w:tc>
          <w:tcPr>
            <w:tcW w:type="dxa" w:w="1350"/>
            <w:tcMar>
              <w:top w:type="dxa" w:w="60"/>
              <w:left w:type="dxa" w:w="100"/>
              <w:bottom w:type="dxa" w:w="60"/>
              <w:right w:type="dxa" w:w="100"/>
            </w:tcMar>
          </w:tcPr>
          <w:p>
            <w:pPr>
              <w:jc w:val="left"/>
            </w:pPr>
            <w:r>
              <w:rPr>
                <w:b w:val="false"/>
                <w:bCs w:val="false"/>
                <w:sz w:val="18"/>
                <w:szCs w:val="18"/>
              </w:rPr>
              <w:t xml:space="preserve">1000.00000</w:t>
            </w:r>
          </w:p>
        </w:tc>
        <w:tc>
          <w:tcPr>
            <w:tcW w:type="dxa" w:w="1350"/>
            <w:tcMar>
              <w:top w:type="dxa" w:w="60"/>
              <w:left w:type="dxa" w:w="100"/>
              <w:bottom w:type="dxa" w:w="60"/>
              <w:right w:type="dxa" w:w="100"/>
            </w:tcMar>
          </w:tcPr>
          <w:p>
            <w:pPr>
              <w:jc w:val="left"/>
            </w:pPr>
            <w:r>
              <w:rPr>
                <w:b w:val="false"/>
                <w:bCs w:val="false"/>
                <w:sz w:val="18"/>
                <w:szCs w:val="18"/>
              </w:rPr>
              <w:t xml:space="preserve">1000.00000</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Km</w:t>
            </w:r>
          </w:p>
        </w:tc>
        <w:tc>
          <w:tcPr>
            <w:tcW w:type="dxa" w:w="1350"/>
            <w:tcMar>
              <w:top w:type="dxa" w:w="60"/>
              <w:left w:type="dxa" w:w="100"/>
              <w:bottom w:type="dxa" w:w="60"/>
              <w:right w:type="dxa" w:w="100"/>
            </w:tcMar>
          </w:tcPr>
          <w:p>
            <w:pPr>
              <w:jc w:val="left"/>
            </w:pPr>
            <w:r>
              <w:rPr>
                <w:b w:val="false"/>
                <w:bCs w:val="false"/>
                <w:sz w:val="18"/>
                <w:szCs w:val="18"/>
              </w:rPr>
              <w:t xml:space="preserve">0.82362</w:t>
            </w:r>
          </w:p>
        </w:tc>
        <w:tc>
          <w:tcPr>
            <w:tcW w:type="dxa" w:w="1350"/>
            <w:tcMar>
              <w:top w:type="dxa" w:w="60"/>
              <w:left w:type="dxa" w:w="100"/>
              <w:bottom w:type="dxa" w:w="60"/>
              <w:right w:type="dxa" w:w="100"/>
            </w:tcMar>
          </w:tcPr>
          <w:p>
            <w:pPr>
              <w:jc w:val="left"/>
            </w:pPr>
            <w:r>
              <w:rPr>
                <w:b w:val="false"/>
                <w:bCs w:val="false"/>
                <w:sz w:val="18"/>
                <w:szCs w:val="18"/>
              </w:rPr>
              <w:t xml:space="preserve">0.82362</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Kv</w:t>
            </w:r>
          </w:p>
        </w:tc>
        <w:tc>
          <w:tcPr>
            <w:tcW w:type="dxa" w:w="1350"/>
            <w:tcMar>
              <w:top w:type="dxa" w:w="60"/>
              <w:left w:type="dxa" w:w="100"/>
              <w:bottom w:type="dxa" w:w="60"/>
              <w:right w:type="dxa" w:w="100"/>
            </w:tcMar>
          </w:tcPr>
          <w:p>
            <w:pPr>
              <w:jc w:val="left"/>
            </w:pPr>
            <w:r>
              <w:rPr>
                <w:b w:val="false"/>
                <w:bCs w:val="false"/>
                <w:sz w:val="18"/>
                <w:szCs w:val="18"/>
              </w:rPr>
              <w:t xml:space="preserve">0.30713</w:t>
            </w:r>
          </w:p>
        </w:tc>
        <w:tc>
          <w:tcPr>
            <w:tcW w:type="dxa" w:w="1350"/>
            <w:tcMar>
              <w:top w:type="dxa" w:w="60"/>
              <w:left w:type="dxa" w:w="100"/>
              <w:bottom w:type="dxa" w:w="60"/>
              <w:right w:type="dxa" w:w="100"/>
            </w:tcMar>
          </w:tcPr>
          <w:p>
            <w:pPr>
              <w:jc w:val="left"/>
            </w:pPr>
            <w:r>
              <w:rPr>
                <w:b w:val="false"/>
                <w:bCs w:val="false"/>
                <w:sz w:val="18"/>
                <w:szCs w:val="18"/>
              </w:rPr>
              <w:t xml:space="preserve">0.30713</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Kn</w:t>
            </w:r>
          </w:p>
        </w:tc>
        <w:tc>
          <w:tcPr>
            <w:tcW w:type="dxa" w:w="1350"/>
            <w:tcMar>
              <w:top w:type="dxa" w:w="60"/>
              <w:left w:type="dxa" w:w="100"/>
              <w:bottom w:type="dxa" w:w="60"/>
              <w:right w:type="dxa" w:w="100"/>
            </w:tcMar>
          </w:tcPr>
          <w:p>
            <w:pPr>
              <w:jc w:val="left"/>
            </w:pPr>
            <w:r>
              <w:rPr>
                <w:b w:val="false"/>
                <w:bCs w:val="false"/>
                <w:sz w:val="18"/>
                <w:szCs w:val="18"/>
              </w:rPr>
              <w:t xml:space="preserve">0.45298</w:t>
            </w:r>
          </w:p>
        </w:tc>
        <w:tc>
          <w:tcPr>
            <w:tcW w:type="dxa" w:w="1350"/>
            <w:tcMar>
              <w:top w:type="dxa" w:w="60"/>
              <w:left w:type="dxa" w:w="100"/>
              <w:bottom w:type="dxa" w:w="60"/>
              <w:right w:type="dxa" w:w="100"/>
            </w:tcMar>
          </w:tcPr>
          <w:p>
            <w:pPr>
              <w:jc w:val="left"/>
            </w:pPr>
            <w:r>
              <w:rPr>
                <w:b w:val="false"/>
                <w:bCs w:val="false"/>
                <w:sz w:val="18"/>
                <w:szCs w:val="18"/>
              </w:rPr>
              <w:t xml:space="preserve">0.45298</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mu</w:t>
            </w:r>
          </w:p>
        </w:tc>
        <w:tc>
          <w:tcPr>
            <w:tcW w:type="dxa" w:w="1350"/>
            <w:tcMar>
              <w:top w:type="dxa" w:w="60"/>
              <w:left w:type="dxa" w:w="100"/>
              <w:bottom w:type="dxa" w:w="60"/>
              <w:right w:type="dxa" w:w="100"/>
            </w:tcMar>
          </w:tcPr>
          <w:p>
            <w:pPr>
              <w:jc w:val="left"/>
            </w:pPr>
            <w:r>
              <w:rPr>
                <w:b w:val="false"/>
                <w:bCs w:val="false"/>
                <w:sz w:val="18"/>
                <w:szCs w:val="18"/>
              </w:rPr>
              <w:t xml:space="preserve">0.02169</w:t>
            </w:r>
          </w:p>
        </w:tc>
        <w:tc>
          <w:tcPr>
            <w:tcW w:type="dxa" w:w="1350"/>
            <w:tcMar>
              <w:top w:type="dxa" w:w="60"/>
              <w:left w:type="dxa" w:w="100"/>
              <w:bottom w:type="dxa" w:w="60"/>
              <w:right w:type="dxa" w:w="100"/>
            </w:tcMar>
          </w:tcPr>
          <w:p>
            <w:pPr>
              <w:jc w:val="left"/>
            </w:pPr>
            <w:r>
              <w:rPr>
                <w:b w:val="false"/>
                <w:bCs w:val="false"/>
                <w:sz w:val="18"/>
                <w:szCs w:val="18"/>
              </w:rPr>
              <w:t xml:space="preserve">0.02160</w:t>
            </w:r>
          </w:p>
        </w:tc>
        <w:tc>
          <w:tcPr>
            <w:tcW w:type="dxa" w:w="1200"/>
            <w:tcMar>
              <w:top w:type="dxa" w:w="60"/>
              <w:left w:type="dxa" w:w="100"/>
              <w:bottom w:type="dxa" w:w="60"/>
              <w:right w:type="dxa" w:w="100"/>
            </w:tcMar>
          </w:tcPr>
          <w:p>
            <w:pPr>
              <w:jc w:val="left"/>
            </w:pPr>
            <w:r>
              <w:rPr>
                <w:b w:val="false"/>
                <w:bCs w:val="false"/>
                <w:sz w:val="18"/>
                <w:szCs w:val="18"/>
              </w:rPr>
              <w:t xml:space="preserve">-0.41</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FTw2 (N)</w:t>
            </w:r>
          </w:p>
        </w:tc>
        <w:tc>
          <w:tcPr>
            <w:tcW w:type="dxa" w:w="1350"/>
            <w:tcMar>
              <w:top w:type="dxa" w:w="60"/>
              <w:left w:type="dxa" w:w="100"/>
              <w:bottom w:type="dxa" w:w="60"/>
              <w:right w:type="dxa" w:w="100"/>
            </w:tcMar>
          </w:tcPr>
          <w:p>
            <w:pPr>
              <w:jc w:val="left"/>
            </w:pPr>
            <w:r>
              <w:rPr>
                <w:b w:val="false"/>
                <w:bCs w:val="false"/>
                <w:sz w:val="18"/>
                <w:szCs w:val="18"/>
              </w:rPr>
              <w:t xml:space="preserve">4324.30000</w:t>
            </w:r>
          </w:p>
        </w:tc>
        <w:tc>
          <w:tcPr>
            <w:tcW w:type="dxa" w:w="1350"/>
            <w:tcMar>
              <w:top w:type="dxa" w:w="60"/>
              <w:left w:type="dxa" w:w="100"/>
              <w:bottom w:type="dxa" w:w="60"/>
              <w:right w:type="dxa" w:w="100"/>
            </w:tcMar>
          </w:tcPr>
          <w:p>
            <w:pPr>
              <w:jc w:val="left"/>
            </w:pPr>
            <w:r>
              <w:rPr>
                <w:b w:val="false"/>
                <w:bCs w:val="false"/>
                <w:sz w:val="18"/>
                <w:szCs w:val="18"/>
              </w:rPr>
              <w:t xml:space="preserve">4324.25448</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FFw2 (N)</w:t>
            </w:r>
          </w:p>
        </w:tc>
        <w:tc>
          <w:tcPr>
            <w:tcW w:type="dxa" w:w="1350"/>
            <w:tcMar>
              <w:top w:type="dxa" w:w="60"/>
              <w:left w:type="dxa" w:w="100"/>
              <w:bottom w:type="dxa" w:w="60"/>
              <w:right w:type="dxa" w:w="100"/>
            </w:tcMar>
          </w:tcPr>
          <w:p>
            <w:pPr>
              <w:jc w:val="left"/>
            </w:pPr>
            <w:r>
              <w:rPr>
                <w:b w:val="false"/>
                <w:bCs w:val="false"/>
                <w:sz w:val="18"/>
                <w:szCs w:val="18"/>
              </w:rPr>
              <w:t xml:space="preserve">100.30000</w:t>
            </w:r>
          </w:p>
        </w:tc>
        <w:tc>
          <w:tcPr>
            <w:tcW w:type="dxa" w:w="1350"/>
            <w:tcMar>
              <w:top w:type="dxa" w:w="60"/>
              <w:left w:type="dxa" w:w="100"/>
              <w:bottom w:type="dxa" w:w="60"/>
              <w:right w:type="dxa" w:w="100"/>
            </w:tcMar>
          </w:tcPr>
          <w:p>
            <w:pPr>
              <w:jc w:val="left"/>
            </w:pPr>
            <w:r>
              <w:rPr>
                <w:b w:val="false"/>
                <w:bCs w:val="false"/>
                <w:sz w:val="18"/>
                <w:szCs w:val="18"/>
              </w:rPr>
              <w:t xml:space="preserve">99.95010</w:t>
            </w:r>
          </w:p>
        </w:tc>
        <w:tc>
          <w:tcPr>
            <w:tcW w:type="dxa" w:w="1200"/>
            <w:tcMar>
              <w:top w:type="dxa" w:w="60"/>
              <w:left w:type="dxa" w:w="100"/>
              <w:bottom w:type="dxa" w:w="60"/>
              <w:right w:type="dxa" w:w="100"/>
            </w:tcMar>
          </w:tcPr>
          <w:p>
            <w:pPr>
              <w:jc w:val="left"/>
            </w:pPr>
            <w:r>
              <w:rPr>
                <w:b w:val="false"/>
                <w:bCs w:val="false"/>
                <w:sz w:val="18"/>
                <w:szCs w:val="18"/>
              </w:rPr>
              <w:t xml:space="preserve">-0.35</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POw (kW)</w:t>
            </w:r>
          </w:p>
        </w:tc>
        <w:tc>
          <w:tcPr>
            <w:tcW w:type="dxa" w:w="1350"/>
            <w:tcMar>
              <w:top w:type="dxa" w:w="60"/>
              <w:left w:type="dxa" w:w="100"/>
              <w:bottom w:type="dxa" w:w="60"/>
              <w:right w:type="dxa" w:w="100"/>
            </w:tcMar>
          </w:tcPr>
          <w:p>
            <w:pPr>
              <w:jc w:val="left"/>
            </w:pPr>
            <w:r>
              <w:rPr>
                <w:b w:val="false"/>
                <w:bCs w:val="false"/>
                <w:sz w:val="18"/>
                <w:szCs w:val="18"/>
              </w:rPr>
              <w:t xml:space="preserve">1.59400</w:t>
            </w:r>
          </w:p>
        </w:tc>
        <w:tc>
          <w:tcPr>
            <w:tcW w:type="dxa" w:w="1350"/>
            <w:tcMar>
              <w:top w:type="dxa" w:w="60"/>
              <w:left w:type="dxa" w:w="100"/>
              <w:bottom w:type="dxa" w:w="60"/>
              <w:right w:type="dxa" w:w="100"/>
            </w:tcMar>
          </w:tcPr>
          <w:p>
            <w:pPr>
              <w:jc w:val="left"/>
            </w:pPr>
            <w:r>
              <w:rPr>
                <w:b w:val="false"/>
                <w:bCs w:val="false"/>
                <w:sz w:val="18"/>
                <w:szCs w:val="18"/>
              </w:rPr>
              <w:t xml:space="preserve">1.59365</w:t>
            </w:r>
          </w:p>
        </w:tc>
        <w:tc>
          <w:tcPr>
            <w:tcW w:type="dxa" w:w="1200"/>
            <w:tcMar>
              <w:top w:type="dxa" w:w="60"/>
              <w:left w:type="dxa" w:w="100"/>
              <w:bottom w:type="dxa" w:w="60"/>
              <w:right w:type="dxa" w:w="100"/>
            </w:tcMar>
          </w:tcPr>
          <w:p>
            <w:pPr>
              <w:jc w:val="left"/>
            </w:pPr>
            <w:r>
              <w:rPr>
                <w:b w:val="false"/>
                <w:bCs w:val="false"/>
                <w:sz w:val="18"/>
                <w:szCs w:val="18"/>
              </w:rPr>
              <w:t xml:space="preserve">-0.02</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PFw (kW)</w:t>
            </w:r>
          </w:p>
        </w:tc>
        <w:tc>
          <w:tcPr>
            <w:tcW w:type="dxa" w:w="1350"/>
            <w:tcMar>
              <w:top w:type="dxa" w:w="60"/>
              <w:left w:type="dxa" w:w="100"/>
              <w:bottom w:type="dxa" w:w="60"/>
              <w:right w:type="dxa" w:w="100"/>
            </w:tcMar>
          </w:tcPr>
          <w:p>
            <w:pPr>
              <w:jc w:val="left"/>
            </w:pPr>
            <w:r>
              <w:rPr>
                <w:b w:val="false"/>
                <w:bCs w:val="false"/>
                <w:sz w:val="18"/>
                <w:szCs w:val="18"/>
              </w:rPr>
              <w:t xml:space="preserve">0.35200</w:t>
            </w:r>
          </w:p>
        </w:tc>
        <w:tc>
          <w:tcPr>
            <w:tcW w:type="dxa" w:w="1350"/>
            <w:tcMar>
              <w:top w:type="dxa" w:w="60"/>
              <w:left w:type="dxa" w:w="100"/>
              <w:bottom w:type="dxa" w:w="60"/>
              <w:right w:type="dxa" w:w="100"/>
            </w:tcMar>
          </w:tcPr>
          <w:p>
            <w:pPr>
              <w:jc w:val="left"/>
            </w:pPr>
            <w:r>
              <w:rPr>
                <w:b w:val="false"/>
                <w:bCs w:val="false"/>
                <w:sz w:val="18"/>
                <w:szCs w:val="18"/>
              </w:rPr>
              <w:t xml:space="preserve">0.35240</w:t>
            </w:r>
          </w:p>
        </w:tc>
        <w:tc>
          <w:tcPr>
            <w:tcW w:type="dxa" w:w="1200"/>
            <w:tcMar>
              <w:top w:type="dxa" w:w="60"/>
              <w:left w:type="dxa" w:w="100"/>
              <w:bottom w:type="dxa" w:w="60"/>
              <w:right w:type="dxa" w:w="100"/>
            </w:tcMar>
          </w:tcPr>
          <w:p>
            <w:pPr>
              <w:jc w:val="left"/>
            </w:pPr>
            <w:r>
              <w:rPr>
                <w:b w:val="false"/>
                <w:bCs w:val="false"/>
                <w:sz w:val="18"/>
                <w:szCs w:val="18"/>
              </w:rPr>
              <w:t xml:space="preserve">0.11</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PIw (kW)</w:t>
            </w:r>
          </w:p>
        </w:tc>
        <w:tc>
          <w:tcPr>
            <w:tcW w:type="dxa" w:w="1350"/>
            <w:tcMar>
              <w:top w:type="dxa" w:w="60"/>
              <w:left w:type="dxa" w:w="100"/>
              <w:bottom w:type="dxa" w:w="60"/>
              <w:right w:type="dxa" w:w="100"/>
            </w:tcMar>
          </w:tcPr>
          <w:p>
            <w:pPr>
              <w:jc w:val="left"/>
            </w:pPr>
            <w:r>
              <w:rPr>
                <w:b w:val="false"/>
                <w:bCs w:val="false"/>
                <w:sz w:val="18"/>
                <w:szCs w:val="18"/>
              </w:rPr>
              <w:t xml:space="preserve">1.94600</w:t>
            </w:r>
          </w:p>
        </w:tc>
        <w:tc>
          <w:tcPr>
            <w:tcW w:type="dxa" w:w="1350"/>
            <w:tcMar>
              <w:top w:type="dxa" w:w="60"/>
              <w:left w:type="dxa" w:w="100"/>
              <w:bottom w:type="dxa" w:w="60"/>
              <w:right w:type="dxa" w:w="100"/>
            </w:tcMar>
          </w:tcPr>
          <w:p>
            <w:pPr>
              <w:jc w:val="left"/>
            </w:pPr>
            <w:r>
              <w:rPr>
                <w:b w:val="false"/>
                <w:bCs w:val="false"/>
                <w:sz w:val="18"/>
                <w:szCs w:val="18"/>
              </w:rPr>
              <w:t xml:space="preserve">1.94605</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Tw2 (Nm)</w:t>
            </w:r>
          </w:p>
        </w:tc>
        <w:tc>
          <w:tcPr>
            <w:tcW w:type="dxa" w:w="1350"/>
            <w:tcMar>
              <w:top w:type="dxa" w:w="60"/>
              <w:left w:type="dxa" w:w="100"/>
              <w:bottom w:type="dxa" w:w="60"/>
              <w:right w:type="dxa" w:w="100"/>
            </w:tcMar>
          </w:tcPr>
          <w:p>
            <w:pPr>
              <w:jc w:val="left"/>
            </w:pPr>
            <w:r>
              <w:rPr>
                <w:b w:val="false"/>
                <w:bCs w:val="false"/>
                <w:sz w:val="18"/>
                <w:szCs w:val="18"/>
              </w:rPr>
              <w:t xml:space="preserve">260.90000</w:t>
            </w:r>
          </w:p>
        </w:tc>
        <w:tc>
          <w:tcPr>
            <w:tcW w:type="dxa" w:w="1350"/>
            <w:tcMar>
              <w:top w:type="dxa" w:w="60"/>
              <w:left w:type="dxa" w:w="100"/>
              <w:bottom w:type="dxa" w:w="60"/>
              <w:right w:type="dxa" w:w="100"/>
            </w:tcMar>
          </w:tcPr>
          <w:p>
            <w:pPr>
              <w:jc w:val="left"/>
            </w:pPr>
            <w:r>
              <w:rPr>
                <w:b w:val="false"/>
                <w:bCs w:val="false"/>
                <w:sz w:val="18"/>
                <w:szCs w:val="18"/>
              </w:rPr>
              <w:t xml:space="preserve">260.88442</w:t>
            </w:r>
          </w:p>
        </w:tc>
        <w:tc>
          <w:tcPr>
            <w:tcW w:type="dxa" w:w="1200"/>
            <w:tcMar>
              <w:top w:type="dxa" w:w="60"/>
              <w:left w:type="dxa" w:w="100"/>
              <w:bottom w:type="dxa" w:w="60"/>
              <w:right w:type="dxa" w:w="100"/>
            </w:tcMar>
          </w:tcPr>
          <w:p>
            <w:pPr>
              <w:jc w:val="left"/>
            </w:pPr>
            <w:r>
              <w:rPr>
                <w:b w:val="false"/>
                <w:bCs w:val="false"/>
                <w:sz w:val="18"/>
                <w:szCs w:val="18"/>
              </w:rPr>
              <w:t xml:space="preserve">-0.01</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eta_z1-2</w:t>
            </w:r>
          </w:p>
        </w:tc>
        <w:tc>
          <w:tcPr>
            <w:tcW w:type="dxa" w:w="1350"/>
            <w:tcMar>
              <w:top w:type="dxa" w:w="60"/>
              <w:left w:type="dxa" w:w="100"/>
              <w:bottom w:type="dxa" w:w="60"/>
              <w:right w:type="dxa" w:w="100"/>
            </w:tcMar>
          </w:tcPr>
          <w:p>
            <w:pPr>
              <w:jc w:val="left"/>
            </w:pPr>
            <w:r>
              <w:rPr>
                <w:b w:val="false"/>
                <w:bCs w:val="false"/>
                <w:sz w:val="18"/>
                <w:szCs w:val="18"/>
              </w:rPr>
              <w:t xml:space="preserve">0.81800</w:t>
            </w:r>
          </w:p>
        </w:tc>
        <w:tc>
          <w:tcPr>
            <w:tcW w:type="dxa" w:w="1350"/>
            <w:tcMar>
              <w:top w:type="dxa" w:w="60"/>
              <w:left w:type="dxa" w:w="100"/>
              <w:bottom w:type="dxa" w:w="60"/>
              <w:right w:type="dxa" w:w="100"/>
            </w:tcMar>
          </w:tcPr>
          <w:p>
            <w:pPr>
              <w:jc w:val="left"/>
            </w:pPr>
            <w:r>
              <w:rPr>
                <w:b w:val="false"/>
                <w:bCs w:val="false"/>
                <w:sz w:val="18"/>
                <w:szCs w:val="18"/>
              </w:rPr>
              <w:t xml:space="preserve">0.81856</w:t>
            </w:r>
          </w:p>
        </w:tc>
        <w:tc>
          <w:tcPr>
            <w:tcW w:type="dxa" w:w="1200"/>
            <w:tcMar>
              <w:top w:type="dxa" w:w="60"/>
              <w:left w:type="dxa" w:w="100"/>
              <w:bottom w:type="dxa" w:w="60"/>
              <w:right w:type="dxa" w:w="100"/>
            </w:tcMar>
          </w:tcPr>
          <w:p>
            <w:pPr>
              <w:jc w:val="left"/>
            </w:pPr>
            <w:r>
              <w:rPr>
                <w:b w:val="false"/>
                <w:bCs w:val="false"/>
                <w:sz w:val="18"/>
                <w:szCs w:val="18"/>
              </w:rPr>
              <w:t xml:space="preserve">0.07</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eta_z2-1</w:t>
            </w:r>
          </w:p>
        </w:tc>
        <w:tc>
          <w:tcPr>
            <w:tcW w:type="dxa" w:w="1350"/>
            <w:tcMar>
              <w:top w:type="dxa" w:w="60"/>
              <w:left w:type="dxa" w:w="100"/>
              <w:bottom w:type="dxa" w:w="60"/>
              <w:right w:type="dxa" w:w="100"/>
            </w:tcMar>
          </w:tcPr>
          <w:p>
            <w:pPr>
              <w:jc w:val="left"/>
            </w:pPr>
            <w:r>
              <w:rPr>
                <w:b w:val="false"/>
                <w:bCs w:val="false"/>
                <w:sz w:val="18"/>
                <w:szCs w:val="18"/>
              </w:rPr>
              <w:t xml:space="preserve">0.77800</w:t>
            </w:r>
          </w:p>
        </w:tc>
        <w:tc>
          <w:tcPr>
            <w:tcW w:type="dxa" w:w="1350"/>
            <w:tcMar>
              <w:top w:type="dxa" w:w="60"/>
              <w:left w:type="dxa" w:w="100"/>
              <w:bottom w:type="dxa" w:w="60"/>
              <w:right w:type="dxa" w:w="100"/>
            </w:tcMar>
          </w:tcPr>
          <w:p>
            <w:pPr>
              <w:jc w:val="left"/>
            </w:pPr>
            <w:r>
              <w:rPr>
                <w:b w:val="false"/>
                <w:bCs w:val="false"/>
                <w:sz w:val="18"/>
                <w:szCs w:val="18"/>
              </w:rPr>
              <w:t xml:space="preserve">0.77941</w:t>
            </w:r>
          </w:p>
        </w:tc>
        <w:tc>
          <w:tcPr>
            <w:tcW w:type="dxa" w:w="1200"/>
            <w:tcMar>
              <w:top w:type="dxa" w:w="60"/>
              <w:left w:type="dxa" w:w="100"/>
              <w:bottom w:type="dxa" w:w="60"/>
              <w:right w:type="dxa" w:w="100"/>
            </w:tcMar>
          </w:tcPr>
          <w:p>
            <w:pPr>
              <w:jc w:val="left"/>
            </w:pPr>
            <w:r>
              <w:rPr>
                <w:b w:val="false"/>
                <w:bCs w:val="false"/>
                <w:sz w:val="18"/>
                <w:szCs w:val="18"/>
              </w:rPr>
              <w:t xml:space="preserve">0.18</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sigma_AB (N/mm2)</w:t>
            </w:r>
          </w:p>
        </w:tc>
        <w:tc>
          <w:tcPr>
            <w:tcW w:type="dxa" w:w="1350"/>
            <w:tcMar>
              <w:top w:type="dxa" w:w="60"/>
              <w:left w:type="dxa" w:w="100"/>
              <w:bottom w:type="dxa" w:w="60"/>
              <w:right w:type="dxa" w:w="100"/>
            </w:tcMar>
          </w:tcPr>
          <w:p>
            <w:pPr>
              <w:jc w:val="left"/>
            </w:pPr>
            <w:r>
              <w:rPr>
                <w:b w:val="false"/>
                <w:bCs w:val="false"/>
                <w:sz w:val="18"/>
                <w:szCs w:val="18"/>
              </w:rPr>
              <w:t xml:space="preserve">69.00000</w:t>
            </w:r>
          </w:p>
        </w:tc>
        <w:tc>
          <w:tcPr>
            <w:tcW w:type="dxa" w:w="1350"/>
            <w:tcMar>
              <w:top w:type="dxa" w:w="60"/>
              <w:left w:type="dxa" w:w="100"/>
              <w:bottom w:type="dxa" w:w="60"/>
              <w:right w:type="dxa" w:w="100"/>
            </w:tcMar>
          </w:tcPr>
          <w:p>
            <w:pPr>
              <w:jc w:val="left"/>
            </w:pPr>
            <w:r>
              <w:rPr>
                <w:b w:val="false"/>
                <w:bCs w:val="false"/>
                <w:sz w:val="18"/>
                <w:szCs w:val="18"/>
              </w:rPr>
              <w:t xml:space="preserve">69.00000</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FTB2 (N)</w:t>
            </w:r>
          </w:p>
        </w:tc>
        <w:tc>
          <w:tcPr>
            <w:tcW w:type="dxa" w:w="1350"/>
            <w:tcMar>
              <w:top w:type="dxa" w:w="60"/>
              <w:left w:type="dxa" w:w="100"/>
              <w:bottom w:type="dxa" w:w="60"/>
              <w:right w:type="dxa" w:w="100"/>
            </w:tcMar>
          </w:tcPr>
          <w:p>
            <w:pPr>
              <w:jc w:val="left"/>
            </w:pPr>
            <w:r>
              <w:rPr>
                <w:b w:val="false"/>
                <w:bCs w:val="false"/>
                <w:sz w:val="18"/>
                <w:szCs w:val="18"/>
              </w:rPr>
              <w:t xml:space="preserve">12097.80000</w:t>
            </w:r>
          </w:p>
        </w:tc>
        <w:tc>
          <w:tcPr>
            <w:tcW w:type="dxa" w:w="1350"/>
            <w:tcMar>
              <w:top w:type="dxa" w:w="60"/>
              <w:left w:type="dxa" w:w="100"/>
              <w:bottom w:type="dxa" w:w="60"/>
              <w:right w:type="dxa" w:w="100"/>
            </w:tcMar>
          </w:tcPr>
          <w:p>
            <w:pPr>
              <w:jc w:val="left"/>
            </w:pPr>
            <w:r>
              <w:rPr>
                <w:b w:val="false"/>
                <w:bCs w:val="false"/>
                <w:sz w:val="18"/>
                <w:szCs w:val="18"/>
              </w:rPr>
              <w:t xml:space="preserve">12097.79607</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TB2 (Nm)</w:t>
            </w:r>
          </w:p>
        </w:tc>
        <w:tc>
          <w:tcPr>
            <w:tcW w:type="dxa" w:w="1350"/>
            <w:tcMar>
              <w:top w:type="dxa" w:w="60"/>
              <w:left w:type="dxa" w:w="100"/>
              <w:bottom w:type="dxa" w:w="60"/>
              <w:right w:type="dxa" w:w="100"/>
            </w:tcMar>
          </w:tcPr>
          <w:p>
            <w:pPr>
              <w:jc w:val="left"/>
            </w:pPr>
            <w:r>
              <w:rPr>
                <w:b w:val="false"/>
                <w:bCs w:val="false"/>
                <w:sz w:val="18"/>
                <w:szCs w:val="18"/>
              </w:rPr>
              <w:t xml:space="preserve">729.90000</w:t>
            </w:r>
          </w:p>
        </w:tc>
        <w:tc>
          <w:tcPr>
            <w:tcW w:type="dxa" w:w="1350"/>
            <w:tcMar>
              <w:top w:type="dxa" w:w="60"/>
              <w:left w:type="dxa" w:w="100"/>
              <w:bottom w:type="dxa" w:w="60"/>
              <w:right w:type="dxa" w:w="100"/>
            </w:tcMar>
          </w:tcPr>
          <w:p>
            <w:pPr>
              <w:jc w:val="left"/>
            </w:pPr>
            <w:r>
              <w:rPr>
                <w:b w:val="false"/>
                <w:bCs w:val="false"/>
                <w:sz w:val="18"/>
                <w:szCs w:val="18"/>
              </w:rPr>
              <w:t xml:space="preserve">729.86605</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r>
        <w:tc>
          <w:tcPr>
            <w:tcW w:type="dxa" w:w="1300"/>
            <w:tcMar>
              <w:top w:type="dxa" w:w="60"/>
              <w:left w:type="dxa" w:w="100"/>
              <w:bottom w:type="dxa" w:w="60"/>
              <w:right w:type="dxa" w:w="100"/>
            </w:tcMar>
          </w:tcPr>
          <w:p>
            <w:pPr>
              <w:jc w:val="left"/>
            </w:pPr>
            <w:r>
              <w:rPr>
                <w:b w:val="false"/>
                <w:bCs w:val="false"/>
                <w:sz w:val="18"/>
                <w:szCs w:val="18"/>
              </w:rPr>
              <w:t xml:space="preserve">PIB (kW)</w:t>
            </w:r>
          </w:p>
        </w:tc>
        <w:tc>
          <w:tcPr>
            <w:tcW w:type="dxa" w:w="1350"/>
            <w:tcMar>
              <w:top w:type="dxa" w:w="60"/>
              <w:left w:type="dxa" w:w="100"/>
              <w:bottom w:type="dxa" w:w="60"/>
              <w:right w:type="dxa" w:w="100"/>
            </w:tcMar>
          </w:tcPr>
          <w:p>
            <w:pPr>
              <w:jc w:val="left"/>
            </w:pPr>
            <w:r>
              <w:rPr>
                <w:b w:val="false"/>
                <w:bCs w:val="false"/>
                <w:sz w:val="18"/>
                <w:szCs w:val="18"/>
              </w:rPr>
              <w:t xml:space="preserve">5.44700</w:t>
            </w:r>
          </w:p>
        </w:tc>
        <w:tc>
          <w:tcPr>
            <w:tcW w:type="dxa" w:w="1350"/>
            <w:tcMar>
              <w:top w:type="dxa" w:w="60"/>
              <w:left w:type="dxa" w:w="100"/>
              <w:bottom w:type="dxa" w:w="60"/>
              <w:right w:type="dxa" w:w="100"/>
            </w:tcMar>
          </w:tcPr>
          <w:p>
            <w:pPr>
              <w:jc w:val="left"/>
            </w:pPr>
            <w:r>
              <w:rPr>
                <w:b w:val="false"/>
                <w:bCs w:val="false"/>
                <w:sz w:val="18"/>
                <w:szCs w:val="18"/>
              </w:rPr>
              <w:t xml:space="preserve">5.44677</w:t>
            </w:r>
          </w:p>
        </w:tc>
        <w:tc>
          <w:tcPr>
            <w:tcW w:type="dxa" w:w="1200"/>
            <w:tcMar>
              <w:top w:type="dxa" w:w="60"/>
              <w:left w:type="dxa" w:w="100"/>
              <w:bottom w:type="dxa" w:w="60"/>
              <w:right w:type="dxa" w:w="100"/>
            </w:tcMar>
          </w:tcPr>
          <w:p>
            <w:pPr>
              <w:jc w:val="left"/>
            </w:pPr>
            <w:r>
              <w:rPr>
                <w:b w:val="false"/>
                <w:bCs w:val="false"/>
                <w:sz w:val="18"/>
                <w:szCs w:val="18"/>
              </w:rPr>
              <w:t xml:space="preserve">0.00</w:t>
            </w:r>
          </w:p>
        </w:tc>
        <w:tc>
          <w:tcPr>
            <w:tcW w:type="dxa" w:w="1560"/>
            <w:tcMar>
              <w:top w:type="dxa" w:w="60"/>
              <w:left w:type="dxa" w:w="100"/>
              <w:bottom w:type="dxa" w:w="60"/>
              <w:right w:type="dxa" w:w="100"/>
            </w:tcMar>
          </w:tcPr>
          <w:p>
            <w:pPr>
              <w:jc w:val="left"/>
            </w:pPr>
            <w:r>
              <w:rPr>
                <w:b w:val="false"/>
                <w:bCs w:val="false"/>
                <w:sz w:val="18"/>
                <w:szCs w:val="18"/>
              </w:rPr>
              <w:t xml:space="preserve">PASS</w:t>
            </w:r>
          </w:p>
        </w:tc>
      </w:tr>
    </w:tbl>
    <w:p>
      <w:pPr>
        <w:spacing w:after="140"/>
      </w:pPr>
      <w:r>
        <w:rPr>
          <w:b/>
          <w:bCs/>
        </w:rPr>
        <w:t xml:space="preserve">Result: 27 of 27 checks passed. No warnings were raised for the Annex C input set (it is within every clause 1.2 scope limit).</w:t>
      </w:r>
    </w:p>
    <w:p>
      <w:pPr>
        <w:spacing w:after="140"/>
      </w:pPr>
      <w:r>
        <w:t xml:space="preserve">The self-test can be reproduced at any time from a checkout of the repository:</w:t>
      </w:r>
    </w:p>
    <w:p>
      <w:pPr>
        <w:spacing w:after="100"/>
      </w:pPr>
      <w:r>
        <w:rPr>
          <w:rFonts w:ascii="Consolas" w:cs="Consolas" w:eastAsia="Consolas" w:hAnsi="Consolas"/>
          <w:sz w:val="19"/>
          <w:szCs w:val="19"/>
        </w:rPr>
        <w:t xml:space="preserve">dotnet run --project AGMA6134C21Calc/AGMA6134C21Calc.csproj -- --selftest</w:t>
      </w:r>
    </w:p>
    <w:p>
      <w:pPr>
        <w:pStyle w:val="Heading1"/>
        <w:spacing w:after="160" w:before="360"/>
      </w:pPr>
      <w:r>
        <w:t xml:space="preserve">8. Using the calculator</w:t>
      </w:r>
    </w:p>
    <w:p>
      <w:pPr>
        <w:pStyle w:val="ListParagraph"/>
        <w:numPr>
          <w:ilvl w:val="0"/>
          <w:numId w:val="1"/>
        </w:numPr>
        <w:spacing w:after="80"/>
      </w:pPr>
      <w:r>
        <w:t xml:space="preserve">Open AGMAStandards.sln and run AGMAStandardsHub, or run AGMA6134C21Calc directly; it opens with the Annex C example already loaded in the PropertyGrid.</w:t>
      </w:r>
    </w:p>
    <w:p>
      <w:pPr>
        <w:pStyle w:val="ListParagraph"/>
        <w:numPr>
          <w:ilvl w:val="0"/>
          <w:numId w:val="1"/>
        </w:numPr>
        <w:spacing w:after="80"/>
      </w:pPr>
      <w:r>
        <w:t xml:space="preserve">The left PropertyGrid panel groups inputs into six categories: mesh geometry &amp; speed, materials, lubrication, overhung load (optional), service factor, and lubricant viscosity band.</w:t>
      </w:r>
    </w:p>
    <w:p>
      <w:pPr>
        <w:pStyle w:val="ListParagraph"/>
        <w:numPr>
          <w:ilvl w:val="0"/>
          <w:numId w:val="1"/>
        </w:numPr>
        <w:spacing w:after="80"/>
      </w:pPr>
      <w:r>
        <w:t xml:space="preserve">"Calculate" runs the full clause 4-12 chain and prints a labeled, equation-referenced report (mirroring the Annex C layout) in the right-hand panel.</w:t>
      </w:r>
    </w:p>
    <w:p>
      <w:pPr>
        <w:pStyle w:val="ListParagraph"/>
        <w:numPr>
          <w:ilvl w:val="0"/>
          <w:numId w:val="1"/>
        </w:numPr>
        <w:spacing w:after="80"/>
      </w:pPr>
      <w:r>
        <w:t xml:space="preserve">"Load Example" resets every input back to the Annex C worked example.</w:t>
      </w:r>
    </w:p>
    <w:p>
      <w:pPr>
        <w:pStyle w:val="ListParagraph"/>
        <w:numPr>
          <w:ilvl w:val="0"/>
          <w:numId w:val="1"/>
        </w:numPr>
        <w:spacing w:after="80"/>
      </w:pPr>
      <w:r>
        <w:t xml:space="preserve">"Save Report..." writes the report text to a .txt file.</w:t>
      </w:r>
    </w:p>
    <w:p>
      <w:pPr>
        <w:pStyle w:val="ListParagraph"/>
        <w:numPr>
          <w:ilvl w:val="0"/>
          <w:numId w:val="1"/>
        </w:numPr>
        <w:spacing w:after="80"/>
      </w:pPr>
      <w:r>
        <w:t xml:space="preserve">Warnings (scope violations, or an equivalent input power that exceeds the rated input power) are shown in the status bar in red; a calculation with no warnings shows a green confirmation.</w:t>
      </w:r>
    </w:p>
    <w:p>
      <w:pPr>
        <w:pStyle w:val="Heading1"/>
        <w:spacing w:after="160" w:before="360"/>
      </w:pPr>
      <w:r>
        <w:t xml:space="preserve">9.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E8E1CE" w:val="clear"/>
            <w:tcMar>
              <w:top w:type="dxa" w:w="60"/>
              <w:left w:type="dxa" w:w="100"/>
              <w:bottom w:type="dxa" w:w="60"/>
              <w:right w:type="dxa" w:w="100"/>
            </w:tcMar>
          </w:tcPr>
          <w:p>
            <w:pPr>
              <w:jc w:val="left"/>
            </w:pPr>
            <w:r>
              <w:rPr>
                <w:b/>
                <w:bCs/>
                <w:sz w:val="18"/>
                <w:szCs w:val="18"/>
              </w:rPr>
              <w:t xml:space="preserve">File</w:t>
            </w:r>
          </w:p>
        </w:tc>
        <w:tc>
          <w:tcPr>
            <w:tcW w:type="dxa" w:w="5060"/>
            <w:shd w:fill="E8E1CE" w:val="clear"/>
            <w:tcMar>
              <w:top w:type="dxa" w:w="60"/>
              <w:left w:type="dxa" w:w="100"/>
              <w:bottom w:type="dxa" w:w="60"/>
              <w:right w:type="dxa" w:w="100"/>
            </w:tcMar>
          </w:tcPr>
          <w:p>
            <w:pPr>
              <w:jc w:val="left"/>
            </w:pPr>
            <w:r>
              <w:rPr>
                <w:b/>
                <w:bCs/>
                <w:sz w:val="18"/>
                <w:szCs w:val="18"/>
              </w:rPr>
              <w:t xml:space="preserve">Purpose</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AGMA6134C21Calc/AGMA6134C21Calc.csproj</w:t>
            </w:r>
          </w:p>
        </w:tc>
        <w:tc>
          <w:tcPr>
            <w:tcW w:type="dxa" w:w="5060"/>
            <w:tcMar>
              <w:top w:type="dxa" w:w="60"/>
              <w:left w:type="dxa" w:w="100"/>
              <w:bottom w:type="dxa" w:w="60"/>
              <w:right w:type="dxa" w:w="100"/>
            </w:tcMar>
          </w:tcPr>
          <w:p>
            <w:pPr>
              <w:jc w:val="left"/>
            </w:pPr>
            <w:r>
              <w:rPr>
                <w:b w:val="false"/>
                <w:bCs w:val="false"/>
                <w:sz w:val="18"/>
                <w:szCs w:val="18"/>
              </w:rPr>
              <w:t xml:space="preserve">Project file (net8.0-windows, WinForms)</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AGMA6134C21Calc/Program.cs</w:t>
            </w:r>
          </w:p>
        </w:tc>
        <w:tc>
          <w:tcPr>
            <w:tcW w:type="dxa" w:w="5060"/>
            <w:tcMar>
              <w:top w:type="dxa" w:w="60"/>
              <w:left w:type="dxa" w:w="100"/>
              <w:bottom w:type="dxa" w:w="60"/>
              <w:right w:type="dxa" w:w="100"/>
            </w:tcMar>
          </w:tcPr>
          <w:p>
            <w:pPr>
              <w:jc w:val="left"/>
            </w:pPr>
            <w:r>
              <w:rPr>
                <w:b w:val="false"/>
                <w:bCs w:val="false"/>
                <w:sz w:val="18"/>
                <w:szCs w:val="18"/>
              </w:rPr>
              <w:t xml:space="preserve">Entry point; "--selftest" launches SelfTest instead of the UI</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AGMA6134C21Calc/MainForm.cs</w:t>
            </w:r>
          </w:p>
        </w:tc>
        <w:tc>
          <w:tcPr>
            <w:tcW w:type="dxa" w:w="5060"/>
            <w:tcMar>
              <w:top w:type="dxa" w:w="60"/>
              <w:left w:type="dxa" w:w="100"/>
              <w:bottom w:type="dxa" w:w="60"/>
              <w:right w:type="dxa" w:w="100"/>
            </w:tcMar>
          </w:tcPr>
          <w:p>
            <w:pPr>
              <w:jc w:val="left"/>
            </w:pPr>
            <w:r>
              <w:rPr>
                <w:b w:val="false"/>
                <w:bCs w:val="false"/>
                <w:sz w:val="18"/>
                <w:szCs w:val="18"/>
              </w:rPr>
              <w:t xml:space="preserve">UI logic: run/load-example/save-report</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AGMA6134C21Calc/MainForm.Designer.cs</w:t>
            </w:r>
          </w:p>
        </w:tc>
        <w:tc>
          <w:tcPr>
            <w:tcW w:type="dxa" w:w="5060"/>
            <w:tcMar>
              <w:top w:type="dxa" w:w="60"/>
              <w:left w:type="dxa" w:w="100"/>
              <w:bottom w:type="dxa" w:w="60"/>
              <w:right w:type="dxa" w:w="100"/>
            </w:tcMar>
          </w:tcPr>
          <w:p>
            <w:pPr>
              <w:jc w:val="left"/>
            </w:pPr>
            <w:r>
              <w:rPr>
                <w:b w:val="false"/>
                <w:bCs w:val="false"/>
                <w:sz w:val="18"/>
                <w:szCs w:val="18"/>
              </w:rPr>
              <w:t xml:space="preserve">UI layout (PropertyGrid + report TextBox + buttons)</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AGMA6134C21Calc/Models/Enums.cs</w:t>
            </w:r>
          </w:p>
        </w:tc>
        <w:tc>
          <w:tcPr>
            <w:tcW w:type="dxa" w:w="5060"/>
            <w:tcMar>
              <w:top w:type="dxa" w:w="60"/>
              <w:left w:type="dxa" w:w="100"/>
              <w:bottom w:type="dxa" w:w="60"/>
              <w:right w:type="dxa" w:w="100"/>
            </w:tcMar>
          </w:tcPr>
          <w:p>
            <w:pPr>
              <w:jc w:val="left"/>
            </w:pPr>
            <w:r>
              <w:rPr>
                <w:b w:val="false"/>
                <w:bCs w:val="false"/>
                <w:sz w:val="18"/>
                <w:szCs w:val="18"/>
              </w:rPr>
              <w:t xml:space="preserve">GearCastingMethod, WormHeatTreat, OilType, OverhungDriveType, ServiceDuration, ShockLoadClass, AmbientTemperatureBand</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AGMA6134C21Calc/Models/AgmaInputs.cs</w:t>
            </w:r>
          </w:p>
        </w:tc>
        <w:tc>
          <w:tcPr>
            <w:tcW w:type="dxa" w:w="5060"/>
            <w:tcMar>
              <w:top w:type="dxa" w:w="60"/>
              <w:left w:type="dxa" w:w="100"/>
              <w:bottom w:type="dxa" w:w="60"/>
              <w:right w:type="dxa" w:w="100"/>
            </w:tcMar>
          </w:tcPr>
          <w:p>
            <w:pPr>
              <w:jc w:val="left"/>
            </w:pPr>
            <w:r>
              <w:rPr>
                <w:b w:val="false"/>
                <w:bCs w:val="false"/>
                <w:sz w:val="18"/>
                <w:szCs w:val="18"/>
              </w:rPr>
              <w:t xml:space="preserve">All calculator inputs, defaulted to the Annex C example</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AGMA6134C21Calc/Calc/MathUtil.cs</w:t>
            </w:r>
          </w:p>
        </w:tc>
        <w:tc>
          <w:tcPr>
            <w:tcW w:type="dxa" w:w="5060"/>
            <w:tcMar>
              <w:top w:type="dxa" w:w="60"/>
              <w:left w:type="dxa" w:w="100"/>
              <w:bottom w:type="dxa" w:w="60"/>
              <w:right w:type="dxa" w:w="100"/>
            </w:tcMar>
          </w:tcPr>
          <w:p>
            <w:pPr>
              <w:jc w:val="left"/>
            </w:pPr>
            <w:r>
              <w:rPr>
                <w:b w:val="false"/>
                <w:bCs w:val="false"/>
                <w:sz w:val="18"/>
                <w:szCs w:val="18"/>
              </w:rPr>
              <w:t xml:space="preserve">Degree-based trig helpers; radian-argument arcsine for Eq 12</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AGMA6134C21Calc/Calc/CalcTrace.cs</w:t>
            </w:r>
          </w:p>
        </w:tc>
        <w:tc>
          <w:tcPr>
            <w:tcW w:type="dxa" w:w="5060"/>
            <w:tcMar>
              <w:top w:type="dxa" w:w="60"/>
              <w:left w:type="dxa" w:w="100"/>
              <w:bottom w:type="dxa" w:w="60"/>
              <w:right w:type="dxa" w:w="100"/>
            </w:tcMar>
          </w:tcPr>
          <w:p>
            <w:pPr>
              <w:jc w:val="left"/>
            </w:pPr>
            <w:r>
              <w:rPr>
                <w:b w:val="false"/>
                <w:bCs w:val="false"/>
                <w:sz w:val="18"/>
                <w:szCs w:val="18"/>
              </w:rPr>
              <w:t xml:space="preserve">Calculation audit trail / report builder</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AGMA6134C21Calc/Calc/AgmaCalculator.cs</w:t>
            </w:r>
          </w:p>
        </w:tc>
        <w:tc>
          <w:tcPr>
            <w:tcW w:type="dxa" w:w="5060"/>
            <w:tcMar>
              <w:top w:type="dxa" w:w="60"/>
              <w:left w:type="dxa" w:w="100"/>
              <w:bottom w:type="dxa" w:w="60"/>
              <w:right w:type="dxa" w:w="100"/>
            </w:tcMar>
          </w:tcPr>
          <w:p>
            <w:pPr>
              <w:jc w:val="left"/>
            </w:pPr>
            <w:r>
              <w:rPr>
                <w:b w:val="false"/>
                <w:bCs w:val="false"/>
                <w:sz w:val="18"/>
                <w:szCs w:val="18"/>
              </w:rPr>
              <w:t xml:space="preserve">The rating engine: clauses 4, 5, 6, 7.1.4, 10.1, 11.1, 12</w:t>
            </w:r>
          </w:p>
        </w:tc>
      </w:tr>
      <w:tr>
        <w:tc>
          <w:tcPr>
            <w:tcW w:type="dxa" w:w="4300"/>
            <w:tcMar>
              <w:top w:type="dxa" w:w="60"/>
              <w:left w:type="dxa" w:w="100"/>
              <w:bottom w:type="dxa" w:w="60"/>
              <w:right w:type="dxa" w:w="100"/>
            </w:tcMar>
          </w:tcPr>
          <w:p>
            <w:pPr>
              <w:jc w:val="left"/>
            </w:pPr>
            <w:r>
              <w:rPr>
                <w:b w:val="false"/>
                <w:bCs w:val="false"/>
                <w:sz w:val="18"/>
                <w:szCs w:val="18"/>
              </w:rPr>
              <w:t xml:space="preserve">AGMA6134C21Calc/Calc/SelfTest.cs</w:t>
            </w:r>
          </w:p>
        </w:tc>
        <w:tc>
          <w:tcPr>
            <w:tcW w:type="dxa" w:w="5060"/>
            <w:tcMar>
              <w:top w:type="dxa" w:w="60"/>
              <w:left w:type="dxa" w:w="100"/>
              <w:bottom w:type="dxa" w:w="60"/>
              <w:right w:type="dxa" w:w="100"/>
            </w:tcMar>
          </w:tcPr>
          <w:p>
            <w:pPr>
              <w:jc w:val="left"/>
            </w:pPr>
            <w:r>
              <w:rPr>
                <w:b w:val="false"/>
                <w:bCs w:val="false"/>
                <w:sz w:val="18"/>
                <w:szCs w:val="18"/>
              </w:rPr>
              <w:t xml:space="preserve">Annex C validation harness (27 checks, all passing)</w:t>
            </w:r>
          </w:p>
        </w:tc>
      </w:tr>
      <w:tr>
        <w:tc>
          <w:tcPr>
            <w:tcW w:type="dxa" w:w="4300"/>
            <w:tcMar>
              <w:top w:type="dxa" w:w="60"/>
              <w:left w:type="dxa" w:w="100"/>
              <w:bottom w:type="dxa" w:w="60"/>
              <w:right w:type="dxa" w:w="100"/>
            </w:tcMar>
          </w:tcPr>
          <w:p>
            <w:pPr>
              <w:jc w:val="left"/>
            </w:pPr>
            <w:r>
              <w:rPr>
                <w:b w:val="false"/>
                <w:bCs w:val="false"/>
                <w:sz w:val="18"/>
                <w:szCs w:val="18"/>
              </w:rPr>
              <w:t xml:space="preserve">AGMAStandardsHub/StandardCatalog.cs</w:t>
            </w:r>
          </w:p>
        </w:tc>
        <w:tc>
          <w:tcPr>
            <w:tcW w:type="dxa" w:w="5060"/>
            <w:tcMar>
              <w:top w:type="dxa" w:w="60"/>
              <w:left w:type="dxa" w:w="100"/>
              <w:bottom w:type="dxa" w:w="60"/>
              <w:right w:type="dxa" w:w="100"/>
            </w:tcMar>
          </w:tcPr>
          <w:p>
            <w:pPr>
              <w:jc w:val="left"/>
            </w:pPr>
            <w:r>
              <w:rPr>
                <w:b w:val="false"/>
                <w:bCs w:val="false"/>
                <w:sz w:val="18"/>
                <w:szCs w:val="18"/>
              </w:rPr>
              <w:t xml:space="preserve">Adds the "ANSI/AGMA 6134-C21" entry to the hub</w:t>
            </w:r>
          </w:p>
        </w:tc>
      </w:tr>
      <w:tr>
        <w:tc>
          <w:tcPr>
            <w:tcW w:type="dxa" w:w="4300"/>
            <w:tcMar>
              <w:top w:type="dxa" w:w="60"/>
              <w:left w:type="dxa" w:w="100"/>
              <w:bottom w:type="dxa" w:w="60"/>
              <w:right w:type="dxa" w:w="100"/>
            </w:tcMar>
          </w:tcPr>
          <w:p>
            <w:pPr>
              <w:jc w:val="left"/>
            </w:pPr>
            <w:r>
              <w:rPr>
                <w:b w:val="false"/>
                <w:bCs w:val="false"/>
                <w:sz w:val="18"/>
                <w:szCs w:val="18"/>
              </w:rPr>
              <w:t xml:space="preserve">AGMAStandardsHub/AGMAStandardsHub.csproj</w:t>
            </w:r>
          </w:p>
        </w:tc>
        <w:tc>
          <w:tcPr>
            <w:tcW w:type="dxa" w:w="5060"/>
            <w:tcMar>
              <w:top w:type="dxa" w:w="60"/>
              <w:left w:type="dxa" w:w="100"/>
              <w:bottom w:type="dxa" w:w="60"/>
              <w:right w:type="dxa" w:w="100"/>
            </w:tcMar>
          </w:tcPr>
          <w:p>
            <w:pPr>
              <w:jc w:val="left"/>
            </w:pPr>
            <w:r>
              <w:rPr>
                <w:b w:val="false"/>
                <w:bCs w:val="false"/>
                <w:sz w:val="18"/>
                <w:szCs w:val="18"/>
              </w:rPr>
              <w:t xml:space="preserve">Adds the AGMA6134C21Calc project reference</w:t>
            </w:r>
          </w:p>
        </w:tc>
      </w:tr>
      <w:tr>
        <w:tc>
          <w:tcPr>
            <w:tcW w:type="dxa" w:w="4300"/>
            <w:tcMar>
              <w:top w:type="dxa" w:w="60"/>
              <w:left w:type="dxa" w:w="100"/>
              <w:bottom w:type="dxa" w:w="60"/>
              <w:right w:type="dxa" w:w="100"/>
            </w:tcMar>
          </w:tcPr>
          <w:p>
            <w:pPr>
              <w:jc w:val="left"/>
            </w:pPr>
            <w:r>
              <w:rPr>
                <w:b w:val="false"/>
                <w:bCs w:val="false"/>
                <w:sz w:val="18"/>
                <w:szCs w:val="18"/>
              </w:rPr>
              <w:t xml:space="preserve">AGMAStandards.sln</w:t>
            </w:r>
          </w:p>
        </w:tc>
        <w:tc>
          <w:tcPr>
            <w:tcW w:type="dxa" w:w="5060"/>
            <w:tcMar>
              <w:top w:type="dxa" w:w="60"/>
              <w:left w:type="dxa" w:w="100"/>
              <w:bottom w:type="dxa" w:w="60"/>
              <w:right w:type="dxa" w:w="100"/>
            </w:tcMar>
          </w:tcPr>
          <w:p>
            <w:pPr>
              <w:jc w:val="left"/>
            </w:pPr>
            <w:r>
              <w:rPr>
                <w:b w:val="false"/>
                <w:bCs w:val="false"/>
                <w:sz w:val="18"/>
                <w:szCs w:val="18"/>
              </w:rPr>
              <w:t xml:space="preserve">Adds the AGMA6134C21Calc project and build configurations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ANSI/AGMA 6134-C21 Implementation Findings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9E7A14"/>
      <w:sz w:val="28"/>
      <w:szCs w:val="28"/>
    </w:rPr>
  </w:style>
  <w:style w:type="paragraph" w:styleId="Heading2">
    <w:name w:val="Heading 2"/>
    <w:basedOn w:val="Normal"/>
    <w:next w:val="Normal"/>
    <w:qFormat/>
    <w:pPr>
      <w:spacing w:after="100" w:before="240"/>
    </w:pPr>
    <w:rPr>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2026-09-20T01:35:46.448Z</dcterms:created>
  <dcterms:modified xsi:type="dcterms:W3CDTF">2026-09-20T01:35:46.449Z</dcterms:modified>
</cp:coreProperties>
</file>

<file path=docProps/custom.xml><?xml version="1.0" encoding="utf-8"?>
<Properties xmlns="http://schemas.openxmlformats.org/officeDocument/2006/custom-properties" xmlns:vt="http://schemas.openxmlformats.org/officeDocument/2006/docPropsVTypes"/>
</file>