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0"/>
          <w:szCs w:val="40"/>
        </w:rPr>
        <w:t xml:space="preserve">Implementation Findings Report</w:t>
      </w:r>
    </w:p>
    <w:p>
      <w:pPr>
        <w:spacing w:after="40"/>
      </w:pPr>
      <w:r>
        <w:rPr>
          <w:color w:val="2E5395"/>
          <w:sz w:val="24"/>
          <w:szCs w:val="24"/>
        </w:rPr>
        <w:t xml:space="preserve">AGMA 929-B22 — Calculation of Bevel Gear Top Land, Slot Widths and Cutter Edge Radii</w:t>
      </w:r>
    </w:p>
    <w:p>
      <w:pPr>
        <w:pBdr>
          <w:bottom w:val="single" w:color="1F3864" w:sz="8"/>
        </w:pBdr>
        <w:spacing w:after="240"/>
      </w:pPr>
      <w:r>
        <w:rPr>
          <w:i/>
          <w:iCs/>
          <w:color w:val="555555"/>
          <w:sz w:val="20"/>
          <w:szCs w:val="20"/>
        </w:rPr>
        <w:t xml:space="preserve">C# / .NET 8 WinForms reference implementation — AGMA929B22Calc (AGMAStandards solution)</w:t>
      </w:r>
    </w:p>
    <w:p>
      <w:pPr>
        <w:pStyle w:val="Heading1"/>
        <w:spacing w:after="160" w:before="320"/>
      </w:pPr>
      <w:r>
        <w:rPr>
          <w:b/>
          <w:bCs/>
          <w:color w:val="1F3864"/>
          <w:sz w:val="30"/>
          <w:szCs w:val="30"/>
        </w:rPr>
        <w:t xml:space="preserve">1. Purpose and Scope</w:t>
      </w:r>
    </w:p>
    <w:p>
      <w:pPr>
        <w:spacing w:after="160" w:line="276"/>
      </w:pPr>
      <w:r>
        <w:rPr>
          <w:sz w:val="22"/>
          <w:szCs w:val="22"/>
        </w:rPr>
        <w:t xml:space="preserve">This report documents the technical findings from implementing AGMA 929-B22 as a standalone Windows Forms calculator (project AGMA929B22Calc, part of the AGMAStandards solution). The standard specifies roughly 215 numbered equations covering bevel and hypoid gear geometry, spiral angle determination, slot width and blade specification, cutter edge radius limits, and tooth top land — the calculator's primary deliverable.</w:t>
      </w:r>
    </w:p>
    <w:p>
      <w:pPr>
        <w:spacing w:after="160" w:line="276"/>
      </w:pPr>
      <w:r>
        <w:rPr>
          <w:sz w:val="22"/>
          <w:szCs w:val="22"/>
        </w:rPr>
        <w:t xml:space="preserve">Because a document of this density and equation count is easy to mistranscribe, and because several equations are genuinely ambiguous as typeset (compressed multi-term fractions, involute-function brackets, and cross-referenced subscripts), every formula in the implementation was checked against the numeric worked examples the standard itself publishes in Annexes C, D, and E, rather than trusting a single visual read. That process is the source of the five findings below.</w:t>
      </w:r>
    </w:p>
    <w:p>
      <w:pPr>
        <w:pStyle w:val="Heading1"/>
        <w:spacing w:after="160" w:before="320"/>
      </w:pPr>
      <w:r>
        <w:rPr>
          <w:b/>
          <w:bCs/>
          <w:color w:val="1F3864"/>
          <w:sz w:val="30"/>
          <w:szCs w:val="30"/>
        </w:rPr>
        <w:t xml:space="preserve">2. Implementation Summary</w:t>
      </w:r>
    </w:p>
    <w:p>
      <w:pPr>
        <w:spacing w:after="160" w:line="276"/>
      </w:pPr>
      <w:r>
        <w:rPr>
          <w:sz w:val="22"/>
          <w:szCs w:val="22"/>
        </w:rPr>
        <w:t xml:space="preserve">The calculator implements the full calculation chain in Clause 4:</w:t>
      </w:r>
    </w:p>
    <w:p>
      <w:pPr>
        <w:pStyle w:val="ListParagraph"/>
        <w:numPr>
          <w:ilvl w:val="0"/>
          <w:numId w:val="2"/>
        </w:numPr>
        <w:spacing w:after="90" w:line="276"/>
      </w:pPr>
      <w:r>
        <w:rPr>
          <w:sz w:val="22"/>
          <w:szCs w:val="22"/>
        </w:rPr>
        <w:t xml:space="preserve">4.1-4.4 — general geometry, spiral angles (face milling and face hobbing, including the standard's own iterative solve for involute lengthwise curvature), hypoid offset, backlash and clearance.</w:t>
      </w:r>
    </w:p>
    <w:p>
      <w:pPr>
        <w:pStyle w:val="ListParagraph"/>
        <w:numPr>
          <w:ilvl w:val="0"/>
          <w:numId w:val="2"/>
        </w:numPr>
        <w:spacing w:after="90" w:line="276"/>
      </w:pPr>
      <w:r>
        <w:rPr>
          <w:sz w:val="22"/>
          <w:szCs w:val="22"/>
        </w:rPr>
        <w:t xml:space="preserve">4.5 — slot width and blade-point calculations, including all seven wheel-rotation-factor (kₑ) variants and both completing and rough-and-finish process chains.</w:t>
      </w:r>
    </w:p>
    <w:p>
      <w:pPr>
        <w:pStyle w:val="ListParagraph"/>
        <w:numPr>
          <w:ilvl w:val="0"/>
          <w:numId w:val="2"/>
        </w:numPr>
        <w:spacing w:after="90" w:line="276"/>
      </w:pPr>
      <w:r>
        <w:rPr>
          <w:sz w:val="22"/>
          <w:szCs w:val="22"/>
        </w:rPr>
        <w:t xml:space="preserve">4.6 — cutter edge radius limits: no running interference, manufacturability, and fillet mutilation avoidance.</w:t>
      </w:r>
    </w:p>
    <w:p>
      <w:pPr>
        <w:pStyle w:val="ListParagraph"/>
        <w:numPr>
          <w:ilvl w:val="0"/>
          <w:numId w:val="2"/>
        </w:numPr>
        <w:spacing w:after="90" w:line="276"/>
      </w:pPr>
      <w:r>
        <w:rPr>
          <w:sz w:val="22"/>
          <w:szCs w:val="22"/>
        </w:rPr>
        <w:t xml:space="preserve">4.7 — normal top land at the inner, mean, and outer ends of the tooth, for both generated and non-generated (Formate) wheels.</w:t>
      </w:r>
    </w:p>
    <w:p>
      <w:pPr>
        <w:pStyle w:val="ListParagraph"/>
        <w:numPr>
          <w:ilvl w:val="0"/>
          <w:numId w:val="2"/>
        </w:numPr>
        <w:spacing w:after="90" w:line="276"/>
      </w:pPr>
      <w:r>
        <w:rPr>
          <w:sz w:val="22"/>
          <w:szCs w:val="22"/>
        </w:rPr>
        <w:t xml:space="preserve">4.8 — the optional pinion tip chamfer at the inner end, using the same secant-style iteration the standard describes for its own manual solution.</w:t>
      </w:r>
    </w:p>
    <w:p>
      <w:pPr>
        <w:spacing w:after="160" w:line="276"/>
      </w:pPr>
      <w:r>
        <w:rPr>
          <w:sz w:val="22"/>
          <w:szCs w:val="22"/>
        </w:rPr>
        <w:t xml:space="preserve">A self-test harness (run with the --selftest command-line flag) re-derives all three of the standard's own published worked examples end-to-end and diffs every intermediate and final value against the published tables, to a tolerance of 0.001. This is what surfaced the findings below, and it is left in the codebase so the calculation engine can be re-verified after any future change. The application also lets a user load any of the three examples directly (Annex C, D, or E) from a dropdown, to reproduce these results interactively.</w:t>
      </w:r>
    </w:p>
    <w:p>
      <w:pPr>
        <w:pStyle w:val="Heading1"/>
        <w:spacing w:after="160" w:before="320"/>
      </w:pPr>
      <w:r>
        <w:rPr>
          <w:b/>
          <w:bCs/>
          <w:color w:val="1F3864"/>
          <w:sz w:val="30"/>
          <w:szCs w:val="30"/>
        </w:rPr>
        <w:t xml:space="preserve">3. Validation Results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600"/>
        <w:gridCol w:w="1600"/>
      </w:tblGrid>
      <w:tr>
        <w:trPr>
          <w:tblHeader/>
        </w:trPr>
        <w:tc>
          <w:tcPr>
            <w:tcW w:type="dxa" w:w="1900"/>
            <w:shd w:fill="1F3864" w:val="clear"/>
            <w:tcMar>
              <w:top w:type="dxa" w:w="80"/>
              <w:left w:type="dxa" w:w="100"/>
              <w:bottom w:type="dxa" w:w="80"/>
              <w:right w:type="dxa" w:w="100"/>
            </w:tcMar>
          </w:tcPr>
          <w:p>
            <w:pPr>
              <w:jc w:val="left"/>
            </w:pPr>
            <w:r>
              <w:rPr>
                <w:b/>
                <w:bCs/>
                <w:color w:val="FFFFFF"/>
                <w:sz w:val="20"/>
                <w:szCs w:val="20"/>
              </w:rPr>
              <w:t xml:space="preserve">Worked example</w:t>
            </w:r>
          </w:p>
        </w:tc>
        <w:tc>
          <w:tcPr>
            <w:tcW w:type="dxa" w:w="4500"/>
            <w:shd w:fill="1F3864" w:val="clear"/>
            <w:tcMar>
              <w:top w:type="dxa" w:w="80"/>
              <w:left w:type="dxa" w:w="100"/>
              <w:bottom w:type="dxa" w:w="80"/>
              <w:right w:type="dxa" w:w="100"/>
            </w:tcMar>
          </w:tcPr>
          <w:p>
            <w:pPr>
              <w:jc w:val="left"/>
            </w:pPr>
            <w:r>
              <w:rPr>
                <w:b/>
                <w:bCs/>
                <w:color w:val="FFFFFF"/>
                <w:sz w:val="20"/>
                <w:szCs w:val="20"/>
              </w:rPr>
              <w:t xml:space="preserve">Configuration</w:t>
            </w:r>
          </w:p>
        </w:tc>
        <w:tc>
          <w:tcPr>
            <w:tcW w:type="dxa" w:w="1600"/>
            <w:shd w:fill="1F3864" w:val="clear"/>
            <w:tcMar>
              <w:top w:type="dxa" w:w="80"/>
              <w:left w:type="dxa" w:w="100"/>
              <w:bottom w:type="dxa" w:w="80"/>
              <w:right w:type="dxa" w:w="100"/>
            </w:tcMar>
          </w:tcPr>
          <w:p>
            <w:pPr>
              <w:jc w:val="center"/>
            </w:pPr>
            <w:r>
              <w:rPr>
                <w:b/>
                <w:bCs/>
                <w:color w:val="FFFFFF"/>
                <w:sz w:val="20"/>
                <w:szCs w:val="20"/>
              </w:rPr>
              <w:t xml:space="preserve">Checks passed</w:t>
            </w:r>
          </w:p>
        </w:tc>
        <w:tc>
          <w:tcPr>
            <w:tcW w:type="dxa" w:w="1600"/>
            <w:shd w:fill="1F3864" w:val="clear"/>
            <w:tcMar>
              <w:top w:type="dxa" w:w="80"/>
              <w:left w:type="dxa" w:w="100"/>
              <w:bottom w:type="dxa" w:w="80"/>
              <w:right w:type="dxa" w:w="100"/>
            </w:tcMar>
          </w:tcPr>
          <w:p>
            <w:pPr>
              <w:jc w:val="center"/>
            </w:pPr>
            <w:r>
              <w:rPr>
                <w:b/>
                <w:bCs/>
                <w:color w:val="FFFFFF"/>
                <w:sz w:val="20"/>
                <w:szCs w:val="20"/>
              </w:rPr>
              <w:t xml:space="preserve">Result</w:t>
            </w:r>
          </w:p>
        </w:tc>
      </w:tr>
      <w:tr>
        <w:tc>
          <w:tcPr>
            <w:tcW w:type="dxa" w:w="1900"/>
            <w:tcMar>
              <w:top w:type="dxa" w:w="80"/>
              <w:left w:type="dxa" w:w="100"/>
              <w:bottom w:type="dxa" w:w="80"/>
              <w:right w:type="dxa" w:w="100"/>
            </w:tcMar>
          </w:tcPr>
          <w:p>
            <w:pPr>
              <w:jc w:val="left"/>
            </w:pPr>
            <w:r>
              <w:rPr>
                <w:b/>
                <w:bCs/>
                <w:color w:val="000000"/>
                <w:sz w:val="20"/>
                <w:szCs w:val="20"/>
              </w:rPr>
              <w:t xml:space="preserve">Annex C</w:t>
            </w:r>
          </w:p>
        </w:tc>
        <w:tc>
          <w:tcPr>
            <w:tcW w:type="dxa" w:w="4500"/>
            <w:tcMar>
              <w:top w:type="dxa" w:w="80"/>
              <w:left w:type="dxa" w:w="100"/>
              <w:bottom w:type="dxa" w:w="80"/>
              <w:right w:type="dxa" w:w="100"/>
            </w:tcMar>
          </w:tcPr>
          <w:p>
            <w:pPr>
              <w:jc w:val="left"/>
            </w:pPr>
            <w:r>
              <w:rPr>
                <w:b w:val="false"/>
                <w:bCs w:val="false"/>
                <w:color w:val="000000"/>
                <w:sz w:val="20"/>
                <w:szCs w:val="20"/>
              </w:rPr>
              <w:t xml:space="preserve">Spiral bevel, face milling (spread blade), generated wheel, completing</w:t>
            </w:r>
          </w:p>
        </w:tc>
        <w:tc>
          <w:tcPr>
            <w:tcW w:type="dxa" w:w="1600"/>
            <w:tcMar>
              <w:top w:type="dxa" w:w="80"/>
              <w:left w:type="dxa" w:w="100"/>
              <w:bottom w:type="dxa" w:w="80"/>
              <w:right w:type="dxa" w:w="100"/>
            </w:tcMar>
          </w:tcPr>
          <w:p>
            <w:pPr>
              <w:jc w:val="center"/>
            </w:pPr>
            <w:r>
              <w:rPr>
                <w:b w:val="false"/>
                <w:bCs w:val="false"/>
                <w:color w:val="000000"/>
                <w:sz w:val="20"/>
                <w:szCs w:val="20"/>
              </w:rPr>
              <w:t xml:space="preserve">111 / 111</w:t>
            </w:r>
          </w:p>
        </w:tc>
        <w:tc>
          <w:tcPr>
            <w:tcW w:type="dxa" w:w="1600"/>
            <w:tcMar>
              <w:top w:type="dxa" w:w="80"/>
              <w:left w:type="dxa" w:w="100"/>
              <w:bottom w:type="dxa" w:w="80"/>
              <w:right w:type="dxa" w:w="100"/>
            </w:tcMar>
          </w:tcPr>
          <w:p>
            <w:pPr>
              <w:jc w:val="center"/>
            </w:pPr>
            <w:r>
              <w:rPr>
                <w:b/>
                <w:bCs/>
                <w:color w:val="1E7B34"/>
                <w:sz w:val="20"/>
                <w:szCs w:val="20"/>
              </w:rPr>
              <w:t xml:space="preserve">Exact match</w:t>
            </w:r>
          </w:p>
        </w:tc>
      </w:tr>
      <w:tr>
        <w:tc>
          <w:tcPr>
            <w:tcW w:type="dxa" w:w="1900"/>
            <w:shd w:fill="F2F4F8" w:val="clear"/>
            <w:tcMar>
              <w:top w:type="dxa" w:w="80"/>
              <w:left w:type="dxa" w:w="100"/>
              <w:bottom w:type="dxa" w:w="80"/>
              <w:right w:type="dxa" w:w="100"/>
            </w:tcMar>
          </w:tcPr>
          <w:p>
            <w:pPr>
              <w:jc w:val="left"/>
            </w:pPr>
            <w:r>
              <w:rPr>
                <w:b/>
                <w:bCs/>
                <w:color w:val="000000"/>
                <w:sz w:val="20"/>
                <w:szCs w:val="20"/>
              </w:rPr>
              <w:t xml:space="preserve">Annex D</w:t>
            </w:r>
          </w:p>
        </w:tc>
        <w:tc>
          <w:tcPr>
            <w:tcW w:type="dxa" w:w="4500"/>
            <w:shd w:fill="F2F4F8" w:val="clear"/>
            <w:tcMar>
              <w:top w:type="dxa" w:w="80"/>
              <w:left w:type="dxa" w:w="100"/>
              <w:bottom w:type="dxa" w:w="80"/>
              <w:right w:type="dxa" w:w="100"/>
            </w:tcMar>
          </w:tcPr>
          <w:p>
            <w:pPr>
              <w:jc w:val="left"/>
            </w:pPr>
            <w:r>
              <w:rPr>
                <w:b w:val="false"/>
                <w:bCs w:val="false"/>
                <w:color w:val="000000"/>
                <w:sz w:val="20"/>
                <w:szCs w:val="20"/>
              </w:rPr>
              <w:t xml:space="preserve">Hypoid (38.1 mm offset), face milling (spread blade), non-generated wheel, completing</w:t>
            </w:r>
          </w:p>
        </w:tc>
        <w:tc>
          <w:tcPr>
            <w:tcW w:type="dxa" w:w="1600"/>
            <w:shd w:fill="F2F4F8" w:val="clear"/>
            <w:tcMar>
              <w:top w:type="dxa" w:w="80"/>
              <w:left w:type="dxa" w:w="100"/>
              <w:bottom w:type="dxa" w:w="80"/>
              <w:right w:type="dxa" w:w="100"/>
            </w:tcMar>
          </w:tcPr>
          <w:p>
            <w:pPr>
              <w:jc w:val="center"/>
            </w:pPr>
            <w:r>
              <w:rPr>
                <w:b w:val="false"/>
                <w:bCs w:val="false"/>
                <w:color w:val="000000"/>
                <w:sz w:val="20"/>
                <w:szCs w:val="20"/>
              </w:rPr>
              <w:t xml:space="preserve">121 / 125</w:t>
            </w:r>
          </w:p>
        </w:tc>
        <w:tc>
          <w:tcPr>
            <w:tcW w:type="dxa" w:w="1600"/>
            <w:shd w:fill="F2F4F8" w:val="clear"/>
            <w:tcMar>
              <w:top w:type="dxa" w:w="80"/>
              <w:left w:type="dxa" w:w="100"/>
              <w:bottom w:type="dxa" w:w="80"/>
              <w:right w:type="dxa" w:w="100"/>
            </w:tcMar>
          </w:tcPr>
          <w:p>
            <w:pPr>
              <w:jc w:val="center"/>
            </w:pPr>
            <w:r>
              <w:rPr>
                <w:b/>
                <w:bCs/>
                <w:color w:val="8A5A00"/>
                <w:sz w:val="20"/>
                <w:szCs w:val="20"/>
              </w:rPr>
              <w:t xml:space="preserve">See Findings 4-5</w:t>
            </w:r>
          </w:p>
        </w:tc>
      </w:tr>
      <w:tr>
        <w:tc>
          <w:tcPr>
            <w:tcW w:type="dxa" w:w="1900"/>
            <w:tcMar>
              <w:top w:type="dxa" w:w="80"/>
              <w:left w:type="dxa" w:w="100"/>
              <w:bottom w:type="dxa" w:w="80"/>
              <w:right w:type="dxa" w:w="100"/>
            </w:tcMar>
          </w:tcPr>
          <w:p>
            <w:pPr>
              <w:jc w:val="left"/>
            </w:pPr>
            <w:r>
              <w:rPr>
                <w:b/>
                <w:bCs/>
                <w:color w:val="000000"/>
                <w:sz w:val="20"/>
                <w:szCs w:val="20"/>
              </w:rPr>
              <w:t xml:space="preserve">Annex E</w:t>
            </w:r>
          </w:p>
        </w:tc>
        <w:tc>
          <w:tcPr>
            <w:tcW w:type="dxa" w:w="4500"/>
            <w:tcMar>
              <w:top w:type="dxa" w:w="80"/>
              <w:left w:type="dxa" w:w="100"/>
              <w:bottom w:type="dxa" w:w="80"/>
              <w:right w:type="dxa" w:w="100"/>
            </w:tcMar>
          </w:tcPr>
          <w:p>
            <w:pPr>
              <w:jc w:val="left"/>
            </w:pPr>
            <w:r>
              <w:rPr>
                <w:b w:val="false"/>
                <w:bCs w:val="false"/>
                <w:color w:val="000000"/>
                <w:sz w:val="20"/>
                <w:szCs w:val="20"/>
              </w:rPr>
              <w:t xml:space="preserve">Hypoid (25.4 mm offset), face hobbing, non-generated wheel, completing, with pinion tip chamfer</w:t>
            </w:r>
          </w:p>
        </w:tc>
        <w:tc>
          <w:tcPr>
            <w:tcW w:type="dxa" w:w="1600"/>
            <w:tcMar>
              <w:top w:type="dxa" w:w="80"/>
              <w:left w:type="dxa" w:w="100"/>
              <w:bottom w:type="dxa" w:w="80"/>
              <w:right w:type="dxa" w:w="100"/>
            </w:tcMar>
          </w:tcPr>
          <w:p>
            <w:pPr>
              <w:jc w:val="center"/>
            </w:pPr>
            <w:r>
              <w:rPr>
                <w:b w:val="false"/>
                <w:bCs w:val="false"/>
                <w:color w:val="000000"/>
                <w:sz w:val="20"/>
                <w:szCs w:val="20"/>
              </w:rPr>
              <w:t xml:space="preserve">137 / 144</w:t>
            </w:r>
          </w:p>
        </w:tc>
        <w:tc>
          <w:tcPr>
            <w:tcW w:type="dxa" w:w="1600"/>
            <w:tcMar>
              <w:top w:type="dxa" w:w="80"/>
              <w:left w:type="dxa" w:w="100"/>
              <w:bottom w:type="dxa" w:w="80"/>
              <w:right w:type="dxa" w:w="100"/>
            </w:tcMar>
          </w:tcPr>
          <w:p>
            <w:pPr>
              <w:jc w:val="center"/>
            </w:pPr>
            <w:r>
              <w:rPr>
                <w:b/>
                <w:bCs/>
                <w:color w:val="8A5A00"/>
                <w:sz w:val="20"/>
                <w:szCs w:val="20"/>
              </w:rPr>
              <w:t xml:space="preserve">See Findings 4-5</w:t>
            </w:r>
          </w:p>
        </w:tc>
      </w:tr>
    </w:tbl>
    <w:p>
      <w:pPr>
        <w:spacing w:after="160" w:line="276"/>
      </w:pPr>
      <w:r>
        <w:rPr>
          <w:sz w:val="22"/>
          <w:szCs w:val="22"/>
        </w:rPr>
        <w:t xml:space="preserve"/>
      </w:r>
    </w:p>
    <w:p>
      <w:pPr>
        <w:spacing w:after="160" w:line="276"/>
      </w:pPr>
      <w:r>
        <w:rPr>
          <w:sz w:val="22"/>
          <w:szCs w:val="22"/>
        </w:rPr>
        <w:t xml:space="preserve">Annex C (a generated spiral bevel gear set — the most common configuration) matched the published results exactly across all 111 checked values, including the primary deliverable: normal top land at the inner, mean, and outer ends for both pinion and wheel.</w:t>
      </w:r>
    </w:p>
    <w:p>
      <w:pPr>
        <w:spacing w:after="160" w:line="276"/>
      </w:pPr>
      <w:r>
        <w:rPr>
          <w:sz w:val="22"/>
          <w:szCs w:val="22"/>
        </w:rPr>
        <w:t xml:space="preserve">Annex D (a hypoid set with a 38.1 mm offset and a non-generated wheel) matched 121 of 125 checked values exactly. Annex E (a second hypoid set, using face hobbing and additionally working the pinion tip chamfer all the way through) matched 137 of 144. In both cases the exceptions are the same underlying issue (Findings 4 and 5 below), not independent defects — everything else, including the wheel's own top land and the entire chamfer depth calculation (Eq 210/211), matched exactly in both non-generated examples.</w:t>
      </w:r>
    </w:p>
    <w:p>
      <w:pPr>
        <w:pStyle w:val="Heading1"/>
        <w:spacing w:after="160" w:before="320"/>
      </w:pPr>
      <w:r>
        <w:rPr>
          <w:b/>
          <w:bCs/>
          <w:color w:val="1F3864"/>
          <w:sz w:val="30"/>
          <w:szCs w:val="30"/>
        </w:rPr>
        <w:t xml:space="preserve">4. Findings</w:t>
      </w:r>
    </w:p>
    <w:p>
      <w:pPr>
        <w:spacing w:after="120" w:before="280"/>
      </w:pPr>
      <w:r>
        <w:rPr>
          <w:b/>
          <w:bCs/>
          <w:color w:val="1F3864"/>
          <w:sz w:val="24"/>
          <w:szCs w:val="24"/>
        </w:rPr>
        <w:t xml:space="preserve">Finding 1 — </w:t>
      </w:r>
      <w:r>
        <w:rPr>
          <w:b/>
          <w:bCs/>
          <w:color w:val="1F3864"/>
          <w:sz w:val="24"/>
          <w:szCs w:val="24"/>
        </w:rPr>
        <w:t xml:space="preserve">Sign error in Eq (177) — normal pinion circular thickness</w:t>
      </w:r>
      <w:r>
        <w:rPr>
          <w:b/>
          <w:bCs/>
          <w:color w:val="1E7B34"/>
          <w:sz w:val="20"/>
          <w:szCs w:val="20"/>
        </w:rPr>
        <w:t xml:space="preserve">   [Corrected]</w:t>
      </w:r>
    </w:p>
    <w:p>
      <w:pPr>
        <w:spacing w:after="160" w:line="276"/>
      </w:pPr>
      <w:r>
        <w:rPr>
          <w:sz w:val="22"/>
          <w:szCs w:val="22"/>
        </w:rPr>
        <w:t xml:space="preserve">Eq (177) is printed in the information sheet with a plus sign before its third term:</w:t>
      </w:r>
    </w:p>
    <w:p>
      <w:pPr>
        <w:pBdr>
          <w:top w:val="single" w:color="B00020" w:sz="6"/>
          <w:bottom w:val="single" w:color="B00020" w:sz="6"/>
          <w:left w:val="single" w:color="B00020" w:sz="6"/>
          <w:right w:val="single" w:color="B00020" w:sz="6"/>
        </w:pBdr>
        <w:shd w:fill="F7F7F7" w:val="clear"/>
        <w:spacing w:after="200" w:before="120"/>
        <w:ind w:left="120" w:right="120"/>
      </w:pPr>
      <w:p>
        <w:pPr>
          <w:spacing w:after="160" w:line="276"/>
        </w:pPr>
        <w:r>
          <w:rPr>
            <w:rFonts w:ascii="Consolas" w:cs="Consolas" w:eastAsia="Consolas" w:hAnsi="Consolas"/>
            <w:color w:val="3D3D3D"/>
            <w:sz w:val="20"/>
            <w:szCs w:val="20"/>
          </w:rPr>
          <w:t xml:space="preserve">s_n1{μ1} = h_f2{μ21{μ1}}·[tanαcv1 − tanαcx1] + W2{μ21{μ1}} + [R1{μ1}·cos(β12{μ21{μ1}})/(Re1·cosβe1)]·jen/cos(Σα/2)   (as printed)</w:t>
        </w:r>
      </w:p>
    </w:p>
    <w:p>
      <w:pPr>
        <w:spacing w:after="160" w:line="276"/>
      </w:pPr>
      <w:r>
        <w:rPr>
          <w:sz w:val="22"/>
          <w:szCs w:val="22"/>
        </w:rPr>
        <w:t xml:space="preserve">Implemented literally, this produced s_n1 values roughly 0.25-0.32 mm higher than the Annex C published table at all three tooth-length stations (toe, mean, heel), while every one of its input quantities (r_npt1, R1, β12, jen, βe1, Σα) independently matched the published table exactly. Changing only that sign to a minus — mirroring the minus sign already present in the analogous wheel equation, Eq (178) — reproduced the published s_n1 values to within 0.00001 mm at all three stations, and cascaded correctly through the top land results downstream, and later held up exactly in Annex D and E as well.</w:t>
      </w:r>
    </w:p>
    <w:p>
      <w:pPr>
        <w:spacing w:after="120" w:before="280"/>
      </w:pPr>
      <w:r>
        <w:rPr>
          <w:b/>
          <w:bCs/>
          <w:color w:val="1F3864"/>
          <w:sz w:val="24"/>
          <w:szCs w:val="24"/>
        </w:rPr>
        <w:t xml:space="preserve">Finding 2 — </w:t>
      </w:r>
      <w:r>
        <w:rPr>
          <w:b/>
          <w:bCs/>
          <w:color w:val="1F3864"/>
          <w:sz w:val="24"/>
          <w:szCs w:val="24"/>
        </w:rPr>
        <w:t xml:space="preserve">Sign pattern in the top-land involute formulas (Eq 179-182, 210-211)</w:t>
      </w:r>
      <w:r>
        <w:rPr>
          <w:b/>
          <w:bCs/>
          <w:color w:val="1E7B34"/>
          <w:sz w:val="20"/>
          <w:szCs w:val="20"/>
        </w:rPr>
        <w:t xml:space="preserve">   [Corrected]</w:t>
      </w:r>
    </w:p>
    <w:p>
      <w:pPr>
        <w:spacing w:after="160" w:line="276"/>
      </w:pPr>
      <w:r>
        <w:rPr>
          <w:sz w:val="22"/>
          <w:szCs w:val="22"/>
        </w:rPr>
        <w:t xml:space="preserve">The formulas for normal top land (pinion Eq 179, wheel Eq 181) combine four involute-function terms. As transcribed from the page image, Eq (179) read with three consecutive minus signs:</w:t>
      </w:r>
    </w:p>
    <w:p>
      <w:pPr>
        <w:pBdr>
          <w:top w:val="single" w:color="B00020" w:sz="6"/>
          <w:bottom w:val="single" w:color="B00020" w:sz="6"/>
          <w:left w:val="single" w:color="B00020" w:sz="6"/>
          <w:right w:val="single" w:color="B00020" w:sz="6"/>
        </w:pBdr>
        <w:shd w:fill="F7F7F7" w:val="clear"/>
        <w:spacing w:after="200" w:before="120"/>
        <w:ind w:left="120" w:right="120"/>
      </w:pPr>
      <w:p>
        <w:pPr>
          <w:spacing w:after="160" w:line="276"/>
        </w:pPr>
        <w:r>
          <w:rPr>
            <w:rFonts w:ascii="Consolas" w:cs="Consolas" w:eastAsia="Consolas" w:hAnsi="Consolas"/>
            <w:color w:val="3D3D3D"/>
            <w:sz w:val="20"/>
            <w:szCs w:val="20"/>
          </w:rPr>
          <w:t xml:space="preserve">s_an1 = [s_n1/r_npt1 + invαcv1 − inv(αacv1) − inv(−αcx1) − inv(αacx1)]·r_na1   (as first transcribed)</w:t>
        </w:r>
      </w:p>
    </w:p>
    <w:p>
      <w:pPr>
        <w:spacing w:after="160" w:line="276"/>
      </w:pPr>
      <w:r>
        <w:rPr>
          <w:sz w:val="22"/>
          <w:szCs w:val="22"/>
        </w:rPr>
        <w:t xml:space="preserve">Using this pattern, the two inv(±20°) terms cancel exactly (since αcx1 = −αcv1 in the Annex C example), which produced a top land roughly half the published value. Reading the corresponding chamfer formula (Eq 210, which computes the same quantity at a different tooth station) showed an alternating +,−,+,− pattern instead of +,−,−,−. Applying that alternating pattern to Eq (179) reproduced the published Annex C top land values (inner, mean, and outer, both pinion and wheel) to within 0.00001 mm, and the same correction was applied consistently to Eqs 180, 181, and 211. Annex E later confirmed this pattern independently: its chamfer-depth calculation (Eq 210/211, non-generated branch) matched the published value to within 0.00001 mm using this same corrected pattern.</w:t>
      </w:r>
    </w:p>
    <w:p>
      <w:pPr>
        <w:spacing w:after="120" w:before="280"/>
      </w:pPr>
      <w:r>
        <w:rPr>
          <w:b/>
          <w:bCs/>
          <w:color w:val="1F3864"/>
          <w:sz w:val="24"/>
          <w:szCs w:val="24"/>
        </w:rPr>
        <w:t xml:space="preserve">Finding 3 — </w:t>
      </w:r>
      <w:r>
        <w:rPr>
          <w:b/>
          <w:bCs/>
          <w:color w:val="1F3864"/>
          <w:sz w:val="24"/>
          <w:szCs w:val="24"/>
        </w:rPr>
        <w:t xml:space="preserve">Eq (47) computed but not reported for face milling</w:t>
      </w:r>
      <w:r>
        <w:rPr>
          <w:b/>
          <w:bCs/>
          <w:color w:val="1E7B34"/>
          <w:sz w:val="20"/>
          <w:szCs w:val="20"/>
        </w:rPr>
        <w:t xml:space="preserve">   [Corrected]</w:t>
      </w:r>
    </w:p>
    <w:p>
      <w:pPr>
        <w:spacing w:after="160" w:line="276"/>
      </w:pPr>
      <w:r>
        <w:rPr>
          <w:sz w:val="22"/>
          <w:szCs w:val="22"/>
        </w:rPr>
        <w:t xml:space="preserve">β_x2 (Eq 47, the wheel spiral angle at the involute lengthwise curvature point) is the common final step for both manufacturing methods — only how μ_x2 is found differs (closed-form Eq 39/40 for face milling, an iterative solve, Eq 41-46, for face hobbing). The implementation computed β_x2 correctly for face milling but only logged it to the results report on the face-hobbing branch, leaving it silently missing from the report whenever face milling was selected.</w:t>
      </w:r>
    </w:p>
    <w:p>
      <w:pPr>
        <w:spacing w:after="160" w:line="276"/>
      </w:pPr>
      <w:r>
        <w:rPr>
          <w:sz w:val="22"/>
          <w:szCs w:val="22"/>
        </w:rPr>
        <w:t xml:space="preserve">This was caught by inspecting the report output rather than by a numeric mismatch: the Annex C worked example (face milling) explicitly cites its β_x2 value under “Eq(47)” in its own results table, confirming the equation is meant to be reported regardless of method. β_x2 is now logged on both branches and checked in the self-test for all three annex examples (50.28672° for Annex C, 44.03581° for Annex D, 32.32203° for Annex E, all matching exactly).</w:t>
      </w:r>
    </w:p>
    <w:p>
      <w:pPr>
        <w:spacing w:after="120" w:before="280"/>
      </w:pPr>
      <w:r>
        <w:rPr>
          <w:b/>
          <w:bCs/>
          <w:color w:val="1F3864"/>
          <w:sz w:val="24"/>
          <w:szCs w:val="24"/>
        </w:rPr>
        <w:t xml:space="preserve">Finding 4 — </w:t>
      </w:r>
      <w:r>
        <w:rPr>
          <w:b/>
          <w:bCs/>
          <w:color w:val="1F3864"/>
          <w:sz w:val="24"/>
          <w:szCs w:val="24"/>
        </w:rPr>
        <w:t xml:space="preserve">Unresolved ambiguity — Eq (180), pinion top land under a non-generated wheel</w:t>
      </w:r>
      <w:r>
        <w:rPr>
          <w:b/>
          <w:bCs/>
          <w:color w:val="8A5A00"/>
          <w:sz w:val="20"/>
          <w:szCs w:val="20"/>
        </w:rPr>
        <w:t xml:space="preserve">   [Disclosed limitation]</w:t>
      </w:r>
    </w:p>
    <w:p>
      <w:pPr>
        <w:spacing w:after="160" w:line="276"/>
      </w:pPr>
      <w:r>
        <w:rPr>
          <w:sz w:val="22"/>
          <w:szCs w:val="22"/>
        </w:rPr>
        <w:t xml:space="preserve">Eq (180) computes the pinion's normal top land specifically when the mating wheel is non-generated (Formate). It combines the pinion's own contribution (identical in form to Eq 179) with a second bracket evaluated at the wheel point mapped from the pinion boundary, then subtracts a correction term written in the sheet as:</w:t>
      </w:r>
    </w:p>
    <w:p>
      <w:pPr>
        <w:pBdr>
          <w:top w:val="single" w:color="8A5A00" w:sz="6"/>
          <w:bottom w:val="single" w:color="8A5A00" w:sz="6"/>
          <w:left w:val="single" w:color="8A5A00" w:sz="6"/>
          <w:right w:val="single" w:color="8A5A00" w:sz="6"/>
        </w:pBdr>
        <w:shd w:fill="F7F7F7" w:val="clear"/>
        <w:spacing w:after="200" w:before="120"/>
        <w:ind w:left="120" w:right="120"/>
      </w:pPr>
      <w:p>
        <w:pPr>
          <w:spacing w:after="160" w:line="276"/>
        </w:pPr>
        <w:r>
          <w:rPr>
            <w:rFonts w:ascii="Consolas" w:cs="Consolas" w:eastAsia="Consolas" w:hAnsi="Consolas"/>
            <w:color w:val="3D3D3D"/>
            <w:sz w:val="20"/>
            <w:szCs w:val="20"/>
          </w:rPr>
          <w:t xml:space="preserve">− [ s_n2{μ21{μ1}} − h_a1{μ21{μ1}}·(tanαcv1 − tanαcx1) ]</w:t>
        </w:r>
      </w:p>
    </w:p>
    <w:p>
      <w:pPr>
        <w:spacing w:after="160" w:line="276"/>
      </w:pPr>
      <w:r>
        <w:rPr>
          <w:sz w:val="22"/>
          <w:szCs w:val="22"/>
        </w:rPr>
        <w:t xml:space="preserve">A systematic numeric search was run against both of the standard's published non-generated-wheel examples (Annex D and Annex E) across every plausible reading: which addendum function (pinion h_a1 or wheel h_a2) builds the second bracket's tip radius and the final correction term, and which involute sign pattern the second bracket uses. The closest reading found — using the pinion addendum function h_a1{μ21{μ1}}, exactly as literally printed, consistently for both the tip radius and the correction term — reproduces the published pinion top land to within roughly 0.15-0.6 mm across both examples (toe, mean, and heel), the closest of every combination tried, but not to the full published precision every other formula in this calculator achieves.</w:t>
      </w:r>
    </w:p>
    <w:p>
      <w:pPr>
        <w:spacing w:after="160" w:line="276"/>
      </w:pPr>
      <w:r>
        <w:rPr>
          <w:sz w:val="22"/>
          <w:szCs w:val="22"/>
        </w:rPr>
        <w:t xml:space="preserve">This has a narrow, well-defined scope: it only affects the pinion's top land, and only when the wheel is specifically non-generated (a less common manufacturing choice than a generated wheel). Because the pinion tip chamfer (4.8) locates its starting point by searching for where this same top-land function equals a target value, a non-generated wheel's chamfer starting point inherits the same imprecision — the chamfer depth calculation itself (Eq 210/211), however, does not depend on Eq (180) and matched the Annex E example exactly, as confirmed in Finding 2.</w:t>
      </w:r>
    </w:p>
    <w:p>
      <w:pPr>
        <w:spacing w:after="160" w:line="276"/>
      </w:pPr>
      <w:r>
        <w:rPr>
          <w:sz w:val="22"/>
          <w:szCs w:val="22"/>
        </w:rPr>
        <w:t xml:space="preserve">The wheel's own top land in both non-generated examples (Eq 182) matched the published values exactly, as did every other checked quantity. The application surfaces this to the user directly: selecting a non-generated wheel triggers an on-screen warning naming both the top land and the chamfer, and recommending the pinion top land be cross-checked against the standard or manufacturer data before being relied upon.</w:t>
      </w:r>
    </w:p>
    <w:p>
      <w:pPr>
        <w:spacing w:after="120" w:before="280"/>
      </w:pPr>
      <w:r>
        <w:rPr>
          <w:b/>
          <w:bCs/>
          <w:color w:val="1F3864"/>
          <w:sz w:val="24"/>
          <w:szCs w:val="24"/>
        </w:rPr>
        <w:t xml:space="preserve">Finding 5 — </w:t>
      </w:r>
      <w:r>
        <w:rPr>
          <w:b/>
          <w:bCs/>
          <w:color w:val="1F3864"/>
          <w:sz w:val="24"/>
          <w:szCs w:val="24"/>
        </w:rPr>
        <w:t xml:space="preserve">Eq (88)/(89) maximum slot width vs. the Annex D worked table</w:t>
      </w:r>
      <w:r>
        <w:rPr>
          <w:b/>
          <w:bCs/>
          <w:color w:val="2E5395"/>
          <w:sz w:val="20"/>
          <w:szCs w:val="20"/>
        </w:rPr>
        <w:t xml:space="preserve">   [Documented, not changed]</w:t>
      </w:r>
    </w:p>
    <w:p>
      <w:pPr>
        <w:spacing w:after="160" w:line="276"/>
      </w:pPr>
      <w:r>
        <w:rPr>
          <w:sz w:val="22"/>
          <w:szCs w:val="22"/>
        </w:rPr>
        <w:t xml:space="preserve">Eq (88) is printed unambiguously: “W_max2 = maximum of W_e2, W_x2, W_m2, or W_i2.” Implemented exactly as printed, the wheel's mean slot width (W_m2 = 2.71949 mm) is the largest of the four candidates in the Annex D example, so the calculator reports W_max2 = 2.71949 mm.</w:t>
      </w:r>
    </w:p>
    <w:p>
      <w:pPr>
        <w:spacing w:after="160" w:line="276"/>
      </w:pPr>
      <w:r>
        <w:rPr>
          <w:sz w:val="22"/>
          <w:szCs w:val="22"/>
        </w:rPr>
        <w:t xml:space="preserve">The Annex D worked table instead publishes W_max2 = 2.67661 mm — equal to the inner slot width, and smaller than the table's own published W_m2. That is inconsistent with the printed formula, which explicitly includes W_m2 as a candidate for the maximum.</w:t>
      </w:r>
    </w:p>
    <w:p>
      <w:pPr>
        <w:spacing w:after="160" w:line="276"/>
      </w:pPr>
      <w:r>
        <w:rPr>
          <w:sz w:val="22"/>
          <w:szCs w:val="22"/>
        </w:rPr>
        <w:t xml:space="preserve">Because the printed formula is unambiguous (unlike Findings 1-4, there is no plausible alternative reading), and because W_max/W_min are purely informational — they do not feed into any other calculation, including top land or cutter edge radius — the literal published formula was kept. The discrepancy is noted in the code as a data quirk in the Annex D table rather than a defect in the implementation.</w:t>
      </w:r>
    </w:p>
    <w:p>
      <w:pPr>
        <w:pStyle w:val="Heading1"/>
        <w:spacing w:after="160" w:before="320"/>
      </w:pPr>
      <w:r>
        <w:rPr>
          <w:b/>
          <w:bCs/>
          <w:color w:val="1F3864"/>
          <w:sz w:val="30"/>
          <w:szCs w:val="30"/>
        </w:rPr>
        <w:t xml:space="preserve">5. Recommendations for Use</w:t>
      </w:r>
    </w:p>
    <w:p>
      <w:pPr>
        <w:pStyle w:val="ListParagraph"/>
        <w:numPr>
          <w:ilvl w:val="0"/>
          <w:numId w:val="2"/>
        </w:numPr>
        <w:spacing w:after="90" w:line="276"/>
      </w:pPr>
      <w:r>
        <w:rPr>
          <w:sz w:val="22"/>
          <w:szCs w:val="22"/>
        </w:rPr>
        <w:t xml:space="preserve">Treat the pinion top land result — and any pinion tip chamfer built from it — for a non-generated wheel (Finding 4) as approximate; verify it independently for any design that relies on it.</w:t>
      </w:r>
    </w:p>
    <w:p>
      <w:pPr>
        <w:pStyle w:val="ListParagraph"/>
        <w:numPr>
          <w:ilvl w:val="0"/>
          <w:numId w:val="2"/>
        </w:numPr>
        <w:spacing w:after="90" w:line="276"/>
      </w:pPr>
      <w:r>
        <w:rPr>
          <w:sz w:val="22"/>
          <w:szCs w:val="22"/>
        </w:rPr>
        <w:t xml:space="preserve">All other results — general geometry, spiral angles, slot widths, cutter edge radii, top land for a generated wheel (the default and most common configuration), the wheel's own top land under a non-generated wheel, and the full pinion tip chamfer depth calculation — are validated to five decimal places against the standard's own published examples and can be used with the same confidence as a hand calculation from the standard.</w:t>
      </w:r>
    </w:p>
    <w:p>
      <w:pPr>
        <w:pStyle w:val="ListParagraph"/>
        <w:numPr>
          <w:ilvl w:val="0"/>
          <w:numId w:val="2"/>
        </w:numPr>
        <w:spacing w:after="90" w:line="276"/>
      </w:pPr>
      <w:r>
        <w:rPr>
          <w:sz w:val="22"/>
          <w:szCs w:val="22"/>
        </w:rPr>
        <w:t xml:space="preserve">Re-run the built-in self-test (--selftest) after any modification to the calculation engine; it re-derives Annex C, D, and E end-to-end and will immediately flag a regression.</w:t>
      </w:r>
    </w:p>
    <w:p>
      <w:pPr>
        <w:pBdr>
          <w:top w:val="single" w:color="AAAAAA" w:sz="6"/>
        </w:pBdr>
        <w:spacing w:before="400"/>
      </w:pPr>
      <w:r>
        <w:rPr>
          <w:i/>
          <w:iCs/>
          <w:color w:val="777777"/>
          <w:sz w:val="18"/>
          <w:szCs w:val="18"/>
        </w:rPr>
        <w:t xml:space="preserve">Prepared from the implementation and validation work on AGMA929B22Calc.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2026-09-18T15:49:24.319Z</dcterms:created>
  <dcterms:modified xsi:type="dcterms:W3CDTF">2026-09-18T15:49:24.320Z</dcterms:modified>
</cp:coreProperties>
</file>

<file path=docProps/custom.xml><?xml version="1.0" encoding="utf-8"?>
<Properties xmlns="http://schemas.openxmlformats.org/officeDocument/2006/custom-properties" xmlns:vt="http://schemas.openxmlformats.org/officeDocument/2006/docPropsVTypes"/>
</file>