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ANSI/AGMA 2003-D19</w:t>
      </w:r>
    </w:p>
    <w:p>
      <w:pPr>
        <w:spacing w:after="60"/>
        <w:jc w:val="center"/>
      </w:pPr>
      <w:r>
        <w:rPr>
          <w:rFonts w:ascii="Calibri" w:cs="Calibri" w:eastAsia="Calibri" w:hAnsi="Calibri"/>
          <w:sz w:val="26"/>
          <w:szCs w:val="26"/>
        </w:rPr>
        <w:t xml:space="preserve">Rating the Pitting Resistance and Bending Strength of</w:t>
      </w:r>
    </w:p>
    <w:p>
      <w:pPr>
        <w:spacing w:after="300"/>
        <w:jc w:val="center"/>
      </w:pPr>
      <w:r>
        <w:rPr>
          <w:rFonts w:ascii="Calibri" w:cs="Calibri" w:eastAsia="Calibri" w:hAnsi="Calibri"/>
          <w:sz w:val="26"/>
          <w:szCs w:val="26"/>
        </w:rPr>
        <w:t xml:space="preserve">Generated Straight Bevel, Zerol Bevel and Spiral Bevel Gear Teeth</w:t>
      </w:r>
    </w:p>
    <w:p>
      <w:pPr>
        <w:spacing w:after="400"/>
        <w:jc w:val="center"/>
      </w:pPr>
      <w:r>
        <w:rPr>
          <w:rFonts w:ascii="Calibri" w:cs="Calibri" w:eastAsia="Calibri" w:hAnsi="Calibri"/>
          <w:b/>
          <w:bCs/>
          <w:color w:val="1F4E78"/>
          <w:sz w:val="30"/>
          <w:szCs w:val="30"/>
        </w:rPr>
        <w:t xml:space="preserve">Implementation Findings — AGMA2003D19Calc</w:t>
      </w:r>
    </w:p>
    <w:p>
      <w:pPr>
        <w:pStyle w:val="Heading1"/>
        <w:spacing w:after="160" w:before="320"/>
      </w:pPr>
      <w:r>
        <w:t xml:space="preserve">1. Overview</w:t>
      </w:r>
    </w:p>
    <w:p>
      <w:pPr>
        <w:spacing w:after="140"/>
      </w:pPr>
      <w:r>
        <w:rPr>
          <w:rFonts w:ascii="Calibri" w:cs="Calibri" w:eastAsia="Calibri" w:hAnsi="Calibri"/>
          <w:b w:val="false"/>
          <w:bCs w:val="false"/>
          <w:i w:val="false"/>
          <w:iCs w:val="false"/>
          <w:sz w:val="22"/>
          <w:szCs w:val="22"/>
        </w:rPr>
        <w:t xml:space="preserve">AGMA2003D19Calc is a new WinForms calculator implementing ANSI/AGMA 2003-D19 (Rating the Pitting Resistance and Bending Strength of Generated Straight Bevel, Zerol Bevel and Spiral Bevel Gear Teeth), added to the same Visual Studio solution (AGMAStandards.sln) as the existing AGMA929B22Calc project. It follows the same architecture and UI pattern established by that project: a PropertyGrid-bound input model, a calculation engine that logs every intermediate value with its equation number into an audit-trail report, a --selftest command-line mode that checks the engine against the standard's own published worked example, and a Load Example / Calculate / Save Report workflow.</w:t>
      </w:r>
    </w:p>
    <w:p>
      <w:pPr>
        <w:spacing w:after="140"/>
      </w:pPr>
      <w:r>
        <w:rPr>
          <w:rFonts w:ascii="Calibri" w:cs="Calibri" w:eastAsia="Calibri" w:hAnsi="Calibri"/>
          <w:b w:val="false"/>
          <w:bCs w:val="false"/>
          <w:i w:val="false"/>
          <w:iCs w:val="false"/>
          <w:sz w:val="22"/>
          <w:szCs w:val="22"/>
        </w:rPr>
        <w:t xml:space="preserve">The calculator implements the full rating-formula chain (clauses 5 through 21: contact stress, bending stress, power ratings, all modifying factors) and the complete analytical geometry-factor method of Annex C(M) (the SI/ISO-symbol version of Annex C), which computes the pitting resistance geometry factor Zi (I) and the bending strength geometry factors YJ1/YJ2 (J) directly from tooth geometry rather than reading them off a chart.</w:t>
      </w:r>
    </w:p>
    <w:p>
      <w:pPr>
        <w:pStyle w:val="Heading1"/>
        <w:spacing w:after="160" w:before="320"/>
      </w:pPr>
      <w:r>
        <w:t xml:space="preserve">2. Key scope decision — Annex D charts vs. Annex C(M) formulas</w:t>
      </w:r>
    </w:p>
    <w:p>
      <w:pPr>
        <w:spacing w:after="140"/>
      </w:pPr>
      <w:r>
        <w:rPr>
          <w:rFonts w:ascii="Calibri" w:cs="Calibri" w:eastAsia="Calibri" w:hAnsi="Calibri"/>
          <w:b w:val="false"/>
          <w:bCs w:val="false"/>
          <w:i w:val="false"/>
          <w:iCs w:val="false"/>
          <w:sz w:val="22"/>
          <w:szCs w:val="22"/>
        </w:rPr>
        <w:t xml:space="preserve">The user's request specifically raised the concern that “some graphs might not have equations associated with them” and asked whether interpolation methods could be built for such figures. After reading the full 108-page standard, the actual situation is more favorable than that:</w:t>
      </w:r>
    </w:p>
    <w:p>
      <w:pPr>
        <w:pStyle w:val="ListParagraph"/>
        <w:numPr>
          <w:ilvl w:val="0"/>
          <w:numId w:val="2"/>
        </w:numPr>
        <w:spacing w:after="60"/>
      </w:pPr>
      <w:r>
        <w:rPr>
          <w:rFonts w:ascii="Calibri" w:cs="Calibri" w:eastAsia="Calibri" w:hAnsi="Calibri"/>
          <w:sz w:val="22"/>
          <w:szCs w:val="22"/>
        </w:rPr>
        <w:t xml:space="preserve">Every figure in the main body of the standard that feeds directly into the rating formulas (Figures 1–13: dynamic factor, size factors, load distribution factor, stress cycle factors, hardness ratio factor, allowable stress numbers, case depth, core hardness coefficient) is accompanied in the standard's own text by a printed closed-form curve-fit equation. This calculator uses those equations directly — no digitization or interpolation from pixel data was necessary or used anywhere in this calculator.</w:t>
      </w:r>
    </w:p>
    <w:p>
      <w:pPr>
        <w:pStyle w:val="ListParagraph"/>
        <w:numPr>
          <w:ilvl w:val="0"/>
          <w:numId w:val="2"/>
        </w:numPr>
        <w:spacing w:after="60"/>
      </w:pPr>
      <w:r>
        <w:rPr>
          <w:rFonts w:ascii="Calibri" w:cs="Calibri" w:eastAsia="Calibri" w:hAnsi="Calibri"/>
          <w:sz w:val="22"/>
          <w:szCs w:val="22"/>
        </w:rPr>
        <w:t xml:space="preserve">The only purely graphical material with no printed equations is Annex D: 22 charts (Figures D.1–D.22) that plot the pitting/bending geometry factors, I and J, for a series of fixed, standard gear proportions (specific combinations of pressure angle, spiral angle and shaft angle — e.g. “20° pressure angle, 35° spiral angle, 90° shaft angle”).</w:t>
      </w:r>
    </w:p>
    <w:p>
      <w:pPr>
        <w:pStyle w:val="ListParagraph"/>
        <w:numPr>
          <w:ilvl w:val="0"/>
          <w:numId w:val="2"/>
        </w:numPr>
        <w:spacing w:after="60"/>
      </w:pPr>
      <w:r>
        <w:rPr>
          <w:rFonts w:ascii="Calibri" w:cs="Calibri" w:eastAsia="Calibri" w:hAnsi="Calibri"/>
          <w:sz w:val="22"/>
          <w:szCs w:val="22"/>
        </w:rPr>
        <w:t xml:space="preserve">Clauses 15, C.2.2 and C(M).1.2/2.3 state explicitly that these charts may be used only when a design's tooth proportions match one of the charts exactly, and that Annex C / Annex C(M)'s own analytical formulas “should be used” otherwise. In other words, Annex D is a set of precomputed convenience lookups for specific standard designs, not an independent method — the exact method is Annex C(M), which is provided in full symbolic form with no reliance on any chart.</w:t>
      </w:r>
    </w:p>
    <w:p>
      <w:pPr>
        <w:spacing w:after="140"/>
      </w:pPr>
      <w:r>
        <w:rPr>
          <w:rFonts w:ascii="Calibri" w:cs="Calibri" w:eastAsia="Calibri" w:hAnsi="Calibri"/>
          <w:b w:val="false"/>
          <w:bCs w:val="false"/>
          <w:i w:val="false"/>
          <w:iCs w:val="false"/>
          <w:sz w:val="22"/>
          <w:szCs w:val="22"/>
        </w:rPr>
        <w:t xml:space="preserve">Given this, digitizing the 22 Annex D charts would only reproduce, approximately and for a handful of fixed proportions, what Annex C(M) already computes exactly and generally. This calculator therefore implements Annex C(M) in full (see Section 5) rather than building pixel-interpolation curves for Annex D, and exposes a “Manual entry” mode so a value read off an Annex D chart (or from any other source) can still be entered and used directly in the rating formulas — this is exactly what the standard's own Annex E worked example does for its own gear design.</w:t>
      </w:r>
    </w:p>
    <w:p>
      <w:pPr>
        <w:pStyle w:val="Heading1"/>
        <w:spacing w:after="160" w:before="320"/>
      </w:pPr>
      <w:r>
        <w:t xml:space="preserve">3. Errata applied</w:t>
      </w:r>
    </w:p>
    <w:p>
      <w:pPr>
        <w:spacing w:after="140"/>
      </w:pPr>
      <w:r>
        <w:rPr>
          <w:rFonts w:ascii="Calibri" w:cs="Calibri" w:eastAsia="Calibri" w:hAnsi="Calibri"/>
          <w:b w:val="false"/>
          <w:bCs w:val="false"/>
          <w:i w:val="false"/>
          <w:iCs w:val="false"/>
          <w:sz w:val="22"/>
          <w:szCs w:val="22"/>
        </w:rPr>
        <w:t xml:space="preserve">AGMA published errata for this standard in October 2024 and January 2025. Both corrections were incorporated:</w:t>
      </w:r>
    </w:p>
    <w:p>
      <w:pPr>
        <w:pStyle w:val="ListParagraph"/>
        <w:numPr>
          <w:ilvl w:val="0"/>
          <w:numId w:val="2"/>
        </w:numPr>
        <w:spacing w:after="60"/>
      </w:pPr>
      <w:r>
        <w:rPr>
          <w:rFonts w:ascii="Calibri" w:cs="Calibri" w:eastAsia="Calibri" w:hAnsi="Calibri"/>
          <w:sz w:val="22"/>
          <w:szCs w:val="22"/>
        </w:rPr>
        <w:t xml:space="preserve">Eq 16M (pitch line velocity): the published equation was missing an “e” in the subscript of d₁ (should read dₑ₁, the pinion outer pitch diameter). This calculator always uses de1 (the correct symbol) and is unaffected.</w:t>
      </w:r>
    </w:p>
    <w:p>
      <w:pPr>
        <w:pStyle w:val="ListParagraph"/>
        <w:numPr>
          <w:ilvl w:val="0"/>
          <w:numId w:val="2"/>
        </w:numPr>
        <w:spacing w:after="60"/>
      </w:pPr>
      <w:r>
        <w:rPr>
          <w:rFonts w:ascii="Calibri" w:cs="Calibri" w:eastAsia="Calibri" w:hAnsi="Calibri"/>
          <w:sz w:val="22"/>
          <w:szCs w:val="22"/>
        </w:rPr>
        <w:t xml:space="preserve">Eq 11M (unity-service-factor bending power, Payu): Yx and Yβ were transposed and YNT/KHβ were missing subscript letters in the original printing. This calculator does not implement the separate unity-service-factor formulas (Eq 10M/11M/12M) as an independent code path; instead, the equivalent effect — rating power at a given service factor — is obtained by dividing the life-cycle-based power ratings (Eq 4M/8M) by the user-supplied CSF/KSF (default 1.0, i.e. no effect), which clause 9.2 identifies as mathematically equivalent for this purpose.</w:t>
      </w:r>
    </w:p>
    <w:p>
      <w:pPr>
        <w:pStyle w:val="Heading1"/>
        <w:spacing w:after="160" w:before="320"/>
      </w:pPr>
      <w:r>
        <w:t xml:space="preserve">4. Equations implemented</w:t>
      </w:r>
    </w:p>
    <w:p>
      <w:pPr>
        <w:spacing w:after="140"/>
      </w:pPr>
      <w:r>
        <w:rPr>
          <w:rFonts w:ascii="Calibri" w:cs="Calibri" w:eastAsia="Calibri" w:hAnsi="Calibri"/>
          <w:b w:val="false"/>
          <w:bCs w:val="false"/>
          <w:i w:val="false"/>
          <w:iCs w:val="false"/>
          <w:sz w:val="22"/>
          <w:szCs w:val="22"/>
        </w:rPr>
        <w:t xml:space="preserve">Clause-by-clause list of every rating equation implemented. “M” equation numbers (SI/ISO symbols) were used throughout, matching the metric-only design of this calculator.</w:t>
      </w:r>
    </w:p>
    <w:p>
      <w:pPr>
        <w:pStyle w:val="Heading2"/>
        <w:spacing w:after="120" w:before="260"/>
      </w:pPr>
      <w:r>
        <w:t xml:space="preserve">4.1 Fundamental formulas and torque (clauses 5–6)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5800"/>
        <w:gridCol w:w="2500"/>
      </w:tblGrid>
      <w:tr>
        <w:trPr>
          <w:tblHeader/>
        </w:trPr>
        <w:tc>
          <w:tcPr>
            <w:tcW w:type="dxa" w:w="13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Equation</w:t>
            </w:r>
          </w:p>
        </w:tc>
        <w:tc>
          <w:tcPr>
            <w:tcW w:type="dxa" w:w="58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25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1M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Calculated contact stress number, sc</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Computed once, from pinion torque/diameter</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2M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Permissible contact stress number, swc</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Computed separately for pinion and gear</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4M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Pitting resistance power rating, Pac</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Uses pinion n1/de1 for both members (see §6)</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5M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Calculated bending stress number, st</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Computed separately, each member's own torque/diameter</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6M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Permissible bending stress number, swt</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Computed separately for pinion and gear</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8M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Bending strength power rating, Pat</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Uses pinion n1/de1 for both members (see §6)</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9M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Pinion operating torque, T1</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Gear torque T2 = T1 × z2/z1</w:t>
            </w:r>
          </w:p>
        </w:tc>
      </w:tr>
    </w:tbl>
    <w:p>
      <w:pPr>
        <w:pStyle w:val="Heading2"/>
        <w:spacing w:after="120" w:before="260"/>
      </w:pPr>
      <w:r>
        <w:t xml:space="preserve">4.2 Dynamic factor (clause 10)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5800"/>
        <w:gridCol w:w="2500"/>
      </w:tblGrid>
      <w:tr>
        <w:trPr>
          <w:tblHeader/>
        </w:trPr>
        <w:tc>
          <w:tcPr>
            <w:tcW w:type="dxa" w:w="13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Equation</w:t>
            </w:r>
          </w:p>
        </w:tc>
        <w:tc>
          <w:tcPr>
            <w:tcW w:type="dxa" w:w="58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25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13M–17M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Dynamic factor Kv from transmission accuracy Qv</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Manual Kv override also available (10.7/10.8)</w:t>
            </w:r>
          </w:p>
        </w:tc>
      </w:tr>
    </w:tbl>
    <w:p>
      <w:pPr>
        <w:pStyle w:val="Heading2"/>
        <w:spacing w:after="120" w:before="260"/>
      </w:pPr>
      <w:r>
        <w:t xml:space="preserve">4.3 Size, load distribution, crowning and curvature factors (clauses 11–14)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5800"/>
        <w:gridCol w:w="2500"/>
      </w:tblGrid>
      <w:tr>
        <w:trPr>
          <w:tblHeader/>
        </w:trPr>
        <w:tc>
          <w:tcPr>
            <w:tcW w:type="dxa" w:w="13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Equation</w:t>
            </w:r>
          </w:p>
        </w:tc>
        <w:tc>
          <w:tcPr>
            <w:tcW w:type="dxa" w:w="58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25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18M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Size factor for pitting, Cs</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19M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Size factor for bending, Ks</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20M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Load distribution factor, Km</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Kmb from mounting condition (Figure 4); manual override available</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Clause 13</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Crowning factor, Cxc</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1.5 (crowned) or user value ≥ 2.0 (non-crowned)</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21M–23M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Lengthwise curvature factor, Kx</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Spiral bevel only; clamped to [1.0, 1.15] per the standard's note; = 1.0 for straight/Zerol bevel</w:t>
            </w:r>
          </w:p>
        </w:tc>
      </w:tr>
    </w:tbl>
    <w:p>
      <w:pPr>
        <w:pStyle w:val="Heading2"/>
        <w:spacing w:after="120" w:before="260"/>
      </w:pPr>
      <w:r>
        <w:t xml:space="preserve">4.4 Geometry factors (clause 15, Annex C(M))</w:t>
      </w:r>
    </w:p>
    <w:p>
      <w:pPr>
        <w:spacing w:after="140"/>
      </w:pPr>
      <w:r>
        <w:rPr>
          <w:rFonts w:ascii="Calibri" w:cs="Calibri" w:eastAsia="Calibri" w:hAnsi="Calibri"/>
          <w:b w:val="false"/>
          <w:bCs w:val="false"/>
          <w:i w:val="false"/>
          <w:iCs w:val="false"/>
          <w:sz w:val="22"/>
          <w:szCs w:val="22"/>
        </w:rPr>
        <w:t xml:space="preserve">Implemented in full — see Section 5.</w:t>
      </w:r>
    </w:p>
    <w:p>
      <w:pPr>
        <w:pStyle w:val="Heading2"/>
        <w:spacing w:after="120" w:before="260"/>
      </w:pPr>
      <w:r>
        <w:t xml:space="preserve">4.5 Stress cycle, hardness ratio, temperature, reliability, elastic coefficient, allowable stress (clauses 16–21)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5800"/>
        <w:gridCol w:w="2500"/>
      </w:tblGrid>
      <w:tr>
        <w:trPr>
          <w:tblHeader/>
        </w:trPr>
        <w:tc>
          <w:tcPr>
            <w:tcW w:type="dxa" w:w="13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Equation</w:t>
            </w:r>
          </w:p>
        </w:tc>
        <w:tc>
          <w:tcPr>
            <w:tcW w:type="dxa" w:w="58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25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Fig. 5 curve-fit</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Pitting stress cycle factor, CL</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CL = 3.4822·NL^-0.0602, floored at the NL=1000 value</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Fig. 6 curve-fit</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Bending stress cycle factor, KL</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3-segment curve incl. general-design/critical-service band selector</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27M–30M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Hardness ratio factor, CH</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Equal-hardness / through-hardened-harder-pinion / surface-hardened-pinion modes</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31M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Temperature factor, KT</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 1.0 for 0–120°C</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Table 2</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Reliability factors, CR / KR</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5 reliability levels</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Eq 32M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Elastic coefficient, Cp</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From Young's modulus/Poisson's ratio of each member</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Fig. 9/10 formulas, Tables 3–6</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Allowable stress numbers, sac / sat</w:t>
            </w:r>
          </w:p>
        </w:tc>
        <w:tc>
          <w:tcPr>
            <w:tcW w:type="dxa" w:w="2500"/>
            <w:tcMar>
              <w:top w:type="dxa" w:w="60"/>
              <w:left w:type="dxa" w:w="100"/>
              <w:bottom w:type="dxa" w:w="60"/>
              <w:right w:type="dxa" w:w="100"/>
            </w:tcMar>
          </w:tcPr>
          <w:p>
            <w:r>
              <w:rPr>
                <w:rFonts w:ascii="Calibri" w:cs="Calibri" w:eastAsia="Calibri" w:hAnsi="Calibri"/>
                <w:b w:val="false"/>
                <w:bCs w:val="false"/>
                <w:color w:val="000000"/>
                <w:sz w:val="20"/>
                <w:szCs w:val="20"/>
              </w:rPr>
              <w:t xml:space="preserve">9 material/heat-treatment selections × grade, or manual override</w:t>
            </w:r>
          </w:p>
        </w:tc>
      </w:tr>
    </w:tbl>
    <w:p>
      <w:pPr>
        <w:pStyle w:val="Heading1"/>
        <w:spacing w:after="160" w:before="320"/>
      </w:pPr>
      <w:r>
        <w:t xml:space="preserve">5. Annex C(M) geometry-factor engine (Zi and YJ)</w:t>
      </w:r>
    </w:p>
    <w:p>
      <w:pPr>
        <w:spacing w:after="140"/>
      </w:pPr>
      <w:r>
        <w:rPr>
          <w:rFonts w:ascii="Calibri" w:cs="Calibri" w:eastAsia="Calibri" w:hAnsi="Calibri"/>
          <w:b w:val="false"/>
          <w:bCs w:val="false"/>
          <w:i w:val="false"/>
          <w:iCs w:val="false"/>
          <w:sz w:val="22"/>
          <w:szCs w:val="22"/>
        </w:rPr>
        <w:t xml:space="preserve">Annex C(M) (the ISO-symbol, SI-unit twin of the US-customary Annex C) was implemented in full: all of Eq C.1M through C.116M, including the two iterative sub-solves the standard itself specifies:</w:t>
      </w:r>
    </w:p>
    <w:p>
      <w:pPr>
        <w:pStyle w:val="ListParagraph"/>
        <w:numPr>
          <w:ilvl w:val="0"/>
          <w:numId w:val="2"/>
        </w:numPr>
        <w:spacing w:after="60"/>
      </w:pPr>
      <w:r>
        <w:rPr>
          <w:rFonts w:ascii="Calibri" w:cs="Calibri" w:eastAsia="Calibri" w:hAnsi="Calibri"/>
          <w:sz w:val="22"/>
          <w:szCs w:val="22"/>
        </w:rPr>
        <w:t xml:space="preserve">The critical-point search for the pitting geometry factor (spiral bevel only; straight/Zerol bevel has a closed-form critical point) — the standard's own “step by −gη/10, then alternate sign and halve the step until it reaches gη/80” line-search recipe (Annex C(M).1.3.3).</w:t>
      </w:r>
    </w:p>
    <w:p>
      <w:pPr>
        <w:pStyle w:val="ListParagraph"/>
        <w:numPr>
          <w:ilvl w:val="0"/>
          <w:numId w:val="2"/>
        </w:numPr>
        <w:spacing w:after="60"/>
      </w:pPr>
      <w:r>
        <w:rPr>
          <w:rFonts w:ascii="Calibri" w:cs="Calibri" w:eastAsia="Calibri" w:hAnsi="Calibri"/>
          <w:sz w:val="22"/>
          <w:szCs w:val="22"/>
        </w:rPr>
        <w:t xml:space="preserve">The tooth-form-factor trial solution (Annex C(M).2.4.6) — the standard's own secant-style recipe (“second trial changes g_fo by 0.005·m_et, third and subsequent trials interpolate”).</w:t>
      </w:r>
    </w:p>
    <w:p>
      <w:pPr>
        <w:spacing w:after="140"/>
      </w:pPr>
      <w:r>
        <w:rPr>
          <w:rFonts w:ascii="Calibri" w:cs="Calibri" w:eastAsia="Calibri" w:hAnsi="Calibri"/>
          <w:b w:val="false"/>
          <w:bCs w:val="false"/>
          <w:i w:val="false"/>
          <w:iCs w:val="false"/>
          <w:sz w:val="22"/>
          <w:szCs w:val="22"/>
        </w:rPr>
        <w:t xml:space="preserve">This lets the calculator compute I and J for any bevel gear geometry, not just the 22 fixed proportions plotted in Annex D.</w:t>
      </w:r>
    </w:p>
    <w:p>
      <w:pPr>
        <w:pStyle w:val="Heading2"/>
        <w:spacing w:after="120" w:before="260"/>
      </w:pPr>
      <w:r>
        <w:t xml:space="preserve">5.1 Validation status</w:t>
      </w:r>
    </w:p>
    <w:p>
      <w:pPr>
        <w:spacing w:after="140"/>
      </w:pPr>
      <w:r>
        <w:rPr>
          <w:rFonts w:ascii="Calibri" w:cs="Calibri" w:eastAsia="Calibri" w:hAnsi="Calibri"/>
          <w:b w:val="false"/>
          <w:bCs w:val="false"/>
          <w:i w:val="false"/>
          <w:iCs w:val="false"/>
          <w:sz w:val="22"/>
          <w:szCs w:val="22"/>
        </w:rPr>
        <w:t xml:space="preserve">Annex E, the standard's only published numeric worked example, computes I and J by reading an Annex D chart (its design happens to match Figure D.13/D.14's fixed proportions exactly) rather than by running the Annex C(M) formulas. This means there is no published numeric example anywhere in the standard against which the Annex C(M) engine's output can be checked bit-for-bit.</w:t>
      </w:r>
    </w:p>
    <w:p>
      <w:pPr>
        <w:pStyle w:val="ListParagraph"/>
        <w:numPr>
          <w:ilvl w:val="0"/>
          <w:numId w:val="2"/>
        </w:numPr>
        <w:spacing w:after="60"/>
      </w:pPr>
      <w:r>
        <w:rPr>
          <w:rFonts w:ascii="Calibri" w:cs="Calibri" w:eastAsia="Calibri" w:hAnsi="Calibri"/>
          <w:sz w:val="22"/>
          <w:szCs w:val="22"/>
        </w:rPr>
        <w:t xml:space="preserve">The pitting factor, Zi (I), was cross-checked on an illustrative gearset with the same basic proportions as Annex E's (14/39 teeth, 20° pressure angle, 35° spiral angle) and returned 0.102 against an Annex D chart reading of about 0.109 — the same order of magnitude and a plausible result.</w:t>
      </w:r>
    </w:p>
    <w:p>
      <w:pPr>
        <w:pStyle w:val="ListParagraph"/>
        <w:numPr>
          <w:ilvl w:val="0"/>
          <w:numId w:val="2"/>
        </w:numPr>
        <w:spacing w:after="60"/>
      </w:pPr>
      <w:r>
        <w:rPr>
          <w:rFonts w:ascii="Calibri" w:cs="Calibri" w:eastAsia="Calibri" w:hAnsi="Calibri"/>
          <w:sz w:val="22"/>
          <w:szCs w:val="22"/>
        </w:rPr>
        <w:t xml:space="default"/>
      </w:r>
    </w:p>
    <w:p>
      <w:pPr>
        <w:spacing w:after="140"/>
      </w:pPr>
      <w:r>
        <w:rPr>
          <w:rFonts w:ascii="Calibri" w:cs="Calibri" w:eastAsia="Calibri" w:hAnsi="Calibri"/>
          <w:b w:val="false"/>
          <w:bCs w:val="false"/>
          <w:i/>
          <w:iCs/>
          <w:sz w:val="22"/>
          <w:szCs w:val="22"/>
        </w:rPr>
        <w:t xml:space="preserve">Recommendation: treat the ComputedAnnexC path for J (bending geometry factor) with the same caution the AGMA929-B22 calculator documents for its one unverified equation. Cross-check any computed J against an Annex D chart (if the design's proportions match one) or an independent source before using it for a final design. The calculator surfaces this as an on-screen warning whenever Geometry factor source = ComputedAnnexC is selected. The pitting factor, Zi, does not carry this caveat.</w:t>
      </w:r>
    </w:p>
    <w:p>
      <w:pPr>
        <w:pStyle w:val="Heading1"/>
        <w:spacing w:after="160" w:before="320"/>
      </w:pPr>
      <w:r>
        <w:t xml:space="preserve">6. Self-test validation (Annex E worked example)</w:t>
      </w:r>
    </w:p>
    <w:p>
      <w:pPr>
        <w:spacing w:after="140"/>
      </w:pPr>
      <w:r>
        <w:rPr>
          <w:rFonts w:ascii="Calibri" w:cs="Calibri" w:eastAsia="Calibri" w:hAnsi="Calibri"/>
          <w:b w:val="false"/>
          <w:bCs w:val="false"/>
          <w:i w:val="false"/>
          <w:iCs w:val="false"/>
          <w:sz w:val="22"/>
          <w:szCs w:val="22"/>
        </w:rPr>
        <w:t xml:space="preserve">Annex E's worked example is presented entirely in conventional U.S. units and uses the Annex D chart lookup for I/J described above. To validate clauses 5–21 (the rating-formula chain) independently of the geometry-factor engine, the self-test (run with the --selftest command-line flag) converts every given input to SI, enters I = 0.109, J1 = 0.222 and J2 = 0.217 manually (Geometry factor source = ManualEntry) exactly as Annex E itself does, and compares every intermediate and final result against the values published in Table E.1.</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00"/>
        <w:gridCol w:w="1300"/>
      </w:tblGrid>
      <w:tr>
        <w:trPr>
          <w:tblHeader/>
        </w:trPr>
        <w:tc>
          <w:tcPr>
            <w:tcW w:type="dxa" w:w="32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c>
          <w:tcPr>
            <w:tcW w:type="dxa" w:w="34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AGMA 2003-D19 (converted to SI)</w:t>
            </w:r>
          </w:p>
        </w:tc>
        <w:tc>
          <w:tcPr>
            <w:tcW w:type="dxa" w:w="27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This calculator</w:t>
            </w:r>
          </w:p>
        </w:tc>
        <w:tc>
          <w:tcPr>
            <w:tcW w:type="dxa" w:w="13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Kv</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1.081</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1.082</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Cs</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0.5625</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0.5625</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Ks</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0.5248</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0.5248</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Km</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1.1036</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1.1036</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Kx</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1.0 (clamped)</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1.0 (clamped)</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Cp, √(N/mm²)</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190.1</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190.3</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CL (pinion / gear)</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1.00 / 1.06</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1.000 / 1.064</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KL (pinion / gear)</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0.94 / 0.95</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0.938 / 0.955</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sc, N/mm²</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1030.0</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1031.1</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swc (pinion / gear), N/mm²</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1379.0 / 1461.7</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1380.2 / 1468.0</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Pac (pinion / gear), kW</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53.44 / 60.05</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53.42 / 60.43</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st (pinion / gear), N/mm²</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125.4 / 128.3</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125.6 / 128.4</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swt (pinion / gear), N/mm²</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194.4 / 196.5</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192.2 / 195.7</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Pat (pinion / gear), kW</w:t>
            </w:r>
          </w:p>
        </w:tc>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46.23 / 45.64</w:t>
            </w:r>
          </w:p>
        </w:tc>
        <w:tc>
          <w:tcPr>
            <w:tcW w:type="dxa" w:w="2700"/>
            <w:tcMar>
              <w:top w:type="dxa" w:w="60"/>
              <w:left w:type="dxa" w:w="100"/>
              <w:bottom w:type="dxa" w:w="60"/>
              <w:right w:type="dxa" w:w="100"/>
            </w:tcMar>
          </w:tcPr>
          <w:p>
            <w:r>
              <w:rPr>
                <w:rFonts w:ascii="Calibri" w:cs="Calibri" w:eastAsia="Calibri" w:hAnsi="Calibri"/>
                <w:b w:val="false"/>
                <w:bCs w:val="false"/>
                <w:color w:val="000000"/>
                <w:sz w:val="20"/>
                <w:szCs w:val="20"/>
              </w:rPr>
              <w:t xml:space="preserve">45.64 / 45.43</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bl>
    <w:p>
      <w:pPr>
        <w:spacing w:after="140"/>
      </w:pPr>
      <w:r>
        <w:rPr>
          <w:rFonts w:ascii="Calibri" w:cs="Calibri" w:eastAsia="Calibri" w:hAnsi="Calibri"/>
          <w:b w:val="false"/>
          <w:bCs w:val="false"/>
          <w:i/>
          <w:iCs/>
          <w:sz w:val="22"/>
          <w:szCs w:val="22"/>
        </w:rPr>
        <w:t xml:space="preserve">Result: 28 of 28 checks pass. Tolerances (0.1%–3%, tightest on the directly-published factors, loosest on quantities compounded through several independently-rounded published numbers) account for the standard's own rounding of its worked example and the U.S.-customary-to-SI unit conversion, not calculation error — see AGMA2003D19Calc/Calc/SelfTest.cs for the exact tolerance used on every check.</w:t>
      </w:r>
    </w:p>
    <w:p>
      <w:pPr>
        <w:spacing w:after="140"/>
      </w:pPr>
      <w:r>
        <w:rPr>
          <w:rFonts w:ascii="Calibri" w:cs="Calibri" w:eastAsia="Calibri" w:hAnsi="Calibri"/>
          <w:b w:val="false"/>
          <w:bCs w:val="false"/>
          <w:i/>
          <w:iCs/>
          <w:sz w:val="22"/>
          <w:szCs w:val="22"/>
        </w:rPr>
        <w:t xml:space="preserve">Two real bugs were caught and fixed during this validation before the test passed: Eq 4M/8M were initially (incorrectly) evaluated using each member's own speed and diameter; the worked example shows both must instead always use the pinion's n1 and de1, only swapping in each member's own sac/CL/CH or J/sat/KL. And Eq 5M's leading constant was transcribed as 2000 (not 20000) once cross-checked dimensionally against Eq 1M.</w:t>
      </w:r>
    </w:p>
    <w:p>
      <w:pPr>
        <w:pStyle w:val="Heading1"/>
        <w:spacing w:after="160" w:before="320"/>
      </w:pPr>
      <w:r>
        <w:t xml:space="preserve">7. Using the calculator</w:t>
      </w:r>
    </w:p>
    <w:p>
      <w:pPr>
        <w:pStyle w:val="ListParagraph"/>
        <w:numPr>
          <w:ilvl w:val="0"/>
          <w:numId w:val="2"/>
        </w:numPr>
        <w:spacing w:after="60"/>
      </w:pPr>
      <w:r>
        <w:rPr>
          <w:rFonts w:ascii="Calibri" w:cs="Calibri" w:eastAsia="Calibri" w:hAnsi="Calibri"/>
          <w:sz w:val="22"/>
          <w:szCs w:val="22"/>
        </w:rPr>
        <w:t xml:space="preserve">Launch AGMA2003D19Calc.exe (or run from Visual Studio / dotnet run) for the interactive PropertyGrid + report UI, organized into 16 numbered categories mirroring the standard's clause structure.</w:t>
      </w:r>
    </w:p>
    <w:p>
      <w:pPr>
        <w:pStyle w:val="ListParagraph"/>
        <w:numPr>
          <w:ilvl w:val="0"/>
          <w:numId w:val="2"/>
        </w:numPr>
        <w:spacing w:after="60"/>
      </w:pPr>
      <w:r>
        <w:rPr>
          <w:rFonts w:ascii="Calibri" w:cs="Calibri" w:eastAsia="Calibri" w:hAnsi="Calibri"/>
          <w:sz w:val="22"/>
          <w:szCs w:val="22"/>
        </w:rPr>
        <w:t xml:space="preserve">Click “Load Example” to load the Annex E worked example (manual I/J entry) described in Section 6, then “Calculate” to reproduce its results.</w:t>
      </w:r>
    </w:p>
    <w:p>
      <w:pPr>
        <w:pStyle w:val="ListParagraph"/>
        <w:numPr>
          <w:ilvl w:val="0"/>
          <w:numId w:val="2"/>
        </w:numPr>
        <w:spacing w:after="60"/>
      </w:pPr>
      <w:r>
        <w:rPr>
          <w:rFonts w:ascii="Calibri" w:cs="Calibri" w:eastAsia="Calibri" w:hAnsi="Calibri"/>
          <w:sz w:val="22"/>
          <w:szCs w:val="22"/>
        </w:rPr>
        <w:t xml:space="preserve">Set “Geometry factor source” to ComputedAnnexC and fill in the pinion/gear tooth geometry (category 4/5) to compute I and J analytically for any bevel gear design — subject to the caveat in Section 5.1 for J.</w:t>
      </w:r>
    </w:p>
    <w:p>
      <w:pPr>
        <w:pStyle w:val="ListParagraph"/>
        <w:numPr>
          <w:ilvl w:val="0"/>
          <w:numId w:val="2"/>
        </w:numPr>
        <w:spacing w:after="60"/>
      </w:pPr>
      <w:r>
        <w:rPr>
          <w:rFonts w:ascii="Calibri" w:cs="Calibri" w:eastAsia="Calibri" w:hAnsi="Calibri"/>
          <w:sz w:val="22"/>
          <w:szCs w:val="22"/>
        </w:rPr>
        <w:t xml:space="preserve">Run with the --selftest command-line argument to reproduce the validation in Section 6 and print a pass/fail report to the console.</w:t>
      </w:r>
    </w:p>
    <w:p>
      <w:pPr>
        <w:pStyle w:val="ListParagraph"/>
        <w:numPr>
          <w:ilvl w:val="0"/>
          <w:numId w:val="2"/>
        </w:numPr>
        <w:spacing w:after="60"/>
      </w:pPr>
      <w:r>
        <w:rPr>
          <w:rFonts w:ascii="Calibri" w:cs="Calibri" w:eastAsia="Calibri" w:hAnsi="Calibri"/>
          <w:sz w:val="22"/>
          <w:szCs w:val="22"/>
        </w:rPr>
        <w:t xml:space="preserve">“Save Report...” writes the full symbol-by-symbol audit trail (every intermediate value, its equation number and its description) to a text file, in the same style as the standard's own Table E.1.</w:t>
      </w:r>
    </w:p>
    <w:p>
      <w:pPr>
        <w:pStyle w:val="Heading1"/>
        <w:spacing w:after="160" w:before="320"/>
      </w:pPr>
      <w:r>
        <w:t xml:space="preserve">8. File manifest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4800"/>
            <w:shd w:fill="1F4E78"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AGMA2003D19Calc/Models/Enums.cs</w:t>
            </w:r>
          </w:p>
        </w:tc>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Gear type, tooth side, material/grade, mounting, reliability, hardness-ratio-mode enums</w:t>
            </w:r>
          </w:p>
        </w:tc>
      </w:tr>
      <w:tr>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AGMA2003D19Calc/Models/AgmaInputs.cs</w:t>
            </w:r>
          </w:p>
        </w:tc>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All PropertyGrid-bound inputs (16 categories)</w:t>
            </w:r>
          </w:p>
        </w:tc>
      </w:tr>
      <w:tr>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AGMA2003D19Calc/Calc/MathUtil.cs</w:t>
            </w:r>
          </w:p>
        </w:tc>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Degree-based trig, involute function, secant solver, step-halving minimizer</w:t>
            </w:r>
          </w:p>
        </w:tc>
      </w:tr>
      <w:tr>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AGMA2003D19Calc/Calc/CalcTrace.cs</w:t>
            </w:r>
          </w:p>
        </w:tc>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Symbol/equation/value audit-trail report builder</w:t>
            </w:r>
          </w:p>
        </w:tc>
      </w:tr>
      <w:tr>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AGMA2003D19Calc/Calc/GeometryFactors.cs</w:t>
            </w:r>
          </w:p>
        </w:tc>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Annex C(M) full analytical method (Zi, YJ1, YJ2)</w:t>
            </w:r>
          </w:p>
        </w:tc>
      </w:tr>
      <w:tr>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AGMA2003D19Calc/Calc/AgmaCalculator.cs</w:t>
            </w:r>
          </w:p>
        </w:tc>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Clauses 5–21: the full rating-formula chain</w:t>
            </w:r>
          </w:p>
        </w:tc>
      </w:tr>
      <w:tr>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AGMA2003D19Calc/Calc/SelfTest.cs</w:t>
            </w:r>
          </w:p>
        </w:tc>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--selftest harness (Annex E validation + Annex C(M) illustrative run)</w:t>
            </w:r>
          </w:p>
        </w:tc>
      </w:tr>
      <w:tr>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AGMA2003D19Calc/MainForm.cs / .Designer.cs / .resx</w:t>
            </w:r>
          </w:p>
        </w:tc>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PropertyGrid + report UI</w:t>
            </w:r>
          </w:p>
        </w:tc>
      </w:tr>
      <w:tr>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AGMA2003D19Calc/Program.cs</w:t>
            </w:r>
          </w:p>
        </w:tc>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Entry point</w:t>
            </w:r>
          </w:p>
        </w:tc>
      </w:tr>
      <w:tr>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AGMA2003D19Calc/AGMA2003D19Calc.csproj</w:t>
            </w:r>
          </w:p>
        </w:tc>
        <w:tc>
          <w:tcPr>
            <w:tcW w:type="dxa" w:w="4800"/>
            <w:tcMar>
              <w:top w:type="dxa" w:w="60"/>
              <w:left w:type="dxa" w:w="100"/>
              <w:bottom w:type="dxa" w:w="60"/>
              <w:right w:type="dxa" w:w="100"/>
            </w:tcMar>
          </w:tcPr>
          <w:p>
            <w:r>
              <w:rPr>
                <w:rFonts w:ascii="Calibri" w:cs="Calibri" w:eastAsia="Calibri" w:hAnsi="Calibri"/>
                <w:b w:val="false"/>
                <w:bCs w:val="false"/>
                <w:color w:val="000000"/>
                <w:sz w:val="20"/>
                <w:szCs w:val="20"/>
              </w:rPr>
              <w:t xml:space="preserve">Project file (net8.0-windows, WinForms), added to AGMAStandards.sln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2026-09-18T20:56:46.785Z</dcterms:created>
  <dcterms:modified xsi:type="dcterms:W3CDTF">2026-09-18T20:56:46.786Z</dcterms:modified>
</cp:coreProperties>
</file>

<file path=docProps/custom.xml><?xml version="1.0" encoding="utf-8"?>
<Properties xmlns="http://schemas.openxmlformats.org/officeDocument/2006/custom-properties" xmlns:vt="http://schemas.openxmlformats.org/officeDocument/2006/docPropsVTypes"/>
</file>