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SUMMARY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borrowing records reveal that all members engaged equally with the library’s collection, as each borrowed the same number of books. This even distribution suggests a balanced pattern of usage where no member appears significantly more active than others. It also indicates that access to library resources is fairly shared, which can be seen as a positive reflection of inclusiveness and equal participation among members. Similarly, no single book emerged as the most borrowed, pointing to diverse preferences rather than a strong concentration on a particular title. The library’s collection spans across multiple genres, including fiction, dystopian novels, historical works, and fantasy titles, ensuring that members have access to a wide range of choices. Overall, the insights show that the library is supporting consistent engagement among members, maintaining an environment where resources are equally valued and used without dominance by specific books or individuals.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