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t>MEDIAN v0.5.0</w:t>
      </w:r>
    </w:p>
    <w:p>
      <w:pPr>
        <w:pStyle w:val="Title"/>
        <w:jc w:val="center"/>
        <w:pBdr>
          <w:bottom w:val="single" w:sz="10" w:space="1" w:color="2F6FC5"/>
        </w:pBdr>
      </w:pPr>
      <w:r>
        <w:t>Appendix Architecture</w:t>
        <w:br/>
        <w:t>and Content Plan</w:t>
      </w:r>
    </w:p>
    <w:p>
      <w:pPr>
        <w:pStyle w:val="Deck"/>
        <w:jc w:val="center"/>
      </w:pPr>
      <w:r>
        <w:t>Architecture Specification v1.0</w:t>
      </w:r>
    </w:p>
    <w:tbl>
      <w:tblPr>
        <w:tblW w:type="auto" w:w="0"/>
        <w:jc w:val="center"/>
        <w:tblLayout w:type="autofit"/>
        <w:tblLook w:firstColumn="1" w:firstRow="1" w:lastColumn="0" w:lastRow="0" w:noHBand="0" w:noVBand="1" w:val="04A0"/>
      </w:tblPr>
      <w:tblGrid>
        <w:gridCol w:w="3331"/>
        <w:gridCol w:w="3331"/>
        <w:gridCol w:w="3331"/>
      </w:tblGrid>
      <w:tr>
        <w:trPr>
          <w:cantSplit/>
        </w:trPr>
        <w:tc>
          <w:tcPr>
            <w:tcW w:type="dxa" w:w="3331"/>
            <w:shd w:fill="21384C"/>
            <w:tcMar>
              <w:top w:w="140" w:type="dxa"/>
              <w:start w:w="150" w:type="dxa"/>
              <w:bottom w:w="140" w:type="dxa"/>
              <w:end w:w="150" w:type="dxa"/>
            </w:tcMar>
            <w:vAlign w:val="center"/>
          </w:tcPr>
          <w:p>
            <w:pPr>
              <w:jc w:val="center"/>
            </w:pPr>
            <w:r>
              <w:rPr>
                <w:b/>
                <w:color w:val="FFFFFF"/>
                <w:sz w:val="16"/>
              </w:rPr>
              <w:t>STATUS</w:t>
              <w:br/>
            </w:r>
            <w:r>
              <w:rPr>
                <w:b/>
                <w:color w:val="FFFFFF"/>
                <w:sz w:val="22"/>
              </w:rPr>
              <w:t>COMPLETE</w:t>
            </w:r>
          </w:p>
        </w:tc>
        <w:tc>
          <w:tcPr>
            <w:tcW w:type="dxa" w:w="3331"/>
            <w:shd w:fill="E7EEF4"/>
            <w:tcMar>
              <w:top w:w="140" w:type="dxa"/>
              <w:start w:w="150" w:type="dxa"/>
              <w:bottom w:w="140" w:type="dxa"/>
              <w:end w:w="150" w:type="dxa"/>
            </w:tcMar>
            <w:vAlign w:val="center"/>
          </w:tcPr>
          <w:p>
            <w:pPr>
              <w:jc w:val="center"/>
            </w:pPr>
            <w:r>
              <w:rPr>
                <w:b/>
                <w:color w:val="7E8D98"/>
                <w:sz w:val="16"/>
              </w:rPr>
              <w:t>AUTHORITY</w:t>
              <w:br/>
            </w:r>
            <w:r>
              <w:rPr>
                <w:b/>
                <w:color w:val="21384C"/>
                <w:sz w:val="22"/>
              </w:rPr>
              <w:t>POST-BSA v0.5</w:t>
            </w:r>
          </w:p>
        </w:tc>
        <w:tc>
          <w:tcPr>
            <w:tcW w:type="dxa" w:w="3331"/>
            <w:shd w:fill="E7EEF4"/>
            <w:tcMar>
              <w:top w:w="140" w:type="dxa"/>
              <w:start w:w="150" w:type="dxa"/>
              <w:bottom w:w="140" w:type="dxa"/>
              <w:end w:w="150" w:type="dxa"/>
            </w:tcMar>
            <w:vAlign w:val="center"/>
          </w:tcPr>
          <w:p>
            <w:pPr>
              <w:jc w:val="center"/>
            </w:pPr>
            <w:r>
              <w:rPr>
                <w:b/>
                <w:color w:val="7E8D98"/>
                <w:sz w:val="16"/>
              </w:rPr>
              <w:t>DATE</w:t>
              <w:br/>
            </w:r>
            <w:r>
              <w:rPr>
                <w:b/>
                <w:color w:val="21384C"/>
                <w:sz w:val="22"/>
              </w:rPr>
              <w:t>31 JULY 2026</w:t>
            </w:r>
          </w:p>
        </w:tc>
      </w:tr>
    </w:tbl>
    <w:p>
      <w:pPr>
        <w:spacing w:before="320"/>
        <w:jc w:val="center"/>
      </w:pPr>
      <w:r>
        <w:rPr>
          <w:rFonts w:ascii="Georgia" w:hAnsi="Georgia"/>
          <w:i/>
          <w:sz w:val="22"/>
        </w:rPr>
        <w:t>This plan defines the editorial boundary, appendix sequence, content ownership, and publication status of reference material in the MEDIAN v0.5 Concept Sourcebook and technical GDD.</w:t>
      </w:r>
    </w:p>
    <w:tbl>
      <w:tblPr>
        <w:tblW w:type="auto" w:w="0"/>
        <w:jc w:val="center"/>
        <w:tblLook w:firstColumn="1" w:firstRow="1" w:lastColumn="0" w:lastRow="0" w:noHBand="0" w:noVBand="1" w:val="04A0"/>
      </w:tblPr>
      <w:tblGrid>
        <w:gridCol w:w="9994"/>
      </w:tblGrid>
      <w:tr>
        <w:trPr>
          <w:cantSplit/>
        </w:trPr>
        <w:tc>
          <w:tcPr>
            <w:tcW w:type="dxa" w:w="9994"/>
            <w:shd w:fill="DCEAEC"/>
            <w:tcMar>
              <w:top w:w="120" w:type="dxa"/>
              <w:start w:w="180" w:type="dxa"/>
              <w:bottom w:w="120" w:type="dxa"/>
              <w:end w:w="180" w:type="dxa"/>
            </w:tcMar>
          </w:tcPr>
          <w:p>
            <w:pPr>
              <w:pStyle w:val="Callout"/>
              <w:jc w:val="center"/>
            </w:pPr>
            <w:r>
              <w:t>The body explains the game. The appendices make the game findable.</w:t>
            </w:r>
          </w:p>
        </w:tc>
      </w:tr>
    </w:tbl>
    <w:p>
      <w:pPr>
        <w:pStyle w:val="SmallCaps"/>
        <w:jc w:val="center"/>
      </w:pPr>
      <w:r>
        <w:t>Appendices support canon; they do not become a second GDD.</w:t>
      </w:r>
    </w:p>
    <w:p>
      <w:r>
        <w:br w:type="page"/>
      </w:r>
    </w:p>
    <w:p>
      <w:pPr>
        <w:pStyle w:val="Heading1"/>
        <w:keepNext/>
      </w:pPr>
      <w:r>
        <w:t>1. Purpose, Scope, and Precedence</w:t>
      </w:r>
    </w:p>
    <w:p>
      <w:r>
        <w:t>Purpose. This document establishes the appendix architecture for MEDIAN v0.5 after completion of the v0.4.6 Baseline Survivorship Audit. It determines which dense reference material belongs in the published sourcebook, which material belongs only in an internal development edition, and which artifacts must remain outside the GDD entirely.</w:t>
      </w:r>
    </w:p>
    <w:p>
      <w:r>
        <w:t>Scope. The plan covers appendix policy, sequence, ownership, update rules, public-versus-internal treatment, and acceptance criteria. It does not author the full appendix contents, set final numerical tuning, or replace the system specifications that govern those contents.</w:t>
      </w:r>
    </w:p>
    <w:p>
      <w:r>
        <w:t>Precedence. The controlling v0.5 system specifications remain authoritative. An appendix may summarize, index, tabulate, or expose their rules for lookup; it may not silently revise them. Where an appendix conflicts with its owning specification, the specification leads until a deliberate canon ruling updates both.</w:t>
      </w:r>
    </w:p>
    <w:p>
      <w:pPr>
        <w:pStyle w:val="Heading2"/>
        <w:keepNext/>
      </w:pPr>
      <w:r>
        <w:t>1.1 Governing editorial distinction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21384C"/>
          </w:tcPr>
          <w:p>
            <w:r>
              <w:rPr>
                <w:b/>
                <w:color w:val="FFFFFF"/>
              </w:rPr>
              <w:t>Carrier</w:t>
            </w:r>
          </w:p>
        </w:tc>
        <w:tc>
          <w:tcPr>
            <w:tcW w:type="dxa" w:w="4997"/>
            <w:shd w:fill="21384C"/>
          </w:tcPr>
          <w:p>
            <w:r>
              <w:rPr>
                <w:b/>
                <w:color w:val="FFFFFF"/>
              </w:rPr>
              <w:t>Function</w:t>
            </w:r>
          </w:p>
        </w:tc>
      </w:tr>
      <w:tr>
        <w:trPr>
          <w:cantSplit/>
        </w:trPr>
        <w:tc>
          <w:tcPr>
            <w:tcW w:type="dxa" w:w="4997"/>
            <w:tcMar>
              <w:top w:w="100" w:type="dxa"/>
              <w:start w:w="120" w:type="dxa"/>
              <w:bottom w:w="100" w:type="dxa"/>
              <w:end w:w="120" w:type="dxa"/>
            </w:tcMar>
          </w:tcPr>
          <w:p>
            <w:pPr>
              <w:pStyle w:val="TableText"/>
            </w:pPr>
            <w:r>
              <w:t>Main body</w:t>
            </w:r>
          </w:p>
        </w:tc>
        <w:tc>
          <w:tcPr>
            <w:tcW w:type="dxa" w:w="4997"/>
            <w:tcMar>
              <w:top w:w="100" w:type="dxa"/>
              <w:start w:w="120" w:type="dxa"/>
              <w:bottom w:w="100" w:type="dxa"/>
              <w:end w:w="120" w:type="dxa"/>
            </w:tcMar>
          </w:tcPr>
          <w:p>
            <w:pPr>
              <w:pStyle w:val="TableText"/>
            </w:pPr>
            <w:r>
              <w:t>Introduces concepts in dependency order; explains why and how the game works; carries the reader through MEDIAN as a coherent designed world.</w:t>
            </w:r>
          </w:p>
        </w:tc>
      </w:tr>
      <w:tr>
        <w:trPr>
          <w:cantSplit/>
        </w:trPr>
        <w:tc>
          <w:tcPr>
            <w:tcW w:type="dxa" w:w="4997"/>
            <w:tcMar>
              <w:top w:w="100" w:type="dxa"/>
              <w:start w:w="120" w:type="dxa"/>
              <w:bottom w:w="100" w:type="dxa"/>
              <w:end w:w="120" w:type="dxa"/>
            </w:tcMar>
          </w:tcPr>
          <w:p>
            <w:pPr>
              <w:pStyle w:val="TableText"/>
            </w:pPr>
            <w:r>
              <w:t>Published appendix</w:t>
            </w:r>
          </w:p>
        </w:tc>
        <w:tc>
          <w:tcPr>
            <w:tcW w:type="dxa" w:w="4997"/>
            <w:tcMar>
              <w:top w:w="100" w:type="dxa"/>
              <w:start w:w="120" w:type="dxa"/>
              <w:bottom w:w="100" w:type="dxa"/>
              <w:end w:w="120" w:type="dxa"/>
            </w:tcMar>
          </w:tcPr>
          <w:p>
            <w:pPr>
              <w:pStyle w:val="TableText"/>
            </w:pPr>
            <w:r>
              <w:t>Provides canonical lookup material that is too dense, repetitive, tabular, generative, or operational for the main reading flow.</w:t>
            </w:r>
          </w:p>
        </w:tc>
      </w:tr>
      <w:tr>
        <w:trPr>
          <w:cantSplit/>
        </w:trPr>
        <w:tc>
          <w:tcPr>
            <w:tcW w:type="dxa" w:w="4997"/>
            <w:tcMar>
              <w:top w:w="100" w:type="dxa"/>
              <w:start w:w="120" w:type="dxa"/>
              <w:bottom w:w="100" w:type="dxa"/>
              <w:end w:w="120" w:type="dxa"/>
            </w:tcMar>
          </w:tcPr>
          <w:p>
            <w:pPr>
              <w:pStyle w:val="TableText"/>
            </w:pPr>
            <w:r>
              <w:t>Development appendix</w:t>
            </w:r>
          </w:p>
        </w:tc>
        <w:tc>
          <w:tcPr>
            <w:tcW w:type="dxa" w:w="4997"/>
            <w:tcMar>
              <w:top w:w="100" w:type="dxa"/>
              <w:start w:w="120" w:type="dxa"/>
              <w:bottom w:w="100" w:type="dxa"/>
              <w:end w:w="120" w:type="dxa"/>
            </w:tcMar>
          </w:tcPr>
          <w:p>
            <w:pPr>
              <w:pStyle w:val="TableText"/>
            </w:pPr>
            <w:r>
              <w:t>Supports authorship, tuning, encounter construction, manifestation, or implementation. Canonical only where explicitly marked.</w:t>
            </w:r>
          </w:p>
        </w:tc>
      </w:tr>
      <w:tr>
        <w:trPr>
          <w:cantSplit/>
        </w:trPr>
        <w:tc>
          <w:tcPr>
            <w:tcW w:type="dxa" w:w="4997"/>
            <w:tcMar>
              <w:top w:w="100" w:type="dxa"/>
              <w:start w:w="120" w:type="dxa"/>
              <w:bottom w:w="100" w:type="dxa"/>
              <w:end w:w="120" w:type="dxa"/>
            </w:tcMar>
          </w:tcPr>
          <w:p>
            <w:pPr>
              <w:pStyle w:val="TableText"/>
            </w:pPr>
            <w:r>
              <w:t>External production record</w:t>
            </w:r>
          </w:p>
        </w:tc>
        <w:tc>
          <w:tcPr>
            <w:tcW w:type="dxa" w:w="4997"/>
            <w:tcMar>
              <w:top w:w="100" w:type="dxa"/>
              <w:start w:w="120" w:type="dxa"/>
              <w:bottom w:w="100" w:type="dxa"/>
              <w:end w:w="120" w:type="dxa"/>
            </w:tcMar>
          </w:tcPr>
          <w:p>
            <w:pPr>
              <w:pStyle w:val="TableText"/>
            </w:pPr>
            <w:r>
              <w:t>Tracks provenance, migration, conflicts, QA, build state, and rejected options. Never presented as part of the game’s world-facing design.</w:t>
            </w:r>
          </w:p>
        </w:tc>
      </w:tr>
    </w:tbl>
    <w:p>
      <w:pPr>
        <w:pStyle w:val="Heading2"/>
        <w:keepNext/>
      </w:pPr>
      <w:r>
        <w:t>1.2 Appendix doctrine</w:t>
      </w:r>
    </w:p>
    <w:p>
      <w:pPr>
        <w:pStyle w:val="ListBullet"/>
      </w:pPr>
      <w:r>
        <w:t>One authoritative definition location. Each formal term, table, recipe, or contract has one controlling home. Other locations use compact reminders or cross-references.</w:t>
      </w:r>
    </w:p>
    <w:p>
      <w:pPr>
        <w:pStyle w:val="ListBullet"/>
      </w:pPr>
      <w:r>
        <w:t>No archaeology in the published appendices. Superseded v0.4.6 rules, rejected alternatives, and design debate remain in migration and decision records.</w:t>
      </w:r>
    </w:p>
    <w:p>
      <w:pPr>
        <w:pStyle w:val="ListBullet"/>
      </w:pPr>
      <w:r>
        <w:t>Positive canon only. Published appendices state what MEDIAN is. They do not narrate how a ruling was reached.</w:t>
      </w:r>
    </w:p>
    <w:p>
      <w:pPr>
        <w:pStyle w:val="ListBullet"/>
      </w:pPr>
      <w:r>
        <w:t>Lookup value is required. Material belongs in an appendix because a reader, author, or implementer will repeatedly need to find it—not merely because it was cut from a chapter.</w:t>
      </w:r>
    </w:p>
    <w:p>
      <w:pPr>
        <w:pStyle w:val="ListBullet"/>
      </w:pPr>
      <w:r>
        <w:t>Tuning must declare itself. Provisional numbers are visibly marked as tuning and cannot masquerade as settled world law.</w:t>
      </w:r>
    </w:p>
    <w:p>
      <w:pPr>
        <w:pStyle w:val="ListBullet"/>
      </w:pPr>
      <w:r>
        <w:t>Manifestation detail is routed by ownership. Screen, tabletop, book, and other manifestation rules belong under the Manifestations architecture unless they express a universal design invariant.</w:t>
      </w:r>
    </w:p>
    <w:p>
      <w:pPr>
        <w:pStyle w:val="Heading1"/>
        <w:pageBreakBefore/>
      </w:pPr>
      <w:r>
        <w:t>2. Recommended Published Appendix Suite</w:t>
      </w:r>
    </w:p>
    <w:p>
      <w:r>
        <w:t>The published sourcebook should use a compact suite of eight appendices. Their order moves from language and memory, through civic and material systems, into world reference and authored content. The sequence is not a second tutorial; it is a retrieval architecture.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21384C"/>
          </w:tcPr>
          <w:p>
            <w:r>
              <w:rPr>
                <w:b/>
                <w:color w:val="FFFFFF"/>
                <w:sz w:val="16"/>
              </w:rPr>
              <w:t>ID</w:t>
            </w:r>
          </w:p>
        </w:tc>
        <w:tc>
          <w:tcPr>
            <w:tcW w:type="dxa" w:w="2498"/>
            <w:shd w:fill="21384C"/>
          </w:tcPr>
          <w:p>
            <w:r>
              <w:rPr>
                <w:b/>
                <w:color w:val="FFFFFF"/>
                <w:sz w:val="16"/>
              </w:rPr>
              <w:t>Title</w:t>
            </w:r>
          </w:p>
        </w:tc>
        <w:tc>
          <w:tcPr>
            <w:tcW w:type="dxa" w:w="2498"/>
            <w:shd w:fill="21384C"/>
          </w:tcPr>
          <w:p>
            <w:r>
              <w:rPr>
                <w:b/>
                <w:color w:val="FFFFFF"/>
                <w:sz w:val="16"/>
              </w:rPr>
              <w:t>Published function</w:t>
            </w:r>
          </w:p>
        </w:tc>
        <w:tc>
          <w:tcPr>
            <w:tcW w:type="dxa" w:w="2498"/>
            <w:shd w:fill="21384C"/>
          </w:tcPr>
          <w:p>
            <w:r>
              <w:rPr>
                <w:b/>
                <w:color w:val="FFFFFF"/>
                <w:sz w:val="16"/>
              </w:rPr>
              <w:t>Primary owners</w:t>
            </w:r>
          </w:p>
        </w:tc>
      </w:tr>
      <w:tr>
        <w:trPr>
          <w:cantSplit/>
        </w:trPr>
        <w:tc>
          <w:tcPr>
            <w:tcW w:type="dxa" w:w="2498"/>
            <w:tcMar>
              <w:top w:w="80" w:type="dxa"/>
              <w:start w:w="90" w:type="dxa"/>
              <w:bottom w:w="80" w:type="dxa"/>
              <w:end w:w="90" w:type="dxa"/>
            </w:tcMar>
          </w:tcPr>
          <w:p>
            <w:pPr>
              <w:pStyle w:val="TableText"/>
            </w:pPr>
            <w:r>
              <w:t>Appendix A</w:t>
            </w:r>
          </w:p>
        </w:tc>
        <w:tc>
          <w:tcPr>
            <w:tcW w:type="dxa" w:w="2498"/>
            <w:tcMar>
              <w:top w:w="80" w:type="dxa"/>
              <w:start w:w="90" w:type="dxa"/>
              <w:bottom w:w="80" w:type="dxa"/>
              <w:end w:w="90" w:type="dxa"/>
            </w:tcMar>
          </w:tcPr>
          <w:p>
            <w:pPr>
              <w:pStyle w:val="TableText"/>
            </w:pPr>
            <w:r>
              <w:t>Lexicon and Canonical Usage</w:t>
            </w:r>
          </w:p>
        </w:tc>
        <w:tc>
          <w:tcPr>
            <w:tcW w:type="dxa" w:w="2498"/>
            <w:tcMar>
              <w:top w:w="80" w:type="dxa"/>
              <w:start w:w="90" w:type="dxa"/>
              <w:bottom w:w="80" w:type="dxa"/>
              <w:end w:w="90" w:type="dxa"/>
            </w:tcMar>
          </w:tcPr>
          <w:p>
            <w:pPr>
              <w:pStyle w:val="TableText"/>
            </w:pPr>
            <w:r>
              <w:t>Canonical definitions, capitalization, operator forms, aliases, species terminology, forbidden generic uses, and compact cross-references.</w:t>
            </w:r>
          </w:p>
        </w:tc>
        <w:tc>
          <w:tcPr>
            <w:tcW w:type="dxa" w:w="2498"/>
            <w:tcMar>
              <w:top w:w="80" w:type="dxa"/>
              <w:start w:w="90" w:type="dxa"/>
              <w:bottom w:w="80" w:type="dxa"/>
              <w:end w:w="90" w:type="dxa"/>
            </w:tcMar>
          </w:tcPr>
          <w:p>
            <w:pPr>
              <w:pStyle w:val="TableText"/>
            </w:pPr>
            <w:r>
              <w:t>Philosophical; Home; Away; Embodiment; FourSeven; BSA-12–22</w:t>
            </w:r>
          </w:p>
        </w:tc>
      </w:tr>
      <w:tr>
        <w:trPr>
          <w:cantSplit/>
        </w:trPr>
        <w:tc>
          <w:tcPr>
            <w:tcW w:type="dxa" w:w="2498"/>
            <w:tcMar>
              <w:top w:w="80" w:type="dxa"/>
              <w:start w:w="90" w:type="dxa"/>
              <w:bottom w:w="80" w:type="dxa"/>
              <w:end w:w="90" w:type="dxa"/>
            </w:tcMar>
          </w:tcPr>
          <w:p>
            <w:pPr>
              <w:pStyle w:val="TableText"/>
            </w:pPr>
            <w:r>
              <w:t>Appendix B</w:t>
            </w:r>
          </w:p>
        </w:tc>
        <w:tc>
          <w:tcPr>
            <w:tcW w:type="dxa" w:w="2498"/>
            <w:tcMar>
              <w:top w:w="80" w:type="dxa"/>
              <w:start w:w="90" w:type="dxa"/>
              <w:bottom w:w="80" w:type="dxa"/>
              <w:end w:w="90" w:type="dxa"/>
            </w:tcMar>
          </w:tcPr>
          <w:p>
            <w:pPr>
              <w:pStyle w:val="TableText"/>
            </w:pPr>
            <w:r>
              <w:t>Names, Place-Names, and Compound Forms</w:t>
            </w:r>
          </w:p>
        </w:tc>
        <w:tc>
          <w:tcPr>
            <w:tcW w:type="dxa" w:w="2498"/>
            <w:tcMar>
              <w:top w:w="80" w:type="dxa"/>
              <w:start w:w="90" w:type="dxa"/>
              <w:bottom w:w="80" w:type="dxa"/>
              <w:end w:w="90" w:type="dxa"/>
            </w:tcMar>
          </w:tcPr>
          <w:p>
            <w:pPr>
              <w:pStyle w:val="TableText"/>
            </w:pPr>
            <w:r>
              <w:t>Given-name policy, After-names, Colony naming, Reach and Place naming grammar, component banks, hyphen-compound style, human-world vocabulary, and examples.</w:t>
            </w:r>
          </w:p>
        </w:tc>
        <w:tc>
          <w:tcPr>
            <w:tcW w:type="dxa" w:w="2498"/>
            <w:tcMar>
              <w:top w:w="80" w:type="dxa"/>
              <w:start w:w="90" w:type="dxa"/>
              <w:bottom w:w="80" w:type="dxa"/>
              <w:end w:w="90" w:type="dxa"/>
            </w:tcMar>
          </w:tcPr>
          <w:p>
            <w:pPr>
              <w:pStyle w:val="TableText"/>
            </w:pPr>
            <w:r>
              <w:t>Culture and Memory rulings; GDD v0.4.6 carry-forward where retained</w:t>
            </w:r>
          </w:p>
        </w:tc>
      </w:tr>
      <w:tr>
        <w:trPr>
          <w:cantSplit/>
        </w:trPr>
        <w:tc>
          <w:tcPr>
            <w:tcW w:type="dxa" w:w="2498"/>
            <w:tcMar>
              <w:top w:w="80" w:type="dxa"/>
              <w:start w:w="90" w:type="dxa"/>
              <w:bottom w:w="80" w:type="dxa"/>
              <w:end w:w="90" w:type="dxa"/>
            </w:tcMar>
          </w:tcPr>
          <w:p>
            <w:pPr>
              <w:pStyle w:val="TableText"/>
            </w:pPr>
            <w:r>
              <w:t>Appendix C</w:t>
            </w:r>
          </w:p>
        </w:tc>
        <w:tc>
          <w:tcPr>
            <w:tcW w:type="dxa" w:w="2498"/>
            <w:tcMar>
              <w:top w:w="80" w:type="dxa"/>
              <w:start w:w="90" w:type="dxa"/>
              <w:bottom w:w="80" w:type="dxa"/>
              <w:end w:w="90" w:type="dxa"/>
            </w:tcMar>
          </w:tcPr>
          <w:p>
            <w:pPr>
              <w:pStyle w:val="TableText"/>
            </w:pPr>
            <w:r>
              <w:t>Records, Tales, Chronicle, and Memory Schemas</w:t>
            </w:r>
          </w:p>
        </w:tc>
        <w:tc>
          <w:tcPr>
            <w:tcW w:type="dxa" w:w="2498"/>
            <w:tcMar>
              <w:top w:w="80" w:type="dxa"/>
              <w:start w:w="90" w:type="dxa"/>
              <w:bottom w:w="80" w:type="dxa"/>
              <w:end w:w="90" w:type="dxa"/>
            </w:tcMar>
          </w:tcPr>
          <w:p>
            <w:pPr>
              <w:pStyle w:val="TableText"/>
            </w:pPr>
            <w:r>
              <w:t>Citizen Record, Colony Record, Tale, Prior-Life Tale, Chronicle thresholds, Item Tales, memorial continuity, and Campaign Memory relationships.</w:t>
            </w:r>
          </w:p>
        </w:tc>
        <w:tc>
          <w:tcPr>
            <w:tcW w:type="dxa" w:w="2498"/>
            <w:tcMar>
              <w:top w:w="80" w:type="dxa"/>
              <w:start w:w="90" w:type="dxa"/>
              <w:bottom w:w="80" w:type="dxa"/>
              <w:end w:w="90" w:type="dxa"/>
            </w:tcMar>
          </w:tcPr>
          <w:p>
            <w:pPr>
              <w:pStyle w:val="TableText"/>
            </w:pPr>
            <w:r>
              <w:t>BSA-03–05; Guest v2; Personal Items; Population</w:t>
            </w:r>
          </w:p>
        </w:tc>
      </w:tr>
      <w:tr>
        <w:trPr>
          <w:cantSplit/>
        </w:trPr>
        <w:tc>
          <w:tcPr>
            <w:tcW w:type="dxa" w:w="2498"/>
            <w:tcMar>
              <w:top w:w="80" w:type="dxa"/>
              <w:start w:w="90" w:type="dxa"/>
              <w:bottom w:w="80" w:type="dxa"/>
              <w:end w:w="90" w:type="dxa"/>
            </w:tcMar>
          </w:tcPr>
          <w:p>
            <w:pPr>
              <w:pStyle w:val="TableText"/>
            </w:pPr>
            <w:r>
              <w:t>Appendix D</w:t>
            </w:r>
          </w:p>
        </w:tc>
        <w:tc>
          <w:tcPr>
            <w:tcW w:type="dxa" w:w="2498"/>
            <w:tcMar>
              <w:top w:w="80" w:type="dxa"/>
              <w:start w:w="90" w:type="dxa"/>
              <w:bottom w:w="80" w:type="dxa"/>
              <w:end w:w="90" w:type="dxa"/>
            </w:tcMar>
          </w:tcPr>
          <w:p>
            <w:pPr>
              <w:pStyle w:val="TableText"/>
            </w:pPr>
            <w:r>
              <w:t>Places, Practices, Projects, and Tier Eligibility</w:t>
            </w:r>
          </w:p>
        </w:tc>
        <w:tc>
          <w:tcPr>
            <w:tcW w:type="dxa" w:w="2498"/>
            <w:tcMar>
              <w:top w:w="80" w:type="dxa"/>
              <w:start w:w="90" w:type="dxa"/>
              <w:bottom w:w="80" w:type="dxa"/>
              <w:end w:w="90" w:type="dxa"/>
            </w:tcMar>
          </w:tcPr>
          <w:p>
            <w:pPr>
              <w:pStyle w:val="TableText"/>
            </w:pPr>
            <w:r>
              <w:t>Reference catalogue of Place families, active Practices, Project permissions, Tier eligibility, defining civic Projects, and species-spatial expression.</w:t>
            </w:r>
          </w:p>
        </w:tc>
        <w:tc>
          <w:tcPr>
            <w:tcW w:type="dxa" w:w="2498"/>
            <w:tcMar>
              <w:top w:w="80" w:type="dxa"/>
              <w:start w:w="90" w:type="dxa"/>
              <w:bottom w:w="80" w:type="dxa"/>
              <w:end w:w="90" w:type="dxa"/>
            </w:tcMar>
          </w:tcPr>
          <w:p>
            <w:pPr>
              <w:pStyle w:val="TableText"/>
            </w:pPr>
            <w:r>
              <w:t>Home; Population &amp; Tiers; BSA-09; BSA-12–22</w:t>
            </w:r>
          </w:p>
        </w:tc>
      </w:tr>
      <w:tr>
        <w:trPr>
          <w:cantSplit/>
        </w:trPr>
        <w:tc>
          <w:tcPr>
            <w:tcW w:type="dxa" w:w="2498"/>
            <w:tcMar>
              <w:top w:w="80" w:type="dxa"/>
              <w:start w:w="90" w:type="dxa"/>
              <w:bottom w:w="80" w:type="dxa"/>
              <w:end w:w="90" w:type="dxa"/>
            </w:tcMar>
          </w:tcPr>
          <w:p>
            <w:pPr>
              <w:pStyle w:val="TableText"/>
            </w:pPr>
            <w:r>
              <w:t>Appendix E</w:t>
            </w:r>
          </w:p>
        </w:tc>
        <w:tc>
          <w:tcPr>
            <w:tcW w:type="dxa" w:w="2498"/>
            <w:tcMar>
              <w:top w:w="80" w:type="dxa"/>
              <w:start w:w="90" w:type="dxa"/>
              <w:bottom w:w="80" w:type="dxa"/>
              <w:end w:w="90" w:type="dxa"/>
            </w:tcMar>
          </w:tcPr>
          <w:p>
            <w:pPr>
              <w:pStyle w:val="TableText"/>
            </w:pPr>
            <w:r>
              <w:t>Resources, Carry, Supplies, Tools, and Body Units</w:t>
            </w:r>
          </w:p>
        </w:tc>
        <w:tc>
          <w:tcPr>
            <w:tcW w:type="dxa" w:w="2498"/>
            <w:tcMar>
              <w:top w:w="80" w:type="dxa"/>
              <w:start w:w="90" w:type="dxa"/>
              <w:bottom w:w="80" w:type="dxa"/>
              <w:end w:w="90" w:type="dxa"/>
            </w:tcMar>
          </w:tcPr>
          <w:p>
            <w:pPr>
              <w:pStyle w:val="TableText"/>
            </w:pPr>
            <w:r>
              <w:t>Four stock types, Sustenance rules, body-unit conversion, Carry, party scale, Supply classes and recipes, Tool classes, Special Artifacts, and Place of Pride reference.</w:t>
            </w:r>
          </w:p>
        </w:tc>
        <w:tc>
          <w:tcPr>
            <w:tcW w:type="dxa" w:w="2498"/>
            <w:tcMar>
              <w:top w:w="80" w:type="dxa"/>
              <w:start w:w="90" w:type="dxa"/>
              <w:bottom w:w="80" w:type="dxa"/>
              <w:end w:w="90" w:type="dxa"/>
            </w:tcMar>
          </w:tcPr>
          <w:p>
            <w:pPr>
              <w:pStyle w:val="TableText"/>
            </w:pPr>
            <w:r>
              <w:t>BSA-06–11; Personal Items; Guest v2</w:t>
            </w:r>
          </w:p>
        </w:tc>
      </w:tr>
      <w:tr>
        <w:trPr>
          <w:cantSplit/>
        </w:trPr>
        <w:tc>
          <w:tcPr>
            <w:tcW w:type="dxa" w:w="2498"/>
            <w:tcMar>
              <w:top w:w="80" w:type="dxa"/>
              <w:start w:w="90" w:type="dxa"/>
              <w:bottom w:w="80" w:type="dxa"/>
              <w:end w:w="90" w:type="dxa"/>
            </w:tcMar>
          </w:tcPr>
          <w:p>
            <w:pPr>
              <w:pStyle w:val="TableText"/>
            </w:pPr>
            <w:r>
              <w:t>Appendix F</w:t>
            </w:r>
          </w:p>
        </w:tc>
        <w:tc>
          <w:tcPr>
            <w:tcW w:type="dxa" w:w="2498"/>
            <w:tcMar>
              <w:top w:w="80" w:type="dxa"/>
              <w:start w:w="90" w:type="dxa"/>
              <w:bottom w:w="80" w:type="dxa"/>
              <w:end w:w="90" w:type="dxa"/>
            </w:tcMar>
          </w:tcPr>
          <w:p>
            <w:pPr>
              <w:pStyle w:val="TableText"/>
            </w:pPr>
            <w:r>
              <w:t>Corridor, Day Band, Traffic, and Environmental Reference</w:t>
            </w:r>
          </w:p>
        </w:tc>
        <w:tc>
          <w:tcPr>
            <w:tcW w:type="dxa" w:w="2498"/>
            <w:tcMar>
              <w:top w:w="80" w:type="dxa"/>
              <w:start w:w="90" w:type="dxa"/>
              <w:bottom w:w="80" w:type="dxa"/>
              <w:end w:w="90" w:type="dxa"/>
            </w:tcMar>
          </w:tcPr>
          <w:p>
            <w:pPr>
              <w:pStyle w:val="TableText"/>
            </w:pPr>
            <w:r>
              <w:t>World cross-section, corridor terms, Reaches and Margins, Day clock, Time Marks, Crossing conditions, season/weather doctrine, Node Conditions, and route-state terminology.</w:t>
            </w:r>
          </w:p>
        </w:tc>
        <w:tc>
          <w:tcPr>
            <w:tcW w:type="dxa" w:w="2498"/>
            <w:tcMar>
              <w:top w:w="80" w:type="dxa"/>
              <w:start w:w="90" w:type="dxa"/>
              <w:bottom w:w="80" w:type="dxa"/>
              <w:end w:w="90" w:type="dxa"/>
            </w:tcMar>
          </w:tcPr>
          <w:p>
            <w:pPr>
              <w:pStyle w:val="TableText"/>
            </w:pPr>
            <w:r>
              <w:t>Away; Ecology; FourSeven; BSA-12–22; future Crossing spec</w:t>
            </w:r>
          </w:p>
        </w:tc>
      </w:tr>
      <w:tr>
        <w:trPr>
          <w:cantSplit/>
        </w:trPr>
        <w:tc>
          <w:tcPr>
            <w:tcW w:type="dxa" w:w="2498"/>
            <w:tcMar>
              <w:top w:w="80" w:type="dxa"/>
              <w:start w:w="90" w:type="dxa"/>
              <w:bottom w:w="80" w:type="dxa"/>
              <w:end w:w="90" w:type="dxa"/>
            </w:tcMar>
          </w:tcPr>
          <w:p>
            <w:pPr>
              <w:pStyle w:val="TableText"/>
            </w:pPr>
            <w:r>
              <w:t>Appendix G</w:t>
            </w:r>
          </w:p>
        </w:tc>
        <w:tc>
          <w:tcPr>
            <w:tcW w:type="dxa" w:w="2498"/>
            <w:tcMar>
              <w:top w:w="80" w:type="dxa"/>
              <w:start w:w="90" w:type="dxa"/>
              <w:bottom w:w="80" w:type="dxa"/>
              <w:end w:w="90" w:type="dxa"/>
            </w:tcMar>
          </w:tcPr>
          <w:p>
            <w:pPr>
              <w:pStyle w:val="TableText"/>
            </w:pPr>
            <w:r>
              <w:t>Guest Citizen Contracts and Species Reference</w:t>
            </w:r>
          </w:p>
        </w:tc>
        <w:tc>
          <w:tcPr>
            <w:tcW w:type="dxa" w:w="2498"/>
            <w:tcMar>
              <w:top w:w="80" w:type="dxa"/>
              <w:start w:w="90" w:type="dxa"/>
              <w:bottom w:w="80" w:type="dxa"/>
              <w:end w:w="90" w:type="dxa"/>
            </w:tcMar>
          </w:tcPr>
          <w:p>
            <w:pPr>
              <w:pStyle w:val="TableText"/>
            </w:pPr>
            <w:r>
              <w:t>Guest categories, Residence and Expedition participation, signature permissions, bodily requirements, hospitality sequence, and authoring limits.</w:t>
            </w:r>
          </w:p>
        </w:tc>
        <w:tc>
          <w:tcPr>
            <w:tcW w:type="dxa" w:w="2498"/>
            <w:tcMar>
              <w:top w:w="80" w:type="dxa"/>
              <w:start w:w="90" w:type="dxa"/>
              <w:bottom w:w="80" w:type="dxa"/>
              <w:end w:w="90" w:type="dxa"/>
            </w:tcMar>
          </w:tcPr>
          <w:p>
            <w:pPr>
              <w:pStyle w:val="TableText"/>
            </w:pPr>
            <w:r>
              <w:t>Guest Citizen Specification v2.0; Population; Personal Items</w:t>
            </w:r>
          </w:p>
        </w:tc>
      </w:tr>
      <w:tr>
        <w:trPr>
          <w:cantSplit/>
        </w:trPr>
        <w:tc>
          <w:tcPr>
            <w:tcW w:type="dxa" w:w="2498"/>
            <w:tcMar>
              <w:top w:w="80" w:type="dxa"/>
              <w:start w:w="90" w:type="dxa"/>
              <w:bottom w:w="80" w:type="dxa"/>
              <w:end w:w="90" w:type="dxa"/>
            </w:tcMar>
          </w:tcPr>
          <w:p>
            <w:pPr>
              <w:pStyle w:val="TableText"/>
            </w:pPr>
            <w:r>
              <w:t>Appendix H</w:t>
            </w:r>
          </w:p>
        </w:tc>
        <w:tc>
          <w:tcPr>
            <w:tcW w:type="dxa" w:w="2498"/>
            <w:tcMar>
              <w:top w:w="80" w:type="dxa"/>
              <w:start w:w="90" w:type="dxa"/>
              <w:bottom w:w="80" w:type="dxa"/>
              <w:end w:w="90" w:type="dxa"/>
            </w:tcMar>
          </w:tcPr>
          <w:p>
            <w:pPr>
              <w:pStyle w:val="TableText"/>
            </w:pPr>
            <w:r>
              <w:t>Authoring Tables and Content Banks</w:t>
            </w:r>
          </w:p>
        </w:tc>
        <w:tc>
          <w:tcPr>
            <w:tcW w:type="dxa" w:w="2498"/>
            <w:tcMar>
              <w:top w:w="80" w:type="dxa"/>
              <w:start w:w="90" w:type="dxa"/>
              <w:bottom w:w="80" w:type="dxa"/>
              <w:end w:w="90" w:type="dxa"/>
            </w:tcMar>
          </w:tcPr>
          <w:p>
            <w:pPr>
              <w:pStyle w:val="TableText"/>
            </w:pPr>
            <w:r>
              <w:t>Approved expandable registries: Node Conditions, advanced Practices, MEET prompts, environmental variations, naming banks, item manifestations, and other content-authoring aids.</w:t>
            </w:r>
          </w:p>
        </w:tc>
        <w:tc>
          <w:tcPr>
            <w:tcW w:type="dxa" w:w="2498"/>
            <w:tcMar>
              <w:top w:w="80" w:type="dxa"/>
              <w:start w:w="90" w:type="dxa"/>
              <w:bottom w:w="80" w:type="dxa"/>
              <w:end w:w="90" w:type="dxa"/>
            </w:tcMar>
          </w:tcPr>
          <w:p>
            <w:pPr>
              <w:pStyle w:val="TableText"/>
            </w:pPr>
            <w:r>
              <w:t>Owning system specifications and later content passes</w:t>
            </w:r>
          </w:p>
        </w:tc>
      </w:tr>
    </w:tbl>
    <w:p>
      <w:pPr>
        <w:pStyle w:val="Heading2"/>
        <w:keepNext/>
      </w:pPr>
      <w:r>
        <w:t>Appendix A — Lexicon and Canonical Usage</w:t>
      </w:r>
    </w:p>
    <w:p>
      <w:r>
        <w:t>Canonical definitions, capitalization, operator forms, aliases, species terminology, forbidden generic uses, and compact cross-references.</w:t>
      </w:r>
    </w:p>
    <w:p>
      <w:r>
        <w:rPr>
          <w:b/>
        </w:rPr>
        <w:t xml:space="preserve">Primary ownership: </w:t>
      </w:r>
      <w:r>
        <w:t>Philosophical; Home; Away; Embodiment; FourSeven; BSA-12–22.</w:t>
      </w:r>
    </w:p>
    <w:p>
      <w:pPr>
        <w:pStyle w:val="ListBullet"/>
      </w:pPr>
      <w:r>
        <w:t>Canonical term, definition, capitalization, plural, aliases, and first-definition location.</w:t>
      </w:r>
    </w:p>
    <w:p>
      <w:pPr>
        <w:pStyle w:val="ListBullet"/>
      </w:pPr>
      <w:r>
        <w:t>ALL CAPS restricted to Register and species operators; Initial Caps for defined systems, subjects, objects, states, and categories.</w:t>
      </w:r>
    </w:p>
    <w:p>
      <w:pPr>
        <w:pStyle w:val="ListBullet"/>
      </w:pPr>
      <w:r>
        <w:t>Terminology that is manifestation-specific, internal-only, deprecated, or forbidden in generic use.</w:t>
      </w:r>
    </w:p>
    <w:p>
      <w:pPr>
        <w:pStyle w:val="ListBullet"/>
      </w:pPr>
      <w:r>
        <w:t>No persuasive essays, design history, or duplicate full definitions.</w:t>
      </w:r>
    </w:p>
    <w:p>
      <w:pPr>
        <w:pStyle w:val="Heading2"/>
        <w:keepNext/>
      </w:pPr>
      <w:r>
        <w:t>Appendix B — Names, Place-Names, and Compound Forms</w:t>
      </w:r>
    </w:p>
    <w:p>
      <w:r>
        <w:t>Given-name policy, After-names, Colony naming, Reach and Place naming grammar, component banks, hyphen-compound style, human-world vocabulary, and examples.</w:t>
      </w:r>
    </w:p>
    <w:p>
      <w:r>
        <w:rPr>
          <w:b/>
        </w:rPr>
        <w:t xml:space="preserve">Primary ownership: </w:t>
      </w:r>
      <w:r>
        <w:t>Culture and Memory rulings; GDD v0.4.6 carry-forward where retained.</w:t>
      </w:r>
    </w:p>
    <w:p>
      <w:pPr>
        <w:pStyle w:val="ListBullet"/>
      </w:pPr>
      <w:r>
        <w:t>One player-authored Colony name policy and any retained constraints on renaming or free text.</w:t>
      </w:r>
    </w:p>
    <w:p>
      <w:pPr>
        <w:pStyle w:val="ListBullet"/>
      </w:pPr>
      <w:r>
        <w:t>Given names, After-name criteria, and relationships between public identity and mechanical effect.</w:t>
      </w:r>
    </w:p>
    <w:p>
      <w:pPr>
        <w:pStyle w:val="ListBullet"/>
      </w:pPr>
      <w:r>
        <w:t>Generated names for Reaches, Margins, Places, Nodes, and historical sites.</w:t>
      </w:r>
    </w:p>
    <w:p>
      <w:pPr>
        <w:pStyle w:val="ListBullet"/>
      </w:pPr>
      <w:r>
        <w:t>Curated component banks and compound-form rules as productive language tools, not exhaustive world dictionaries.</w:t>
      </w:r>
    </w:p>
    <w:p>
      <w:pPr>
        <w:pStyle w:val="Heading2"/>
        <w:keepNext/>
      </w:pPr>
      <w:r>
        <w:t>Appendix C — Records, Tales, Chronicle, and Memory Schemas</w:t>
      </w:r>
    </w:p>
    <w:p>
      <w:r>
        <w:t>Citizen Record, Colony Record, Tale, Prior-Life Tale, Chronicle thresholds, Item Tales, memorial continuity, and Campaign Memory relationships.</w:t>
      </w:r>
    </w:p>
    <w:p>
      <w:r>
        <w:rPr>
          <w:b/>
        </w:rPr>
        <w:t xml:space="preserve">Primary ownership: </w:t>
      </w:r>
      <w:r>
        <w:t>BSA-03–05; Guest v2; Personal Items; Population.</w:t>
      </w:r>
    </w:p>
    <w:p>
      <w:pPr>
        <w:pStyle w:val="ListBullet"/>
      </w:pPr>
      <w:r>
        <w:t>Field-level schemas for Citizen Record and Colony Record.</w:t>
      </w:r>
    </w:p>
    <w:p>
      <w:pPr>
        <w:pStyle w:val="ListBullet"/>
      </w:pPr>
      <w:r>
        <w:t>Chronicle threshold: momentous civic history only.</w:t>
      </w:r>
    </w:p>
    <w:p>
      <w:pPr>
        <w:pStyle w:val="ListBullet"/>
      </w:pPr>
      <w:r>
        <w:t>Tale threshold: comprehensive but concise personal history, including Expedition summaries and state-grounded interstitial life.</w:t>
      </w:r>
    </w:p>
    <w:p>
      <w:pPr>
        <w:pStyle w:val="ListBullet"/>
      </w:pPr>
      <w:r>
        <w:t>Prior-Life Tale requirements for arrivals; Item Tale thresholds for Tools, Keepsakes, and Artifacts; memorial and death continuity.</w:t>
      </w:r>
    </w:p>
    <w:p>
      <w:pPr>
        <w:pStyle w:val="Heading2"/>
        <w:keepNext/>
      </w:pPr>
      <w:r>
        <w:t>Appendix D — Places, Practices, Projects, and Tier Eligibility</w:t>
      </w:r>
    </w:p>
    <w:p>
      <w:r>
        <w:t>Reference catalogue of Place families, active Practices, Project permissions, Tier eligibility, defining civic Projects, and species-spatial expression.</w:t>
      </w:r>
    </w:p>
    <w:p>
      <w:r>
        <w:rPr>
          <w:b/>
        </w:rPr>
        <w:t xml:space="preserve">Primary ownership: </w:t>
      </w:r>
      <w:r>
        <w:t>Home; Population &amp; Tiers; BSA-09; BSA-12–22.</w:t>
      </w:r>
    </w:p>
    <w:p>
      <w:pPr>
        <w:pStyle w:val="ListBullet"/>
      </w:pPr>
      <w:r>
        <w:t>Place family, supported Practice, related Role, species-spatial requirement, Tier eligibility, and known Project pathways.</w:t>
      </w:r>
    </w:p>
    <w:p>
      <w:pPr>
        <w:pStyle w:val="ListBullet"/>
      </w:pPr>
      <w:r>
        <w:t>Clear distinction among Place, Practice, Project, and Permission.</w:t>
      </w:r>
    </w:p>
    <w:p>
      <w:pPr>
        <w:pStyle w:val="ListBullet"/>
      </w:pPr>
      <w:r>
        <w:t>Advanced Practices become eligible through Tier and become known through authored MEET; particular Places change only through Projects.</w:t>
      </w:r>
    </w:p>
    <w:p>
      <w:pPr>
        <w:pStyle w:val="ListBullet"/>
      </w:pPr>
      <w:r>
        <w:t>Tier proofs summarized for lookup without replacing the Population &amp; Tiers specification.</w:t>
      </w:r>
    </w:p>
    <w:p>
      <w:pPr>
        <w:pStyle w:val="Heading2"/>
        <w:keepNext/>
      </w:pPr>
      <w:r>
        <w:t>Appendix E — Resources, Carry, Supplies, Tools, and Body Units</w:t>
      </w:r>
    </w:p>
    <w:p>
      <w:r>
        <w:t>Four stock types, Sustenance rules, body-unit conversion, Carry, party scale, Supply classes and recipes, Tool classes, Special Artifacts, and Place of Pride reference.</w:t>
      </w:r>
    </w:p>
    <w:p>
      <w:r>
        <w:rPr>
          <w:b/>
        </w:rPr>
        <w:t xml:space="preserve">Primary ownership: </w:t>
      </w:r>
      <w:r>
        <w:t>BSA-06–11; Personal Items; Guest v2.</w:t>
      </w:r>
    </w:p>
    <w:p>
      <w:pPr>
        <w:pStyle w:val="ListBullet"/>
      </w:pPr>
      <w:r>
        <w:t>Perishable Sustenance, Durable Sustenance, Flexible Scrap, and Rigid Scrap.</w:t>
      </w:r>
    </w:p>
    <w:p>
      <w:pPr>
        <w:pStyle w:val="ListBullet"/>
      </w:pPr>
      <w:r>
        <w:t>Rabbit/Squirrel/Mouse body-unit and Carry reference, with Guest differences ignored where the Core Species governs party movement.</w:t>
      </w:r>
    </w:p>
    <w:p>
      <w:pPr>
        <w:pStyle w:val="ListBullet"/>
      </w:pPr>
      <w:r>
        <w:t>Binding, Remedy, Distraction, and Device Supply classes, final recipes, and contextual-use doctrine.</w:t>
      </w:r>
    </w:p>
    <w:p>
      <w:pPr>
        <w:pStyle w:val="ListBullet"/>
      </w:pPr>
      <w:r>
        <w:t>Carry, Reach, Cut, Brace, and Render Tool classes; Special Artifact and Place of Pride reference.</w:t>
      </w:r>
    </w:p>
    <w:p>
      <w:pPr>
        <w:pStyle w:val="Heading2"/>
        <w:keepNext/>
      </w:pPr>
      <w:r>
        <w:t>Appendix F — Corridor, Day Band, Traffic, and Environmental Reference</w:t>
      </w:r>
    </w:p>
    <w:p>
      <w:r>
        <w:t>World cross-section, corridor terms, Reaches and Margins, Day clock, Time Marks, Crossing conditions, season/weather doctrine, Node Conditions, and route-state terminology.</w:t>
      </w:r>
    </w:p>
    <w:p>
      <w:r>
        <w:rPr>
          <w:b/>
        </w:rPr>
        <w:t xml:space="preserve">Primary ownership: </w:t>
      </w:r>
      <w:r>
        <w:t>Away; Ecology; FourSeven; BSA-12–22; future Crossing spec.</w:t>
      </w:r>
    </w:p>
    <w:p>
      <w:pPr>
        <w:pStyle w:val="ListBullet"/>
      </w:pPr>
      <w:r>
        <w:t>Canonical corridor ontology, including Home Median, Highway, Margins, Reaches, Nodes, routes, crossings, outposts, and Metropolis relationship.</w:t>
      </w:r>
    </w:p>
    <w:p>
      <w:pPr>
        <w:pStyle w:val="ListBullet"/>
      </w:pPr>
      <w:r>
        <w:t>DAWN → Morning → Midday → Evening → Night → DAWN; Home Commitments and Away Time Marks.</w:t>
      </w:r>
    </w:p>
    <w:p>
      <w:pPr>
        <w:pStyle w:val="ListBullet"/>
      </w:pPr>
      <w:r>
        <w:t>Morning Rush, Midday Window, Evening Rush, and Night Velocity as CROSSING conditions only.</w:t>
      </w:r>
    </w:p>
    <w:p>
      <w:pPr>
        <w:pStyle w:val="ListBullet"/>
      </w:pPr>
      <w:r>
        <w:t>Node Conditions and backplate rendering by Day Band, season, weather, relationship, prior choice, and material state.</w:t>
      </w:r>
    </w:p>
    <w:p>
      <w:pPr>
        <w:pStyle w:val="Heading2"/>
        <w:keepNext/>
      </w:pPr>
      <w:r>
        <w:t>Appendix G — Guest Citizen Contracts and Species Reference</w:t>
      </w:r>
    </w:p>
    <w:p>
      <w:r>
        <w:t>Guest categories, Residence and Expedition participation, signature permissions, bodily requirements, hospitality sequence, and authoring limits.</w:t>
      </w:r>
    </w:p>
    <w:p>
      <w:r>
        <w:rPr>
          <w:b/>
        </w:rPr>
        <w:t xml:space="preserve">Primary ownership: </w:t>
      </w:r>
      <w:r>
        <w:t>Guest Citizen Specification v2.0; Population; Personal Items.</w:t>
      </w:r>
    </w:p>
    <w:p>
      <w:pPr>
        <w:pStyle w:val="ListBullet"/>
      </w:pPr>
      <w:r>
        <w:t>Equal Citizen status; Guest as origin category, not social rank.</w:t>
      </w:r>
    </w:p>
    <w:p>
      <w:pPr>
        <w:pStyle w:val="ListBullet"/>
      </w:pPr>
      <w:r>
        <w:t>Resident Guest and Expedition Guest distinctions, Residence requirements, Role Capacity, and Away participation.</w:t>
      </w:r>
    </w:p>
    <w:p>
      <w:pPr>
        <w:pStyle w:val="ListBullet"/>
      </w:pPr>
      <w:r>
        <w:t>Signature-permission framework as situated capability rather than bonus collection.</w:t>
      </w:r>
    </w:p>
    <w:p>
      <w:pPr>
        <w:pStyle w:val="ListBullet"/>
      </w:pPr>
      <w:r>
        <w:t>Guest content never becomes a requirement for Tier advancement or a mandatory collection track.</w:t>
      </w:r>
    </w:p>
    <w:p>
      <w:pPr>
        <w:pStyle w:val="Heading2"/>
        <w:keepNext/>
      </w:pPr>
      <w:r>
        <w:t>Appendix H — Authoring Tables and Content Banks</w:t>
      </w:r>
    </w:p>
    <w:p>
      <w:r>
        <w:t>Approved expandable registries: Node Conditions, advanced Practices, MEET prompts, environmental variations, naming banks, item manifestations, and other content-authoring aids.</w:t>
      </w:r>
    </w:p>
    <w:p>
      <w:r>
        <w:rPr>
          <w:b/>
        </w:rPr>
        <w:t xml:space="preserve">Primary ownership: </w:t>
      </w:r>
      <w:r>
        <w:t>Owning system specifications and later content passes.</w:t>
      </w:r>
    </w:p>
    <w:p>
      <w:pPr>
        <w:pStyle w:val="ListBullet"/>
      </w:pPr>
      <w:r>
        <w:t>Content banks are controlled, extensible, and owned by a system; they are not free-floating idea dumps.</w:t>
      </w:r>
    </w:p>
    <w:p>
      <w:pPr>
        <w:pStyle w:val="ListBullet"/>
      </w:pPr>
      <w:r>
        <w:t>Every entry declares status: canonical, provisional, example, tuning, or retired.</w:t>
      </w:r>
    </w:p>
    <w:p>
      <w:pPr>
        <w:pStyle w:val="ListBullet"/>
      </w:pPr>
      <w:r>
        <w:t>Registries may include Node Conditions, Day-Band variants, advanced Practices, Tool manifestations, Keepsake riders, naming banks, and MEET authoring prompts.</w:t>
      </w:r>
    </w:p>
    <w:p>
      <w:pPr>
        <w:pStyle w:val="ListBullet"/>
      </w:pPr>
      <w:r>
        <w:t>The appendix may be omitted or abbreviated in a public art-book edition while remaining present in the complete design edition.</w:t>
      </w:r>
    </w:p>
    <w:p>
      <w:pPr>
        <w:pStyle w:val="Heading1"/>
        <w:pageBreakBefore/>
      </w:pPr>
      <w:r>
        <w:t>3. Development Appendices</w:t>
      </w:r>
    </w:p>
    <w:p>
      <w:r>
        <w:t>A complete internal design edition may carry technical appendices after the published suite. These appendices support content production and implementation but are not automatically world-facing canon. Each must state its authority and tuning status on its opening page.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21384C"/>
          </w:tcPr>
          <w:p>
            <w:r>
              <w:rPr>
                <w:b/>
                <w:color w:val="FFFFFF"/>
              </w:rPr>
              <w:t>Appendix</w:t>
            </w:r>
          </w:p>
        </w:tc>
        <w:tc>
          <w:tcPr>
            <w:tcW w:type="dxa" w:w="3331"/>
            <w:shd w:fill="21384C"/>
          </w:tcPr>
          <w:p>
            <w:r>
              <w:rPr>
                <w:b/>
                <w:color w:val="FFFFFF"/>
              </w:rPr>
              <w:t>Contents</w:t>
            </w:r>
          </w:p>
        </w:tc>
        <w:tc>
          <w:tcPr>
            <w:tcW w:type="dxa" w:w="3331"/>
            <w:shd w:fill="21384C"/>
          </w:tcPr>
          <w:p>
            <w:r>
              <w:rPr>
                <w:b/>
                <w:color w:val="FFFFFF"/>
              </w:rPr>
              <w:t>Authority</w:t>
            </w:r>
          </w:p>
        </w:tc>
      </w:tr>
      <w:tr>
        <w:trPr>
          <w:cantSplit/>
        </w:trPr>
        <w:tc>
          <w:tcPr>
            <w:tcW w:type="dxa" w:w="3331"/>
            <w:tcMar>
              <w:top w:w="100" w:type="dxa"/>
              <w:start w:w="120" w:type="dxa"/>
              <w:bottom w:w="100" w:type="dxa"/>
              <w:end w:w="120" w:type="dxa"/>
            </w:tcMar>
          </w:tcPr>
          <w:p>
            <w:pPr>
              <w:pStyle w:val="TableText"/>
            </w:pPr>
            <w:r>
              <w:t>Dev A — Tuning Tables</w:t>
            </w:r>
          </w:p>
        </w:tc>
        <w:tc>
          <w:tcPr>
            <w:tcW w:type="dxa" w:w="3331"/>
            <w:tcMar>
              <w:top w:w="100" w:type="dxa"/>
              <w:start w:w="120" w:type="dxa"/>
              <w:bottom w:w="100" w:type="dxa"/>
              <w:end w:w="120" w:type="dxa"/>
            </w:tcMar>
          </w:tcPr>
          <w:p>
            <w:pPr>
              <w:pStyle w:val="TableText"/>
            </w:pPr>
            <w:r>
              <w:t>Exact costs, yields, durations, probabilities, thresholds, Capacity assumptions, Carry reconciliation, and balance ranges.</w:t>
            </w:r>
          </w:p>
        </w:tc>
        <w:tc>
          <w:tcPr>
            <w:tcW w:type="dxa" w:w="3331"/>
            <w:tcMar>
              <w:top w:w="100" w:type="dxa"/>
              <w:start w:w="120" w:type="dxa"/>
              <w:bottom w:w="100" w:type="dxa"/>
              <w:end w:w="120" w:type="dxa"/>
            </w:tcMar>
          </w:tcPr>
          <w:p>
            <w:pPr>
              <w:pStyle w:val="TableText"/>
            </w:pPr>
            <w:r>
              <w:t>Internal tuning; not canonical unless explicitly frozen.</w:t>
            </w:r>
          </w:p>
        </w:tc>
      </w:tr>
      <w:tr>
        <w:trPr>
          <w:cantSplit/>
        </w:trPr>
        <w:tc>
          <w:tcPr>
            <w:tcW w:type="dxa" w:w="3331"/>
            <w:tcMar>
              <w:top w:w="100" w:type="dxa"/>
              <w:start w:w="120" w:type="dxa"/>
              <w:bottom w:w="100" w:type="dxa"/>
              <w:end w:w="120" w:type="dxa"/>
            </w:tcMar>
          </w:tcPr>
          <w:p>
            <w:pPr>
              <w:pStyle w:val="TableText"/>
            </w:pPr>
            <w:r>
              <w:t>Dev B — MEET Authoring Contracts</w:t>
            </w:r>
          </w:p>
        </w:tc>
        <w:tc>
          <w:tcPr>
            <w:tcW w:type="dxa" w:w="3331"/>
            <w:tcMar>
              <w:top w:w="100" w:type="dxa"/>
              <w:start w:w="120" w:type="dxa"/>
              <w:bottom w:w="100" w:type="dxa"/>
              <w:end w:w="120" w:type="dxa"/>
            </w:tcMar>
          </w:tcPr>
          <w:p>
            <w:pPr>
              <w:pStyle w:val="TableText"/>
            </w:pPr>
            <w:r>
              <w:t>Required fields, situation grammar, participant scale, stakes, valid Approaches, persistence, backplate state, Focus affordances, and aftermath obligations.</w:t>
            </w:r>
          </w:p>
        </w:tc>
        <w:tc>
          <w:tcPr>
            <w:tcW w:type="dxa" w:w="3331"/>
            <w:tcMar>
              <w:top w:w="100" w:type="dxa"/>
              <w:start w:w="120" w:type="dxa"/>
              <w:bottom w:w="100" w:type="dxa"/>
              <w:end w:w="120" w:type="dxa"/>
            </w:tcMar>
          </w:tcPr>
          <w:p>
            <w:pPr>
              <w:pStyle w:val="TableText"/>
            </w:pPr>
            <w:r>
              <w:t>Authoring contract; mechanically binding where marked.</w:t>
            </w:r>
          </w:p>
        </w:tc>
      </w:tr>
      <w:tr>
        <w:trPr>
          <w:cantSplit/>
        </w:trPr>
        <w:tc>
          <w:tcPr>
            <w:tcW w:type="dxa" w:w="3331"/>
            <w:tcMar>
              <w:top w:w="100" w:type="dxa"/>
              <w:start w:w="120" w:type="dxa"/>
              <w:bottom w:w="100" w:type="dxa"/>
              <w:end w:w="120" w:type="dxa"/>
            </w:tcMar>
          </w:tcPr>
          <w:p>
            <w:pPr>
              <w:pStyle w:val="TableText"/>
            </w:pPr>
            <w:r>
              <w:t>Dev C — Crossing/RISK Parameters</w:t>
            </w:r>
          </w:p>
        </w:tc>
        <w:tc>
          <w:tcPr>
            <w:tcW w:type="dxa" w:w="3331"/>
            <w:tcMar>
              <w:top w:w="100" w:type="dxa"/>
              <w:start w:w="120" w:type="dxa"/>
              <w:bottom w:w="100" w:type="dxa"/>
              <w:end w:w="120" w:type="dxa"/>
            </w:tcMar>
          </w:tcPr>
          <w:p>
            <w:pPr>
              <w:pStyle w:val="TableText"/>
            </w:pPr>
            <w:r>
              <w:t>Traffic models, window values, lane geometry, reaction timing, Rabbit acuity expression, consequence bands, accessibility assists, and camera/input requirements.</w:t>
            </w:r>
          </w:p>
        </w:tc>
        <w:tc>
          <w:tcPr>
            <w:tcW w:type="dxa" w:w="3331"/>
            <w:tcMar>
              <w:top w:w="100" w:type="dxa"/>
              <w:start w:w="120" w:type="dxa"/>
              <w:bottom w:w="100" w:type="dxa"/>
              <w:end w:w="120" w:type="dxa"/>
            </w:tcMar>
          </w:tcPr>
          <w:p>
            <w:pPr>
              <w:pStyle w:val="TableText"/>
            </w:pPr>
            <w:r>
              <w:t>Owned by future Crossing specification and manifestation mappings.</w:t>
            </w:r>
          </w:p>
        </w:tc>
      </w:tr>
      <w:tr>
        <w:trPr>
          <w:cantSplit/>
        </w:trPr>
        <w:tc>
          <w:tcPr>
            <w:tcW w:type="dxa" w:w="3331"/>
            <w:tcMar>
              <w:top w:w="100" w:type="dxa"/>
              <w:start w:w="120" w:type="dxa"/>
              <w:bottom w:w="100" w:type="dxa"/>
              <w:end w:w="120" w:type="dxa"/>
            </w:tcMar>
          </w:tcPr>
          <w:p>
            <w:pPr>
              <w:pStyle w:val="TableText"/>
            </w:pPr>
            <w:r>
              <w:t>Dev D — Node and Route Registry</w:t>
            </w:r>
          </w:p>
        </w:tc>
        <w:tc>
          <w:tcPr>
            <w:tcW w:type="dxa" w:w="3331"/>
            <w:tcMar>
              <w:top w:w="100" w:type="dxa"/>
              <w:start w:w="120" w:type="dxa"/>
              <w:bottom w:w="100" w:type="dxa"/>
              <w:end w:w="120" w:type="dxa"/>
            </w:tcMar>
          </w:tcPr>
          <w:p>
            <w:pPr>
              <w:pStyle w:val="TableText"/>
            </w:pPr>
            <w:r>
              <w:t>Node IDs, Reach placement, condition states, available MEETs, route changes, RENDER outcomes, and persistence flags.</w:t>
            </w:r>
          </w:p>
        </w:tc>
        <w:tc>
          <w:tcPr>
            <w:tcW w:type="dxa" w:w="3331"/>
            <w:tcMar>
              <w:top w:w="100" w:type="dxa"/>
              <w:start w:w="120" w:type="dxa"/>
              <w:bottom w:w="100" w:type="dxa"/>
              <w:end w:w="120" w:type="dxa"/>
            </w:tcMar>
          </w:tcPr>
          <w:p>
            <w:pPr>
              <w:pStyle w:val="TableText"/>
            </w:pPr>
            <w:r>
              <w:t>Campaign/content data; not prose canon by default.</w:t>
            </w:r>
          </w:p>
        </w:tc>
      </w:tr>
      <w:tr>
        <w:trPr>
          <w:cantSplit/>
        </w:trPr>
        <w:tc>
          <w:tcPr>
            <w:tcW w:type="dxa" w:w="3331"/>
            <w:tcMar>
              <w:top w:w="100" w:type="dxa"/>
              <w:start w:w="120" w:type="dxa"/>
              <w:bottom w:w="100" w:type="dxa"/>
              <w:end w:w="120" w:type="dxa"/>
            </w:tcMar>
          </w:tcPr>
          <w:p>
            <w:pPr>
              <w:pStyle w:val="TableText"/>
            </w:pPr>
            <w:r>
              <w:t>Dev E — UI and Data Contracts</w:t>
            </w:r>
          </w:p>
        </w:tc>
        <w:tc>
          <w:tcPr>
            <w:tcW w:type="dxa" w:w="3331"/>
            <w:tcMar>
              <w:top w:w="100" w:type="dxa"/>
              <w:start w:w="120" w:type="dxa"/>
              <w:bottom w:w="100" w:type="dxa"/>
              <w:end w:w="120" w:type="dxa"/>
            </w:tcMar>
          </w:tcPr>
          <w:p>
            <w:pPr>
              <w:pStyle w:val="TableText"/>
            </w:pPr>
            <w:r>
              <w:t>Record fields, state transitions, warnings, preview panels, confirmation language, save-state requirements, and data ownership.</w:t>
            </w:r>
          </w:p>
        </w:tc>
        <w:tc>
          <w:tcPr>
            <w:tcW w:type="dxa" w:w="3331"/>
            <w:tcMar>
              <w:top w:w="100" w:type="dxa"/>
              <w:start w:w="120" w:type="dxa"/>
              <w:bottom w:w="100" w:type="dxa"/>
              <w:end w:w="120" w:type="dxa"/>
            </w:tcMar>
          </w:tcPr>
          <w:p>
            <w:pPr>
              <w:pStyle w:val="TableText"/>
            </w:pPr>
            <w:r>
              <w:t>Implementation-facing; must not invent mechanics.</w:t>
            </w:r>
          </w:p>
        </w:tc>
      </w:tr>
      <w:tr>
        <w:trPr>
          <w:cantSplit/>
        </w:trPr>
        <w:tc>
          <w:tcPr>
            <w:tcW w:type="dxa" w:w="3331"/>
            <w:tcMar>
              <w:top w:w="100" w:type="dxa"/>
              <w:start w:w="120" w:type="dxa"/>
              <w:bottom w:w="100" w:type="dxa"/>
              <w:end w:w="120" w:type="dxa"/>
            </w:tcMar>
          </w:tcPr>
          <w:p>
            <w:pPr>
              <w:pStyle w:val="TableText"/>
            </w:pPr>
            <w:r>
              <w:t>Dev F — Manifestation Matrices</w:t>
            </w:r>
          </w:p>
        </w:tc>
        <w:tc>
          <w:tcPr>
            <w:tcW w:type="dxa" w:w="3331"/>
            <w:tcMar>
              <w:top w:w="100" w:type="dxa"/>
              <w:start w:w="120" w:type="dxa"/>
              <w:bottom w:w="100" w:type="dxa"/>
              <w:end w:w="120" w:type="dxa"/>
            </w:tcMar>
          </w:tcPr>
          <w:p>
            <w:pPr>
              <w:pStyle w:val="TableText"/>
            </w:pPr>
            <w:r>
              <w:t>How each universal rule appears in desktop/console, tabletop, sourcebook, and other approved forms.</w:t>
            </w:r>
          </w:p>
        </w:tc>
        <w:tc>
          <w:tcPr>
            <w:tcW w:type="dxa" w:w="3331"/>
            <w:tcMar>
              <w:top w:w="100" w:type="dxa"/>
              <w:start w:w="120" w:type="dxa"/>
              <w:bottom w:w="100" w:type="dxa"/>
              <w:end w:w="120" w:type="dxa"/>
            </w:tcMar>
          </w:tcPr>
          <w:p>
            <w:pPr>
              <w:pStyle w:val="TableText"/>
            </w:pPr>
            <w:r>
              <w:t>Controlled by Manifestations specification.</w:t>
            </w:r>
          </w:p>
        </w:tc>
      </w:tr>
      <w:tr>
        <w:trPr>
          <w:cantSplit/>
        </w:trPr>
        <w:tc>
          <w:tcPr>
            <w:tcW w:type="dxa" w:w="3331"/>
            <w:tcMar>
              <w:top w:w="100" w:type="dxa"/>
              <w:start w:w="120" w:type="dxa"/>
              <w:bottom w:w="100" w:type="dxa"/>
              <w:end w:w="120" w:type="dxa"/>
            </w:tcMar>
          </w:tcPr>
          <w:p>
            <w:pPr>
              <w:pStyle w:val="TableText"/>
            </w:pPr>
            <w:r>
              <w:t>Dev G — Acceptance Tests</w:t>
            </w:r>
          </w:p>
        </w:tc>
        <w:tc>
          <w:tcPr>
            <w:tcW w:type="dxa" w:w="3331"/>
            <w:tcMar>
              <w:top w:w="100" w:type="dxa"/>
              <w:start w:w="120" w:type="dxa"/>
              <w:bottom w:w="100" w:type="dxa"/>
              <w:end w:w="120" w:type="dxa"/>
            </w:tcMar>
          </w:tcPr>
          <w:p>
            <w:pPr>
              <w:pStyle w:val="TableText"/>
            </w:pPr>
            <w:r>
              <w:t>System invariants, negative tests, content validation, terminology checks, accessibility checks, and cross-system regression cases.</w:t>
            </w:r>
          </w:p>
        </w:tc>
        <w:tc>
          <w:tcPr>
            <w:tcW w:type="dxa" w:w="3331"/>
            <w:tcMar>
              <w:top w:w="100" w:type="dxa"/>
              <w:start w:w="120" w:type="dxa"/>
              <w:bottom w:w="100" w:type="dxa"/>
              <w:end w:w="120" w:type="dxa"/>
            </w:tcMar>
          </w:tcPr>
          <w:p>
            <w:pPr>
              <w:pStyle w:val="TableText"/>
            </w:pPr>
            <w:r>
              <w:t>QA authority; external to world-facing canon.</w:t>
            </w:r>
          </w:p>
        </w:tc>
      </w:tr>
    </w:tbl>
    <w:p>
      <w:pPr>
        <w:pStyle w:val="Heading2"/>
        <w:keepNext/>
      </w:pPr>
      <w:r>
        <w:t>3.1 Tuning-status treatment</w:t>
      </w:r>
    </w:p>
    <w:p>
      <w:pPr>
        <w:pStyle w:val="ListBullet"/>
      </w:pPr>
      <w:r>
        <w:t>FROZEN — approved for the current edition and treated as implementation truth.</w:t>
      </w:r>
    </w:p>
    <w:p>
      <w:pPr>
        <w:pStyle w:val="ListBullet"/>
      </w:pPr>
      <w:r>
        <w:t>PROVISIONAL — required to make examples or prototypes function, but subject to balance revision.</w:t>
      </w:r>
    </w:p>
    <w:p>
      <w:pPr>
        <w:pStyle w:val="ListBullet"/>
      </w:pPr>
      <w:r>
        <w:t>RANGE — design intent expressed as a bounded interval rather than a single value.</w:t>
      </w:r>
    </w:p>
    <w:p>
      <w:pPr>
        <w:pStyle w:val="ListBullet"/>
      </w:pPr>
      <w:r>
        <w:t>EXAMPLE — illustrative only and not reusable as system authority.</w:t>
      </w:r>
    </w:p>
    <w:p>
      <w:pPr>
        <w:pStyle w:val="ListBullet"/>
      </w:pPr>
      <w:r>
        <w:t>OPEN — genuine design question; cannot be smuggled into a table as an assumed number.</w:t>
      </w:r>
    </w:p>
    <w:p>
      <w:pPr>
        <w:pStyle w:val="Heading1"/>
        <w:pageBreakBefore/>
      </w:pPr>
      <w:r>
        <w:t>4. Artifacts That Must Remain Outside the GDD</w:t>
      </w:r>
    </w:p>
    <w:p>
      <w:r>
        <w:t>The following records are necessary to build and verify the edition, but they are not appendices. Including them in the book would confuse provenance with canon and design history with game description.</w:t>
      </w:r>
    </w:p>
    <w:p>
      <w:pPr>
        <w:pStyle w:val="ListBullet"/>
      </w:pPr>
      <w:r>
        <w:rPr>
          <w:b/>
        </w:rPr>
        <w:t xml:space="preserve">Source Manifest: </w:t>
      </w:r>
      <w:r>
        <w:t>File identity, version, authority, dependencies, status, hashes, and inclusion policy.</w:t>
      </w:r>
    </w:p>
    <w:p>
      <w:pPr>
        <w:pStyle w:val="ListBullet"/>
      </w:pPr>
      <w:r>
        <w:rPr>
          <w:b/>
        </w:rPr>
        <w:t xml:space="preserve">Canonical Requirements Registry: </w:t>
      </w:r>
      <w:r>
        <w:t>Atomic requirements, guards, terms, examples, tuning assumptions, and ownership.</w:t>
      </w:r>
    </w:p>
    <w:p>
      <w:pPr>
        <w:pStyle w:val="ListBullet"/>
      </w:pPr>
      <w:r>
        <w:rPr>
          <w:b/>
        </w:rPr>
        <w:t xml:space="preserve">Migration Ledger: </w:t>
      </w:r>
      <w:r>
        <w:t>Disposition of every v0.4.6 and v0.5 source claim into the final edition or an explicit exclusion reason.</w:t>
      </w:r>
    </w:p>
    <w:p>
      <w:pPr>
        <w:pStyle w:val="ListBullet"/>
      </w:pPr>
      <w:r>
        <w:rPr>
          <w:b/>
        </w:rPr>
        <w:t xml:space="preserve">Conflict and Decision Ledger: </w:t>
      </w:r>
      <w:r>
        <w:t>Contradictions, options, rulings, authority, date, and downstream effects.</w:t>
      </w:r>
    </w:p>
    <w:p>
      <w:pPr>
        <w:pStyle w:val="ListBullet"/>
      </w:pPr>
      <w:r>
        <w:rPr>
          <w:b/>
        </w:rPr>
        <w:t xml:space="preserve">Change Guide: </w:t>
      </w:r>
      <w:r>
        <w:t>Executable compilation instructions by section, terminology operation, and source packet.</w:t>
      </w:r>
    </w:p>
    <w:p>
      <w:pPr>
        <w:pStyle w:val="ListBullet"/>
      </w:pPr>
      <w:r>
        <w:rPr>
          <w:b/>
        </w:rPr>
        <w:t xml:space="preserve">WHY Archive: </w:t>
      </w:r>
      <w:r>
        <w:t>Rejected alternatives, comparisons, rationale, and development conversation.</w:t>
      </w:r>
    </w:p>
    <w:p>
      <w:pPr>
        <w:pStyle w:val="ListBullet"/>
      </w:pPr>
      <w:r>
        <w:rPr>
          <w:b/>
        </w:rPr>
        <w:t xml:space="preserve">Coverage and QA Reports: </w:t>
      </w:r>
      <w:r>
        <w:t>Omission, distortion, terminology, cross-reference, figure, accessibility, and regression audits.</w:t>
      </w:r>
    </w:p>
    <w:p>
      <w:pPr>
        <w:pStyle w:val="ListBullet"/>
      </w:pPr>
      <w:r>
        <w:rPr>
          <w:b/>
        </w:rPr>
        <w:t xml:space="preserve">Build Record: </w:t>
      </w:r>
      <w:r>
        <w:t>Tooling, prompts, models, scripts, versions, timestamps, approver, and release hashes.</w:t>
      </w:r>
    </w:p>
    <w:p>
      <w:pPr>
        <w:pStyle w:val="Heading1"/>
        <w:pageBreakBefore/>
      </w:pPr>
      <w:r>
        <w:t>5. Ownership and Update Rules</w:t>
      </w:r>
    </w:p>
    <w:p>
      <w:pPr>
        <w:pStyle w:val="ListBullet"/>
      </w:pPr>
      <w:r>
        <w:t>Every appendix section names an owning specification or a dedicated later specification. Ownership is semantic, not merely editorial.</w:t>
      </w:r>
    </w:p>
    <w:p>
      <w:pPr>
        <w:pStyle w:val="ListBullet"/>
      </w:pPr>
      <w:r>
        <w:t>When an owner changes, the appendix entry is updated in the same change set. A later appendix edit cannot silently supersede its owner.</w:t>
      </w:r>
    </w:p>
    <w:p>
      <w:pPr>
        <w:pStyle w:val="ListBullet"/>
      </w:pPr>
      <w:r>
        <w:t>Cross-owned tables use one primary owner and list dependencies. Conflicting owners require a canon ruling before publication.</w:t>
      </w:r>
    </w:p>
    <w:p>
      <w:pPr>
        <w:pStyle w:val="ListBullet"/>
      </w:pPr>
      <w:r>
        <w:t>Content registries may grow without reopening architecture only when new entries conform to existing grammar and create no new persistent state.</w:t>
      </w:r>
    </w:p>
    <w:p>
      <w:pPr>
        <w:pStyle w:val="ListBullet"/>
      </w:pPr>
      <w:r>
        <w:t>Any registry entry that requires a new currency, slot, Role, action, clock, progression track, or universal modifier is an architecture change and must leave the appendix pipeline for explicit design review.</w:t>
      </w:r>
    </w:p>
    <w:p>
      <w:pPr>
        <w:pStyle w:val="ListBullet"/>
      </w:pPr>
      <w:r>
        <w:t>Public appendices may omit implementation-only fields, but the internal source of truth must preserve stable IDs so published rows can be traced to system and content records.</w:t>
      </w:r>
    </w:p>
    <w:p>
      <w:pPr>
        <w:pStyle w:val="Heading2"/>
        <w:keepNext/>
      </w:pPr>
      <w:r>
        <w:t>5.1 Appendix-entry schema</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21384C"/>
          </w:tcPr>
          <w:p>
            <w:r>
              <w:rPr>
                <w:b/>
                <w:color w:val="FFFFFF"/>
              </w:rPr>
              <w:t>Field</w:t>
            </w:r>
          </w:p>
        </w:tc>
        <w:tc>
          <w:tcPr>
            <w:tcW w:type="dxa" w:w="4997"/>
            <w:shd w:fill="21384C"/>
          </w:tcPr>
          <w:p>
            <w:r>
              <w:rPr>
                <w:b/>
                <w:color w:val="FFFFFF"/>
              </w:rPr>
              <w:t>Requirement</w:t>
            </w:r>
          </w:p>
        </w:tc>
      </w:tr>
      <w:tr>
        <w:trPr>
          <w:cantSplit/>
        </w:trPr>
        <w:tc>
          <w:tcPr>
            <w:tcW w:type="dxa" w:w="4997"/>
            <w:tcMar>
              <w:top w:w="100" w:type="dxa"/>
              <w:start w:w="120" w:type="dxa"/>
              <w:bottom w:w="100" w:type="dxa"/>
              <w:end w:w="120" w:type="dxa"/>
            </w:tcMar>
          </w:tcPr>
          <w:p>
            <w:pPr>
              <w:pStyle w:val="TableText"/>
            </w:pPr>
            <w:r>
              <w:t>ID</w:t>
            </w:r>
          </w:p>
        </w:tc>
        <w:tc>
          <w:tcPr>
            <w:tcW w:type="dxa" w:w="4997"/>
            <w:tcMar>
              <w:top w:w="100" w:type="dxa"/>
              <w:start w:w="120" w:type="dxa"/>
              <w:bottom w:w="100" w:type="dxa"/>
              <w:end w:w="120" w:type="dxa"/>
            </w:tcMar>
          </w:tcPr>
          <w:p>
            <w:pPr>
              <w:pStyle w:val="TableText"/>
            </w:pPr>
            <w:r>
              <w:t>Stable appendix or registry identifier.</w:t>
            </w:r>
          </w:p>
        </w:tc>
      </w:tr>
      <w:tr>
        <w:trPr>
          <w:cantSplit/>
        </w:trPr>
        <w:tc>
          <w:tcPr>
            <w:tcW w:type="dxa" w:w="4997"/>
            <w:tcMar>
              <w:top w:w="100" w:type="dxa"/>
              <w:start w:w="120" w:type="dxa"/>
              <w:bottom w:w="100" w:type="dxa"/>
              <w:end w:w="120" w:type="dxa"/>
            </w:tcMar>
          </w:tcPr>
          <w:p>
            <w:pPr>
              <w:pStyle w:val="TableText"/>
            </w:pPr>
            <w:r>
              <w:t>Canonical name</w:t>
            </w:r>
          </w:p>
        </w:tc>
        <w:tc>
          <w:tcPr>
            <w:tcW w:type="dxa" w:w="4997"/>
            <w:tcMar>
              <w:top w:w="100" w:type="dxa"/>
              <w:start w:w="120" w:type="dxa"/>
              <w:bottom w:w="100" w:type="dxa"/>
              <w:end w:w="120" w:type="dxa"/>
            </w:tcMar>
          </w:tcPr>
          <w:p>
            <w:pPr>
              <w:pStyle w:val="TableText"/>
            </w:pPr>
            <w:r>
              <w:t>Published term or entry title.</w:t>
            </w:r>
          </w:p>
        </w:tc>
      </w:tr>
      <w:tr>
        <w:trPr>
          <w:cantSplit/>
        </w:trPr>
        <w:tc>
          <w:tcPr>
            <w:tcW w:type="dxa" w:w="4997"/>
            <w:tcMar>
              <w:top w:w="100" w:type="dxa"/>
              <w:start w:w="120" w:type="dxa"/>
              <w:bottom w:w="100" w:type="dxa"/>
              <w:end w:w="120" w:type="dxa"/>
            </w:tcMar>
          </w:tcPr>
          <w:p>
            <w:pPr>
              <w:pStyle w:val="TableText"/>
            </w:pPr>
            <w:r>
              <w:t>Definition / function</w:t>
            </w:r>
          </w:p>
        </w:tc>
        <w:tc>
          <w:tcPr>
            <w:tcW w:type="dxa" w:w="4997"/>
            <w:tcMar>
              <w:top w:w="100" w:type="dxa"/>
              <w:start w:w="120" w:type="dxa"/>
              <w:bottom w:w="100" w:type="dxa"/>
              <w:end w:w="120" w:type="dxa"/>
            </w:tcMar>
          </w:tcPr>
          <w:p>
            <w:pPr>
              <w:pStyle w:val="TableText"/>
            </w:pPr>
            <w:r>
              <w:t>Positive rule stated at lookup resolution.</w:t>
            </w:r>
          </w:p>
        </w:tc>
      </w:tr>
      <w:tr>
        <w:trPr>
          <w:cantSplit/>
        </w:trPr>
        <w:tc>
          <w:tcPr>
            <w:tcW w:type="dxa" w:w="4997"/>
            <w:tcMar>
              <w:top w:w="100" w:type="dxa"/>
              <w:start w:w="120" w:type="dxa"/>
              <w:bottom w:w="100" w:type="dxa"/>
              <w:end w:w="120" w:type="dxa"/>
            </w:tcMar>
          </w:tcPr>
          <w:p>
            <w:pPr>
              <w:pStyle w:val="TableText"/>
            </w:pPr>
            <w:r>
              <w:t>Status</w:t>
            </w:r>
          </w:p>
        </w:tc>
        <w:tc>
          <w:tcPr>
            <w:tcW w:type="dxa" w:w="4997"/>
            <w:tcMar>
              <w:top w:w="100" w:type="dxa"/>
              <w:start w:w="120" w:type="dxa"/>
              <w:bottom w:w="100" w:type="dxa"/>
              <w:end w:w="120" w:type="dxa"/>
            </w:tcMar>
          </w:tcPr>
          <w:p>
            <w:pPr>
              <w:pStyle w:val="TableText"/>
            </w:pPr>
            <w:r>
              <w:t>Canonical, provisional, example, tuning, retired.</w:t>
            </w:r>
          </w:p>
        </w:tc>
      </w:tr>
      <w:tr>
        <w:trPr>
          <w:cantSplit/>
        </w:trPr>
        <w:tc>
          <w:tcPr>
            <w:tcW w:type="dxa" w:w="4997"/>
            <w:tcMar>
              <w:top w:w="100" w:type="dxa"/>
              <w:start w:w="120" w:type="dxa"/>
              <w:bottom w:w="100" w:type="dxa"/>
              <w:end w:w="120" w:type="dxa"/>
            </w:tcMar>
          </w:tcPr>
          <w:p>
            <w:pPr>
              <w:pStyle w:val="TableText"/>
            </w:pPr>
            <w:r>
              <w:t>Owner</w:t>
            </w:r>
          </w:p>
        </w:tc>
        <w:tc>
          <w:tcPr>
            <w:tcW w:type="dxa" w:w="4997"/>
            <w:tcMar>
              <w:top w:w="100" w:type="dxa"/>
              <w:start w:w="120" w:type="dxa"/>
              <w:bottom w:w="100" w:type="dxa"/>
              <w:end w:w="120" w:type="dxa"/>
            </w:tcMar>
          </w:tcPr>
          <w:p>
            <w:pPr>
              <w:pStyle w:val="TableText"/>
            </w:pPr>
            <w:r>
              <w:t>Controlling specification or later dedicated spec.</w:t>
            </w:r>
          </w:p>
        </w:tc>
      </w:tr>
      <w:tr>
        <w:trPr>
          <w:cantSplit/>
        </w:trPr>
        <w:tc>
          <w:tcPr>
            <w:tcW w:type="dxa" w:w="4997"/>
            <w:tcMar>
              <w:top w:w="100" w:type="dxa"/>
              <w:start w:w="120" w:type="dxa"/>
              <w:bottom w:w="100" w:type="dxa"/>
              <w:end w:w="120" w:type="dxa"/>
            </w:tcMar>
          </w:tcPr>
          <w:p>
            <w:pPr>
              <w:pStyle w:val="TableText"/>
            </w:pPr>
            <w:r>
              <w:t>Dependencies</w:t>
            </w:r>
          </w:p>
        </w:tc>
        <w:tc>
          <w:tcPr>
            <w:tcW w:type="dxa" w:w="4997"/>
            <w:tcMar>
              <w:top w:w="100" w:type="dxa"/>
              <w:start w:w="120" w:type="dxa"/>
              <w:bottom w:w="100" w:type="dxa"/>
              <w:end w:w="120" w:type="dxa"/>
            </w:tcMar>
          </w:tcPr>
          <w:p>
            <w:pPr>
              <w:pStyle w:val="TableText"/>
            </w:pPr>
            <w:r>
              <w:t>Related systems whose rules constrain the entry.</w:t>
            </w:r>
          </w:p>
        </w:tc>
      </w:tr>
      <w:tr>
        <w:trPr>
          <w:cantSplit/>
        </w:trPr>
        <w:tc>
          <w:tcPr>
            <w:tcW w:type="dxa" w:w="4997"/>
            <w:tcMar>
              <w:top w:w="100" w:type="dxa"/>
              <w:start w:w="120" w:type="dxa"/>
              <w:bottom w:w="100" w:type="dxa"/>
              <w:end w:w="120" w:type="dxa"/>
            </w:tcMar>
          </w:tcPr>
          <w:p>
            <w:pPr>
              <w:pStyle w:val="TableText"/>
            </w:pPr>
            <w:r>
              <w:t>Eligibility / scope</w:t>
            </w:r>
          </w:p>
        </w:tc>
        <w:tc>
          <w:tcPr>
            <w:tcW w:type="dxa" w:w="4997"/>
            <w:tcMar>
              <w:top w:w="100" w:type="dxa"/>
              <w:start w:w="120" w:type="dxa"/>
              <w:bottom w:w="100" w:type="dxa"/>
              <w:end w:w="120" w:type="dxa"/>
            </w:tcMar>
          </w:tcPr>
          <w:p>
            <w:pPr>
              <w:pStyle w:val="TableText"/>
            </w:pPr>
            <w:r>
              <w:t>Where, when, and for whom it applies.</w:t>
            </w:r>
          </w:p>
        </w:tc>
      </w:tr>
      <w:tr>
        <w:trPr>
          <w:cantSplit/>
        </w:trPr>
        <w:tc>
          <w:tcPr>
            <w:tcW w:type="dxa" w:w="4997"/>
            <w:tcMar>
              <w:top w:w="100" w:type="dxa"/>
              <w:start w:w="120" w:type="dxa"/>
              <w:bottom w:w="100" w:type="dxa"/>
              <w:end w:w="120" w:type="dxa"/>
            </w:tcMar>
          </w:tcPr>
          <w:p>
            <w:pPr>
              <w:pStyle w:val="TableText"/>
            </w:pPr>
            <w:r>
              <w:t>Persistent result</w:t>
            </w:r>
          </w:p>
        </w:tc>
        <w:tc>
          <w:tcPr>
            <w:tcW w:type="dxa" w:w="4997"/>
            <w:tcMar>
              <w:top w:w="100" w:type="dxa"/>
              <w:start w:w="120" w:type="dxa"/>
              <w:bottom w:w="100" w:type="dxa"/>
              <w:end w:w="120" w:type="dxa"/>
            </w:tcMar>
          </w:tcPr>
          <w:p>
            <w:pPr>
              <w:pStyle w:val="TableText"/>
            </w:pPr>
            <w:r>
              <w:t>State created or changed, where relevant.</w:t>
            </w:r>
          </w:p>
        </w:tc>
      </w:tr>
      <w:tr>
        <w:trPr>
          <w:cantSplit/>
        </w:trPr>
        <w:tc>
          <w:tcPr>
            <w:tcW w:type="dxa" w:w="4997"/>
            <w:tcMar>
              <w:top w:w="100" w:type="dxa"/>
              <w:start w:w="120" w:type="dxa"/>
              <w:bottom w:w="100" w:type="dxa"/>
              <w:end w:w="120" w:type="dxa"/>
            </w:tcMar>
          </w:tcPr>
          <w:p>
            <w:pPr>
              <w:pStyle w:val="TableText"/>
            </w:pPr>
            <w:r>
              <w:t>Presentation note</w:t>
            </w:r>
          </w:p>
        </w:tc>
        <w:tc>
          <w:tcPr>
            <w:tcW w:type="dxa" w:w="4997"/>
            <w:tcMar>
              <w:top w:w="100" w:type="dxa"/>
              <w:start w:w="120" w:type="dxa"/>
              <w:bottom w:w="100" w:type="dxa"/>
              <w:end w:w="120" w:type="dxa"/>
            </w:tcMar>
          </w:tcPr>
          <w:p>
            <w:pPr>
              <w:pStyle w:val="TableText"/>
            </w:pPr>
            <w:r>
              <w:t>Only where necessary to preserve player comprehension.</w:t>
            </w:r>
          </w:p>
        </w:tc>
      </w:tr>
      <w:tr>
        <w:trPr>
          <w:cantSplit/>
        </w:trPr>
        <w:tc>
          <w:tcPr>
            <w:tcW w:type="dxa" w:w="4997"/>
            <w:tcMar>
              <w:top w:w="100" w:type="dxa"/>
              <w:start w:w="120" w:type="dxa"/>
              <w:bottom w:w="100" w:type="dxa"/>
              <w:end w:w="120" w:type="dxa"/>
            </w:tcMar>
          </w:tcPr>
          <w:p>
            <w:pPr>
              <w:pStyle w:val="TableText"/>
            </w:pPr>
            <w:r>
              <w:t>Source / provenance</w:t>
            </w:r>
          </w:p>
        </w:tc>
        <w:tc>
          <w:tcPr>
            <w:tcW w:type="dxa" w:w="4997"/>
            <w:tcMar>
              <w:top w:w="100" w:type="dxa"/>
              <w:start w:w="120" w:type="dxa"/>
              <w:bottom w:w="100" w:type="dxa"/>
              <w:end w:w="120" w:type="dxa"/>
            </w:tcMar>
          </w:tcPr>
          <w:p>
            <w:pPr>
              <w:pStyle w:val="TableText"/>
            </w:pPr>
            <w:r>
              <w:t>Internal trace to canon records; not necessarily printed.</w:t>
            </w:r>
          </w:p>
        </w:tc>
      </w:tr>
    </w:tbl>
    <w:p>
      <w:pPr>
        <w:pStyle w:val="Heading1"/>
        <w:pageBreakBefore/>
      </w:pPr>
      <w:r>
        <w:t>6. Body-to-Appendix Routing Rules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21384C"/>
          </w:tcPr>
          <w:p>
            <w:r>
              <w:rPr>
                <w:b/>
                <w:color w:val="FFFFFF"/>
              </w:rPr>
              <w:t>Routing</w:t>
            </w:r>
          </w:p>
        </w:tc>
        <w:tc>
          <w:tcPr>
            <w:tcW w:type="dxa" w:w="4997"/>
            <w:shd w:fill="21384C"/>
          </w:tcPr>
          <w:p>
            <w:r>
              <w:rPr>
                <w:b/>
                <w:color w:val="FFFFFF"/>
              </w:rPr>
              <w:t>Material</w:t>
            </w:r>
          </w:p>
        </w:tc>
      </w:tr>
      <w:tr>
        <w:trPr>
          <w:cantSplit/>
        </w:trPr>
        <w:tc>
          <w:tcPr>
            <w:tcW w:type="dxa" w:w="4997"/>
            <w:tcMar>
              <w:top w:w="100" w:type="dxa"/>
              <w:start w:w="120" w:type="dxa"/>
              <w:bottom w:w="100" w:type="dxa"/>
              <w:end w:w="120" w:type="dxa"/>
            </w:tcMar>
          </w:tcPr>
          <w:p>
            <w:pPr>
              <w:pStyle w:val="TableText"/>
            </w:pPr>
            <w:r>
              <w:t>Teach in body; reference in appendix</w:t>
            </w:r>
          </w:p>
        </w:tc>
        <w:tc>
          <w:tcPr>
            <w:tcW w:type="dxa" w:w="4997"/>
            <w:tcMar>
              <w:top w:w="100" w:type="dxa"/>
              <w:start w:w="120" w:type="dxa"/>
              <w:bottom w:w="100" w:type="dxa"/>
              <w:end w:w="120" w:type="dxa"/>
            </w:tcMar>
          </w:tcPr>
          <w:p>
            <w:pPr>
              <w:pStyle w:val="TableText"/>
            </w:pPr>
            <w:r>
              <w:t>Core definitions, main loops, player-visible causal chains, pivotal examples, emotional purpose, and the minimum table needed to understand a chapter.</w:t>
            </w:r>
          </w:p>
        </w:tc>
      </w:tr>
      <w:tr>
        <w:trPr>
          <w:cantSplit/>
        </w:trPr>
        <w:tc>
          <w:tcPr>
            <w:tcW w:type="dxa" w:w="4997"/>
            <w:tcMar>
              <w:top w:w="100" w:type="dxa"/>
              <w:start w:w="120" w:type="dxa"/>
              <w:bottom w:w="100" w:type="dxa"/>
              <w:end w:w="120" w:type="dxa"/>
            </w:tcMar>
          </w:tcPr>
          <w:p>
            <w:pPr>
              <w:pStyle w:val="TableText"/>
            </w:pPr>
            <w:r>
              <w:t>Explain once in body; fully tabulate in appendix</w:t>
            </w:r>
          </w:p>
        </w:tc>
        <w:tc>
          <w:tcPr>
            <w:tcW w:type="dxa" w:w="4997"/>
            <w:tcMar>
              <w:top w:w="100" w:type="dxa"/>
              <w:start w:w="120" w:type="dxa"/>
              <w:bottom w:w="100" w:type="dxa"/>
              <w:end w:w="120" w:type="dxa"/>
            </w:tcMar>
          </w:tcPr>
          <w:p>
            <w:pPr>
              <w:pStyle w:val="TableText"/>
            </w:pPr>
            <w:r>
              <w:t>Resource recipes, Tool classes, Tier proofs, Role/Place catalogues, Guest contracts, naming forms, and Record fields.</w:t>
            </w:r>
          </w:p>
        </w:tc>
      </w:tr>
      <w:tr>
        <w:trPr>
          <w:cantSplit/>
        </w:trPr>
        <w:tc>
          <w:tcPr>
            <w:tcW w:type="dxa" w:w="4997"/>
            <w:tcMar>
              <w:top w:w="100" w:type="dxa"/>
              <w:start w:w="120" w:type="dxa"/>
              <w:bottom w:w="100" w:type="dxa"/>
              <w:end w:w="120" w:type="dxa"/>
            </w:tcMar>
          </w:tcPr>
          <w:p>
            <w:pPr>
              <w:pStyle w:val="TableText"/>
            </w:pPr>
            <w:r>
              <w:t>Appendix only</w:t>
            </w:r>
          </w:p>
        </w:tc>
        <w:tc>
          <w:tcPr>
            <w:tcW w:type="dxa" w:w="4997"/>
            <w:tcMar>
              <w:top w:w="100" w:type="dxa"/>
              <w:start w:w="120" w:type="dxa"/>
              <w:bottom w:w="100" w:type="dxa"/>
              <w:end w:w="120" w:type="dxa"/>
            </w:tcMar>
          </w:tcPr>
          <w:p>
            <w:pPr>
              <w:pStyle w:val="TableText"/>
            </w:pPr>
            <w:r>
              <w:t>Large component banks, exhaustive registries, authoring matrices, edge-case lookup, and dense cross-system comparison tables.</w:t>
            </w:r>
          </w:p>
        </w:tc>
      </w:tr>
      <w:tr>
        <w:trPr>
          <w:cantSplit/>
        </w:trPr>
        <w:tc>
          <w:tcPr>
            <w:tcW w:type="dxa" w:w="4997"/>
            <w:tcMar>
              <w:top w:w="100" w:type="dxa"/>
              <w:start w:w="120" w:type="dxa"/>
              <w:bottom w:w="100" w:type="dxa"/>
              <w:end w:w="120" w:type="dxa"/>
            </w:tcMar>
          </w:tcPr>
          <w:p>
            <w:pPr>
              <w:pStyle w:val="TableText"/>
            </w:pPr>
            <w:r>
              <w:t>Development appendix only</w:t>
            </w:r>
          </w:p>
        </w:tc>
        <w:tc>
          <w:tcPr>
            <w:tcW w:type="dxa" w:w="4997"/>
            <w:tcMar>
              <w:top w:w="100" w:type="dxa"/>
              <w:start w:w="120" w:type="dxa"/>
              <w:bottom w:w="100" w:type="dxa"/>
              <w:end w:w="120" w:type="dxa"/>
            </w:tcMar>
          </w:tcPr>
          <w:p>
            <w:pPr>
              <w:pStyle w:val="TableText"/>
            </w:pPr>
            <w:r>
              <w:t>Tuning values, implementation schemas, encounter contracts, test cases, manifestation parameters, and content IDs.</w:t>
            </w:r>
          </w:p>
        </w:tc>
      </w:tr>
      <w:tr>
        <w:trPr>
          <w:cantSplit/>
        </w:trPr>
        <w:tc>
          <w:tcPr>
            <w:tcW w:type="dxa" w:w="4997"/>
            <w:tcMar>
              <w:top w:w="100" w:type="dxa"/>
              <w:start w:w="120" w:type="dxa"/>
              <w:bottom w:w="100" w:type="dxa"/>
              <w:end w:w="120" w:type="dxa"/>
            </w:tcMar>
          </w:tcPr>
          <w:p>
            <w:pPr>
              <w:pStyle w:val="TableText"/>
            </w:pPr>
            <w:r>
              <w:t>External artifact only</w:t>
            </w:r>
          </w:p>
        </w:tc>
        <w:tc>
          <w:tcPr>
            <w:tcW w:type="dxa" w:w="4997"/>
            <w:tcMar>
              <w:top w:w="100" w:type="dxa"/>
              <w:start w:w="120" w:type="dxa"/>
              <w:bottom w:w="100" w:type="dxa"/>
              <w:end w:w="120" w:type="dxa"/>
            </w:tcMar>
          </w:tcPr>
          <w:p>
            <w:pPr>
              <w:pStyle w:val="TableText"/>
            </w:pPr>
            <w:r>
              <w:t>Provenance, migration, conflict history, build metadata, rejected options, and audit output.</w:t>
            </w:r>
          </w:p>
        </w:tc>
      </w:tr>
    </w:tbl>
    <w:p>
      <w:pPr>
        <w:pStyle w:val="Heading2"/>
        <w:keepNext/>
      </w:pPr>
      <w:r>
        <w:t>6.1 Compression test</w:t>
      </w:r>
    </w:p>
    <w:p>
      <w:r>
        <w:t>Before routing material into an appendix, ask:</w:t>
      </w:r>
    </w:p>
    <w:p>
      <w:pPr>
        <w:pStyle w:val="ListNumber"/>
      </w:pPr>
      <w:r>
        <w:t>Will a reader or author need to retrieve this repeatedly?</w:t>
      </w:r>
    </w:p>
    <w:p>
      <w:pPr>
        <w:pStyle w:val="ListNumber"/>
      </w:pPr>
      <w:r>
        <w:t>Can the main text explain the governing rule without reproducing the full registry?</w:t>
      </w:r>
    </w:p>
    <w:p>
      <w:pPr>
        <w:pStyle w:val="ListNumber"/>
      </w:pPr>
      <w:r>
        <w:t>Does the appendix entry preserve canonical distinctions rather than flatten them?</w:t>
      </w:r>
    </w:p>
    <w:p>
      <w:pPr>
        <w:pStyle w:val="ListNumber"/>
      </w:pPr>
      <w:r>
        <w:t>Is this positive canon, or is it really tuning, rationale, migration, or implementation?</w:t>
      </w:r>
    </w:p>
    <w:p>
      <w:pPr>
        <w:pStyle w:val="ListNumber"/>
      </w:pPr>
      <w:r>
        <w:t>Would moving it out of the chapter damage first-read comprehension?</w:t>
      </w:r>
    </w:p>
    <w:tbl>
      <w:tblPr>
        <w:tblW w:type="auto" w:w="0"/>
        <w:tblLook w:firstColumn="1" w:firstRow="1" w:lastColumn="0" w:lastRow="0" w:noHBand="0" w:noVBand="1" w:val="04A0"/>
      </w:tblPr>
      <w:tblGrid>
        <w:gridCol w:w="9994"/>
      </w:tblGrid>
      <w:tr>
        <w:trPr>
          <w:cantSplit/>
        </w:trPr>
        <w:tc>
          <w:tcPr>
            <w:tcW w:type="dxa" w:w="9994"/>
            <w:shd w:fill="DCEAEC"/>
            <w:tcMar>
              <w:top w:w="120" w:type="dxa"/>
              <w:start w:w="180" w:type="dxa"/>
              <w:bottom w:w="120" w:type="dxa"/>
              <w:end w:w="180" w:type="dxa"/>
            </w:tcMar>
          </w:tcPr>
          <w:p>
            <w:pPr>
              <w:pStyle w:val="Callout"/>
              <w:jc w:val="center"/>
            </w:pPr>
            <w:r>
              <w:t>An appendix should remove friction from reading without removing meaning from the body.</w:t>
            </w:r>
          </w:p>
        </w:tc>
      </w:tr>
    </w:tbl>
    <w:p>
      <w:pPr>
        <w:pStyle w:val="Heading1"/>
        <w:pageBreakBefore/>
      </w:pPr>
      <w:r>
        <w:t>7. Recommended Production Order</w:t>
      </w:r>
    </w:p>
    <w:p>
      <w:pPr>
        <w:pStyle w:val="Heading3"/>
      </w:pPr>
      <w:r>
        <w:t>1. Freeze the target table of contents</w:t>
      </w:r>
    </w:p>
    <w:p>
      <w:r>
        <w:t>Approve the main-body chapter architecture and appendix policy before drafting appendix prose.</w:t>
      </w:r>
    </w:p>
    <w:p>
      <w:pPr>
        <w:pStyle w:val="Heading3"/>
      </w:pPr>
      <w:r>
        <w:t>2. Build the canonical Lexicon</w:t>
      </w:r>
    </w:p>
    <w:p>
      <w:r>
        <w:t>Resolve terms, capitalization, aliases, and definition ownership before tables proliferate.</w:t>
      </w:r>
    </w:p>
    <w:p>
      <w:pPr>
        <w:pStyle w:val="Heading3"/>
      </w:pPr>
      <w:r>
        <w:t>3. Build appendix packets from source records</w:t>
      </w:r>
    </w:p>
    <w:p>
      <w:r>
        <w:t>Assemble complete owner-approved records for each appendix rather than drafting from summaries.</w:t>
      </w:r>
    </w:p>
    <w:p>
      <w:pPr>
        <w:pStyle w:val="Heading3"/>
      </w:pPr>
      <w:r>
        <w:t>4. Author A–G before H</w:t>
      </w:r>
    </w:p>
    <w:p>
      <w:r>
        <w:t>Core reference appendices should stabilize before extensible content banks are populated.</w:t>
      </w:r>
    </w:p>
    <w:p>
      <w:pPr>
        <w:pStyle w:val="Heading3"/>
      </w:pPr>
      <w:r>
        <w:t>5. Separate published and development editions</w:t>
      </w:r>
    </w:p>
    <w:p>
      <w:r>
        <w:t>Mark public, internal, and external artifacts at file and heading level.</w:t>
      </w:r>
    </w:p>
    <w:p>
      <w:pPr>
        <w:pStyle w:val="Heading3"/>
      </w:pPr>
      <w:r>
        <w:t>6. Validate bidirectionally</w:t>
      </w:r>
    </w:p>
    <w:p>
      <w:r>
        <w:t>Every published appendix entry traces to canon; every lookup-worthy canon item has a destination.</w:t>
      </w:r>
    </w:p>
    <w:p>
      <w:pPr>
        <w:pStyle w:val="Heading3"/>
      </w:pPr>
      <w:r>
        <w:t>7. Run independent audit</w:t>
      </w:r>
    </w:p>
    <w:p>
      <w:r>
        <w:t>Use a fresh context to test omission, contradiction, terminology drift, duplicate authority, and leaked implementation detail.</w:t>
      </w:r>
    </w:p>
    <w:p>
      <w:pPr>
        <w:pStyle w:val="Heading3"/>
      </w:pPr>
      <w:r>
        <w:t>8. Freeze and version</w:t>
      </w:r>
    </w:p>
    <w:p>
      <w:r>
        <w:t>Version appendices independently where practical, record owners and dates, and include them in the edition build record.</w:t>
      </w:r>
    </w:p>
    <w:p>
      <w:pPr>
        <w:pStyle w:val="Heading1"/>
        <w:keepNext/>
      </w:pPr>
      <w:r>
        <w:t>8. Acceptance Tests</w:t>
      </w:r>
    </w:p>
    <w:p>
      <w:pPr>
        <w:pStyle w:val="ListBullet"/>
      </w:pPr>
      <w:r>
        <w:t>A new reader can understand MEDIAN’s identity and principal systems without opening an appendix.</w:t>
      </w:r>
    </w:p>
    <w:p>
      <w:pPr>
        <w:pStyle w:val="ListBullet"/>
      </w:pPr>
      <w:r>
        <w:t>A designer can locate the authoritative definition, table, or registry for any major defined term without searching multiple contradictory locations.</w:t>
      </w:r>
    </w:p>
    <w:p>
      <w:pPr>
        <w:pStyle w:val="ListBullet"/>
      </w:pPr>
      <w:r>
        <w:t>No published appendix contains superseded v0.4.6 archaeology, unresolved debate, or rationale presented as canon.</w:t>
      </w:r>
    </w:p>
    <w:p>
      <w:pPr>
        <w:pStyle w:val="ListBullet"/>
      </w:pPr>
      <w:r>
        <w:t>Every appendix entry names or inherits a clear owner and status.</w:t>
      </w:r>
    </w:p>
    <w:p>
      <w:pPr>
        <w:pStyle w:val="ListBullet"/>
      </w:pPr>
      <w:r>
        <w:t>No appendix introduces a new system, currency, slot, action, Role, clock, or progression track without an explicit architecture ruling.</w:t>
      </w:r>
    </w:p>
    <w:p>
      <w:pPr>
        <w:pStyle w:val="ListBullet"/>
      </w:pPr>
      <w:r>
        <w:t>Provisional numerical values are visibly marked and isolated from durable world rules.</w:t>
      </w:r>
    </w:p>
    <w:p>
      <w:pPr>
        <w:pStyle w:val="ListBullet"/>
      </w:pPr>
      <w:r>
        <w:t>Manifestation-specific instructions are routed through the Manifestations architecture rather than treated as universal by accident.</w:t>
      </w:r>
    </w:p>
    <w:p>
      <w:pPr>
        <w:pStyle w:val="ListBullet"/>
      </w:pPr>
      <w:r>
        <w:t>Record, memory, naming, Place, resource, Guest, corridor, and Tier references agree with the controlling v0.5 specifications.</w:t>
      </w:r>
    </w:p>
    <w:p>
      <w:pPr>
        <w:pStyle w:val="ListBullet"/>
      </w:pPr>
      <w:r>
        <w:t>Content banks are extensible without becoming unbounded idea repositories or substitute specifications.</w:t>
      </w:r>
    </w:p>
    <w:p>
      <w:pPr>
        <w:pStyle w:val="ListBullet"/>
      </w:pPr>
      <w:r>
        <w:t>External provenance and QA artifacts remain available to the build process but absent from the reader-facing book.</w:t>
      </w:r>
    </w:p>
    <w:p>
      <w:pPr>
        <w:pStyle w:val="Heading1"/>
        <w:keepNext/>
      </w:pPr>
      <w:r>
        <w:t>9. Baseline Status and Deferred Work</w:t>
      </w:r>
    </w:p>
    <w:p>
      <w:r>
        <w:t>Baseline status. The appendix architecture is complete for MEDIAN v0.5. The plan establishes the correct carriers and boundaries; it does not claim that every appendix registry has already been authored.</w:t>
      </w:r>
    </w:p>
    <w:p>
      <w:r>
        <w:t>Deferred content work includes final name banks, Record field inventories, Place and Practice catalogues, exact Supply recipes, the future Crossing/RISK reference, Node Condition registries, advanced-Practice content, Guest contract tables, and manifestation-specific authoring matrices. Those tasks should proceed under the owning specifications without reopening the appendix architecture unless a genuine carrier conflict appears.</w:t>
      </w:r>
    </w:p>
    <w:p>
      <w:pPr>
        <w:pStyle w:val="Heading1"/>
        <w:keepNext/>
      </w:pPr>
      <w:r>
        <w:t>10. Canonical Design Lines</w:t>
      </w:r>
    </w:p>
    <w:tbl>
      <w:tblPr>
        <w:tblW w:type="auto" w:w="0"/>
        <w:tblLook w:firstColumn="1" w:firstRow="1" w:lastColumn="0" w:lastRow="0" w:noHBand="0" w:noVBand="1" w:val="04A0"/>
      </w:tblPr>
      <w:tblGrid>
        <w:gridCol w:w="9994"/>
      </w:tblGrid>
      <w:tr>
        <w:trPr>
          <w:cantSplit/>
        </w:trPr>
        <w:tc>
          <w:tcPr>
            <w:tcW w:type="dxa" w:w="9994"/>
            <w:shd w:fill="EEF3F6"/>
            <w:tcMar>
              <w:top w:w="90" w:type="dxa"/>
              <w:start w:w="160" w:type="dxa"/>
              <w:bottom w:w="90" w:type="dxa"/>
              <w:end w:w="160" w:type="dxa"/>
            </w:tcMar>
          </w:tcPr>
          <w:p>
            <w:pPr>
              <w:pStyle w:val="Callout"/>
              <w:jc w:val="center"/>
            </w:pPr>
            <w:r>
              <w:t>“The body explains the game. The appendices make the game findable.”</w:t>
            </w:r>
          </w:p>
        </w:tc>
      </w:tr>
    </w:tbl>
    <w:tbl>
      <w:tblPr>
        <w:tblW w:type="auto" w:w="0"/>
        <w:tblLook w:firstColumn="1" w:firstRow="1" w:lastColumn="0" w:lastRow="0" w:noHBand="0" w:noVBand="1" w:val="04A0"/>
      </w:tblPr>
      <w:tblGrid>
        <w:gridCol w:w="9994"/>
      </w:tblGrid>
      <w:tr>
        <w:trPr>
          <w:cantSplit/>
        </w:trPr>
        <w:tc>
          <w:tcPr>
            <w:tcW w:type="dxa" w:w="9994"/>
            <w:shd w:fill="EEF3F6"/>
            <w:tcMar>
              <w:top w:w="90" w:type="dxa"/>
              <w:start w:w="160" w:type="dxa"/>
              <w:bottom w:w="90" w:type="dxa"/>
              <w:end w:w="160" w:type="dxa"/>
            </w:tcMar>
          </w:tcPr>
          <w:p>
            <w:pPr>
              <w:pStyle w:val="Callout"/>
              <w:jc w:val="center"/>
            </w:pPr>
            <w:r>
              <w:t>“Appendices support canon; they do not become a second GDD.”</w:t>
            </w:r>
          </w:p>
        </w:tc>
      </w:tr>
    </w:tbl>
    <w:tbl>
      <w:tblPr>
        <w:tblW w:type="auto" w:w="0"/>
        <w:tblLook w:firstColumn="1" w:firstRow="1" w:lastColumn="0" w:lastRow="0" w:noHBand="0" w:noVBand="1" w:val="04A0"/>
      </w:tblPr>
      <w:tblGrid>
        <w:gridCol w:w="9994"/>
      </w:tblGrid>
      <w:tr>
        <w:trPr>
          <w:cantSplit/>
        </w:trPr>
        <w:tc>
          <w:tcPr>
            <w:tcW w:type="dxa" w:w="9994"/>
            <w:shd w:fill="EEF3F6"/>
            <w:tcMar>
              <w:top w:w="90" w:type="dxa"/>
              <w:start w:w="160" w:type="dxa"/>
              <w:bottom w:w="90" w:type="dxa"/>
              <w:end w:w="160" w:type="dxa"/>
            </w:tcMar>
          </w:tcPr>
          <w:p>
            <w:pPr>
              <w:pStyle w:val="Callout"/>
              <w:jc w:val="center"/>
            </w:pPr>
            <w:r>
              <w:t>“One rule, one owner, one authoritative definition location.”</w:t>
            </w:r>
          </w:p>
        </w:tc>
      </w:tr>
    </w:tbl>
    <w:tbl>
      <w:tblPr>
        <w:tblW w:type="auto" w:w="0"/>
        <w:tblLook w:firstColumn="1" w:firstRow="1" w:lastColumn="0" w:lastRow="0" w:noHBand="0" w:noVBand="1" w:val="04A0"/>
      </w:tblPr>
      <w:tblGrid>
        <w:gridCol w:w="9994"/>
      </w:tblGrid>
      <w:tr>
        <w:trPr>
          <w:cantSplit/>
        </w:trPr>
        <w:tc>
          <w:tcPr>
            <w:tcW w:type="dxa" w:w="9994"/>
            <w:shd w:fill="EEF3F6"/>
            <w:tcMar>
              <w:top w:w="90" w:type="dxa"/>
              <w:start w:w="160" w:type="dxa"/>
              <w:bottom w:w="90" w:type="dxa"/>
              <w:end w:w="160" w:type="dxa"/>
            </w:tcMar>
          </w:tcPr>
          <w:p>
            <w:pPr>
              <w:pStyle w:val="Callout"/>
              <w:jc w:val="center"/>
            </w:pPr>
            <w:r>
              <w:t>“Tuning must declare itself.”</w:t>
            </w:r>
          </w:p>
        </w:tc>
      </w:tr>
    </w:tbl>
    <w:tbl>
      <w:tblPr>
        <w:tblW w:type="auto" w:w="0"/>
        <w:tblLook w:firstColumn="1" w:firstRow="1" w:lastColumn="0" w:lastRow="0" w:noHBand="0" w:noVBand="1" w:val="04A0"/>
      </w:tblPr>
      <w:tblGrid>
        <w:gridCol w:w="9994"/>
      </w:tblGrid>
      <w:tr>
        <w:trPr>
          <w:cantSplit/>
        </w:trPr>
        <w:tc>
          <w:tcPr>
            <w:tcW w:type="dxa" w:w="9994"/>
            <w:shd w:fill="EEF3F6"/>
            <w:tcMar>
              <w:top w:w="90" w:type="dxa"/>
              <w:start w:w="160" w:type="dxa"/>
              <w:bottom w:w="90" w:type="dxa"/>
              <w:end w:w="160" w:type="dxa"/>
            </w:tcMar>
          </w:tcPr>
          <w:p>
            <w:pPr>
              <w:pStyle w:val="Callout"/>
              <w:jc w:val="center"/>
            </w:pPr>
            <w:r>
              <w:t>“Content banks extend the grammar; they do not invent a new one.”</w:t>
            </w:r>
          </w:p>
        </w:tc>
      </w:tr>
    </w:tbl>
    <w:tbl>
      <w:tblPr>
        <w:tblW w:type="auto" w:w="0"/>
        <w:tblLook w:firstColumn="1" w:firstRow="1" w:lastColumn="0" w:lastRow="0" w:noHBand="0" w:noVBand="1" w:val="04A0"/>
      </w:tblPr>
      <w:tblGrid>
        <w:gridCol w:w="9994"/>
      </w:tblGrid>
      <w:tr>
        <w:trPr>
          <w:cantSplit/>
        </w:trPr>
        <w:tc>
          <w:tcPr>
            <w:tcW w:type="dxa" w:w="9994"/>
            <w:shd w:fill="EEF3F6"/>
            <w:tcMar>
              <w:top w:w="90" w:type="dxa"/>
              <w:start w:w="160" w:type="dxa"/>
              <w:bottom w:w="90" w:type="dxa"/>
              <w:end w:w="160" w:type="dxa"/>
            </w:tcMar>
          </w:tcPr>
          <w:p>
            <w:pPr>
              <w:pStyle w:val="Callout"/>
              <w:jc w:val="center"/>
            </w:pPr>
            <w:r>
              <w:t>“An appendix should remove friction from reading without removing meaning from the body.”</w:t>
            </w:r>
          </w:p>
        </w:tc>
      </w:tr>
    </w:tbl>
    <w:p>
      <w:pPr>
        <w:pStyle w:val="SmallCaps"/>
        <w:spacing w:before="360"/>
        <w:jc w:val="center"/>
      </w:pPr>
      <w:r>
        <w:t>END OF ARCHITECTURE SPECIFICATION</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D87"/>
        <w:sz w:val="16"/>
      </w:rPr>
      <w:t xml:space="preserve">APP-PLAN  |  Architecture Specification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D87"/>
        <w:sz w:val="16"/>
      </w:rPr>
      <w:t>MEDIAN v0.5.0  |  Appendix Architecture &amp; Content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2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1384C"/>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E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138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138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 Caps"/>
    <w:rPr>
      <w:rFonts w:ascii="Aptos" w:hAnsi="Aptos"/>
      <w:b/>
      <w:color w:val="697884"/>
      <w:sz w:val="18"/>
    </w:rPr>
  </w:style>
  <w:style w:type="paragraph" w:customStyle="1" w:styleId="Deck">
    <w:name w:val="Deck"/>
    <w:rPr>
      <w:rFonts w:ascii="Aptos" w:hAnsi="Aptos"/>
      <w:i/>
      <w:color w:val="176E7A"/>
      <w:sz w:val="26"/>
    </w:rPr>
  </w:style>
  <w:style w:type="paragraph" w:customStyle="1" w:styleId="Callout">
    <w:name w:val="Callout"/>
    <w:rPr>
      <w:rFonts w:ascii="Georgia" w:hAnsi="Georgia"/>
      <w:i/>
      <w:color w:val="21384C"/>
      <w:sz w:val="24"/>
    </w:rPr>
  </w:style>
  <w:style w:type="paragraph" w:customStyle="1" w:styleId="TableText">
    <w:name w:val="Table Text"/>
    <w:rPr>
      <w:rFonts w:ascii="Aptos" w:hAnsi="Aptos"/>
      <w:sz w:val="18"/>
    </w:rPr>
  </w:style>
  <w:style w:type="paragraph" w:customStyle="1" w:styleId="FooterText">
    <w:name w:val="Footer Text"/>
    <w:rPr>
      <w:rFonts w:ascii="Aptos" w:hAnsi="Aptos"/>
      <w:color w:val="6E7D8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Appendix Architecture and Content Plan</dc:title>
  <dc:subject>Appendix architecture specification</dc:subject>
  <dc:creator>Asa Wember</dc:creator>
  <cp:keywords>MEDIAN, v0.5, appendix, architecture, concept sourcebook, GDD</cp:keywords>
  <dc:description>generated by python-docx</dc:description>
  <cp:lastModifiedBy/>
  <cp:revision>1</cp:revision>
  <dcterms:created xsi:type="dcterms:W3CDTF">2013-12-23T23:15:00Z</dcterms:created>
  <dcterms:modified xsi:type="dcterms:W3CDTF">2013-12-23T23:15:00Z</dcterms:modified>
  <cp:category/>
</cp:coreProperties>
</file>