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t>MEDIAN</w:t>
      </w:r>
    </w:p>
    <w:p>
      <w:pPr>
        <w:spacing w:after="80" w:line="252" w:lineRule="auto"/>
        <w:jc w:val="center"/>
      </w:pPr>
      <w:r>
        <w:rPr>
          <w:rFonts w:ascii="Aptos Display" w:hAnsi="Aptos Display"/>
          <w:b/>
          <w:sz w:val="30"/>
        </w:rPr>
        <w:t>CROSSING REGISTER SPECIFICATION</w:t>
      </w:r>
    </w:p>
    <w:p>
      <w:pPr>
        <w:pStyle w:val="Subtitle"/>
        <w:spacing w:after="80" w:line="252" w:lineRule="auto"/>
        <w:jc w:val="center"/>
      </w:pPr>
      <w:r>
        <w:t>Core Species Planning • One-Run Execution • Guest Integration • River Spume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7DE"/>
            <w:vAlign w:val="center"/>
          </w:tcPr>
          <w:p>
            <w:pPr>
              <w:spacing w:after="20" w:line="240" w:lineRule="auto"/>
            </w:pPr>
            <w:r>
              <w:rPr>
                <w:rFonts w:ascii="Aptos" w:hAnsi="Aptos"/>
                <w:b/>
                <w:sz w:val="17"/>
              </w:rPr>
              <w:t>Document version</w:t>
            </w:r>
          </w:p>
        </w:tc>
        <w:tc>
          <w:tcPr>
            <w:tcW w:type="dxa" w:w="2556"/>
            <w:vAlign w:val="center"/>
          </w:tcPr>
          <w:p>
            <w:pPr>
              <w:spacing w:after="20" w:line="240" w:lineRule="auto"/>
            </w:pPr>
            <w:r>
              <w:rPr>
                <w:rFonts w:ascii="Aptos" w:hAnsi="Aptos"/>
                <w:sz w:val="17"/>
              </w:rPr>
              <w:t>0.1</w:t>
            </w:r>
          </w:p>
        </w:tc>
        <w:tc>
          <w:tcPr>
            <w:tcW w:type="dxa" w:w="2556"/>
            <w:shd w:fill="DDE7DE"/>
            <w:vAlign w:val="center"/>
          </w:tcPr>
          <w:p>
            <w:pPr>
              <w:spacing w:after="20" w:line="240" w:lineRule="auto"/>
            </w:pPr>
            <w:r>
              <w:rPr>
                <w:rFonts w:ascii="Aptos" w:hAnsi="Aptos"/>
                <w:b/>
                <w:sz w:val="17"/>
              </w:rPr>
              <w:t>Target architecture</w:t>
            </w:r>
          </w:p>
        </w:tc>
        <w:tc>
          <w:tcPr>
            <w:tcW w:type="dxa" w:w="2556"/>
            <w:vAlign w:val="center"/>
          </w:tcPr>
          <w:p>
            <w:pPr>
              <w:spacing w:after="20" w:line="240" w:lineRule="auto"/>
            </w:pPr>
            <w:r>
              <w:rPr>
                <w:rFonts w:ascii="Aptos" w:hAnsi="Aptos"/>
                <w:sz w:val="17"/>
              </w:rPr>
              <w:t>MEDIAN v0.5.0</w:t>
            </w:r>
          </w:p>
        </w:tc>
      </w:tr>
      <w:tr>
        <w:tc>
          <w:tcPr>
            <w:tcW w:type="dxa" w:w="2556"/>
            <w:shd w:fill="DDE7DE"/>
            <w:vAlign w:val="center"/>
          </w:tcPr>
          <w:p>
            <w:pPr>
              <w:spacing w:after="20" w:line="240" w:lineRule="auto"/>
            </w:pPr>
            <w:r>
              <w:rPr>
                <w:rFonts w:ascii="Aptos" w:hAnsi="Aptos"/>
                <w:b/>
                <w:sz w:val="17"/>
              </w:rPr>
              <w:t>Status</w:t>
            </w:r>
          </w:p>
        </w:tc>
        <w:tc>
          <w:tcPr>
            <w:tcW w:type="dxa" w:w="2556"/>
            <w:vAlign w:val="center"/>
          </w:tcPr>
          <w:p>
            <w:pPr>
              <w:spacing w:after="20" w:line="240" w:lineRule="auto"/>
            </w:pPr>
            <w:r>
              <w:rPr>
                <w:rFonts w:ascii="Aptos" w:hAnsi="Aptos"/>
                <w:sz w:val="17"/>
              </w:rPr>
              <w:t>Working specification</w:t>
            </w:r>
          </w:p>
        </w:tc>
        <w:tc>
          <w:tcPr>
            <w:tcW w:type="dxa" w:w="2556"/>
            <w:shd w:fill="DDE7DE"/>
            <w:vAlign w:val="center"/>
          </w:tcPr>
          <w:p>
            <w:pPr>
              <w:spacing w:after="20" w:line="240" w:lineRule="auto"/>
            </w:pPr>
            <w:r>
              <w:rPr>
                <w:rFonts w:ascii="Aptos" w:hAnsi="Aptos"/>
                <w:b/>
                <w:sz w:val="17"/>
              </w:rPr>
              <w:t>Date</w:t>
            </w:r>
          </w:p>
        </w:tc>
        <w:tc>
          <w:tcPr>
            <w:tcW w:type="dxa" w:w="2556"/>
            <w:vAlign w:val="center"/>
          </w:tcPr>
          <w:p>
            <w:pPr>
              <w:spacing w:after="20" w:line="240" w:lineRule="auto"/>
            </w:pPr>
            <w:r>
              <w:rPr>
                <w:rFonts w:ascii="Aptos" w:hAnsi="Aptos"/>
                <w:sz w:val="17"/>
              </w:rPr>
              <w:t>31 July 2026</w:t>
            </w:r>
          </w:p>
        </w:tc>
      </w:tr>
    </w:tbl>
    <w:tbl>
      <w:tblPr>
        <w:tblStyle w:val="TableGrid"/>
        <w:tblW w:type="auto" w:w="0"/>
        <w:jc w:val="center"/>
        <w:tblLook w:firstColumn="1" w:firstRow="1" w:lastColumn="0" w:lastRow="0" w:noHBand="0" w:noVBand="1" w:val="04A0"/>
      </w:tblPr>
      <w:tblGrid>
        <w:gridCol w:w="10224"/>
      </w:tblGrid>
      <w:tr>
        <w:tc>
          <w:tcPr>
            <w:tcW w:type="dxa" w:w="10224"/>
            <w:shd w:fill="EEF3EE"/>
            <w:vAlign w:val="center"/>
          </w:tcPr>
          <w:p>
            <w:pPr>
              <w:spacing w:after="20" w:line="240" w:lineRule="auto"/>
              <w:jc w:val="center"/>
            </w:pPr>
            <w:r>
              <w:rPr>
                <w:rFonts w:ascii="Aptos" w:hAnsi="Aptos"/>
                <w:b/>
                <w:sz w:val="17"/>
              </w:rPr>
              <w:t>CANONICAL PREMISE</w:t>
            </w:r>
          </w:p>
          <w:p>
            <w:pPr>
              <w:spacing w:after="20" w:line="240" w:lineRule="auto"/>
              <w:jc w:val="center"/>
            </w:pPr>
            <w:r>
              <w:rPr>
                <w:rFonts w:ascii="Aptos" w:hAnsi="Aptos"/>
                <w:sz w:val="17"/>
              </w:rPr>
              <w:t>Crossing is the Away Register in which the expedition studies the highway through its Core Species body, commits the whole party to one complete plan, and executes that plan as a single continuous run. The party resolves globally; bodily adversity attaches to individual Citizens; attachment-bearing objects are never silently lost.</w:t>
            </w:r>
          </w:p>
        </w:tc>
      </w:tr>
    </w:tbl>
    <w:p>
      <w:pPr>
        <w:pStyle w:val="Heading1"/>
        <w:spacing w:after="80" w:line="252" w:lineRule="auto"/>
      </w:pPr>
      <w:r>
        <w:t>1. Purpose and Register Identity</w:t>
      </w:r>
    </w:p>
    <w:p>
      <w:pPr>
        <w:spacing w:after="80" w:line="252" w:lineRule="auto"/>
      </w:pPr>
      <w:r>
        <w:t>Crossing is not an ordinary Field leg and not a turn-based MEET. It is a short, high-attention threshold Register where human-scale traffic becomes immediate bodily danger. Its complexity belongs primarily in perception and planning, followed by irreversible execution and compact resolution.</w:t>
      </w:r>
    </w:p>
    <w:p>
      <w:pPr>
        <w:pStyle w:val="ListBullet"/>
        <w:spacing w:after="80" w:line="252" w:lineRule="auto"/>
      </w:pPr>
      <w:r>
        <w:t>Field determines where an expedition travels; Crossing determines whether the party can pass the defining barrier between territories.</w:t>
      </w:r>
    </w:p>
    <w:p>
      <w:pPr>
        <w:pStyle w:val="ListBullet"/>
        <w:spacing w:after="80" w:line="252" w:lineRule="auto"/>
      </w:pPr>
      <w:r>
        <w:t>Crossing may use richer camera, overlay, sound, and under-the-hood adjudication than ordinary Field without becoming a recurring tactical loop.</w:t>
      </w:r>
    </w:p>
    <w:p>
      <w:pPr>
        <w:pStyle w:val="ListBullet"/>
        <w:spacing w:after="80" w:line="252" w:lineRule="auto"/>
      </w:pPr>
      <w:r>
        <w:t>A catastrophic Crossing result may open MEET, but Crossing itself does not acquire turn structure.</w:t>
      </w:r>
    </w:p>
    <w:p>
      <w:pPr>
        <w:pStyle w:val="Heading1"/>
        <w:spacing w:after="80" w:line="252" w:lineRule="auto"/>
      </w:pPr>
      <w:r>
        <w:t>2. Contour of Play</w:t>
      </w:r>
    </w:p>
    <w:p>
      <w:pPr>
        <w:pStyle w:val="ListNumber"/>
        <w:spacing w:after="80" w:line="252" w:lineRule="auto"/>
      </w:pPr>
      <w:r>
        <w:t>Planning — observe the road, inspect party state, and construct one complete species-conditioned solution.</w:t>
      </w:r>
    </w:p>
    <w:p>
      <w:pPr>
        <w:pStyle w:val="ListNumber"/>
        <w:spacing w:after="80" w:line="252" w:lineRule="auto"/>
      </w:pPr>
      <w:r>
        <w:t>Commitment — explicitly accept the plan; after commitment, strategic revision ends.</w:t>
      </w:r>
    </w:p>
    <w:p>
      <w:pPr>
        <w:pStyle w:val="ListNumber"/>
        <w:spacing w:after="80" w:line="252" w:lineRule="auto"/>
      </w:pPr>
      <w:r>
        <w:t>Continuous Run — the party performs the complete passage as one embodied event.</w:t>
      </w:r>
    </w:p>
    <w:p>
      <w:pPr>
        <w:pStyle w:val="ListNumber"/>
        <w:spacing w:after="80" w:line="252" w:lineRule="auto"/>
      </w:pPr>
      <w:r>
        <w:t>Resolution — determine global party outcome, individual adversity, and material consequences.</w:t>
      </w:r>
    </w:p>
    <w:p>
      <w:pPr>
        <w:spacing w:after="80" w:line="252" w:lineRule="auto"/>
      </w:pPr>
      <w:r>
        <w:t>The road does not wait while the player takes turns. Any execution input expresses carrying out the chosen plan rather than creating a second strategic layer.</w:t>
      </w:r>
    </w:p>
    <w:p>
      <w:pPr>
        <w:pStyle w:val="Heading1"/>
        <w:spacing w:after="80" w:line="252" w:lineRule="auto"/>
      </w:pPr>
      <w:r>
        <w:t>3. Party Representation</w:t>
      </w:r>
    </w:p>
    <w:p>
      <w:pPr>
        <w:spacing w:after="80" w:line="252" w:lineRule="auto"/>
      </w:pPr>
      <w:r>
        <w:t>An expedition party contains three body units. Crossing therefore does not use waves, separate activations, or elaborate formations. The execution is staged primarily through one foreground runner while the remaining body units remain visible behind or adjacent.</w:t>
      </w:r>
    </w:p>
    <w:p>
      <w:pPr>
        <w:pStyle w:val="ListBullet"/>
        <w:spacing w:after="80" w:line="252" w:lineRule="auto"/>
      </w:pPr>
      <w:r>
        <w:t>The foreground runner is a camera and staging role, not a permanent leader or superior Citizen.</w:t>
      </w:r>
    </w:p>
    <w:p>
      <w:pPr>
        <w:pStyle w:val="ListBullet"/>
        <w:spacing w:after="80" w:line="252" w:lineRule="auto"/>
      </w:pPr>
      <w:r>
        <w:t>The party succeeds or fails globally, while adversity may attach to particular Citizens.</w:t>
      </w:r>
    </w:p>
    <w:p>
      <w:pPr>
        <w:pStyle w:val="ListBullet"/>
        <w:spacing w:after="80" w:line="252" w:lineRule="auto"/>
      </w:pPr>
      <w:r>
        <w:t>Mouse parties may show six named Mice as three compact pairs or a short chain without granting six separate Crossing actions.</w:t>
      </w:r>
    </w:p>
    <w:p>
      <w:pPr>
        <w:pStyle w:val="Heading1"/>
        <w:spacing w:after="80" w:line="252" w:lineRule="auto"/>
      </w:pPr>
      <w:r>
        <w:t>4. Species-Conditioned Planning Grammars</w:t>
      </w:r>
    </w:p>
    <w:p>
      <w:pPr>
        <w:spacing w:after="80" w:line="252" w:lineRule="auto"/>
      </w:pPr>
      <w:r>
        <w:t>The same highway is one underlying traffic and environmental simulation, but each Core Species exposes a different playable truth. The shared contour remains Planning → Commit → Run → Resolve.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3D5942"/>
            <w:vAlign w:val="center"/>
          </w:tcPr>
          <w:p>
            <w:pPr>
              <w:spacing w:after="20" w:line="240" w:lineRule="auto"/>
            </w:pPr>
            <w:r>
              <w:rPr>
                <w:rFonts w:ascii="Aptos" w:hAnsi="Aptos"/>
                <w:color w:val="FFFFFF"/>
                <w:sz w:val="17"/>
              </w:rPr>
              <w:t>Core Species</w:t>
            </w:r>
          </w:p>
        </w:tc>
        <w:tc>
          <w:tcPr>
            <w:tcW w:type="dxa" w:w="2045"/>
            <w:shd w:fill="3D5942"/>
            <w:vAlign w:val="center"/>
          </w:tcPr>
          <w:p>
            <w:pPr>
              <w:spacing w:after="20" w:line="240" w:lineRule="auto"/>
            </w:pPr>
            <w:r>
              <w:rPr>
                <w:rFonts w:ascii="Aptos" w:hAnsi="Aptos"/>
                <w:color w:val="FFFFFF"/>
                <w:sz w:val="17"/>
              </w:rPr>
              <w:t>Primary Question</w:t>
            </w:r>
          </w:p>
        </w:tc>
        <w:tc>
          <w:tcPr>
            <w:tcW w:type="dxa" w:w="2045"/>
            <w:shd w:fill="3D5942"/>
            <w:vAlign w:val="center"/>
          </w:tcPr>
          <w:p>
            <w:pPr>
              <w:spacing w:after="20" w:line="240" w:lineRule="auto"/>
            </w:pPr>
            <w:r>
              <w:rPr>
                <w:rFonts w:ascii="Aptos" w:hAnsi="Aptos"/>
                <w:color w:val="FFFFFF"/>
                <w:sz w:val="17"/>
              </w:rPr>
              <w:t>Planning Object</w:t>
            </w:r>
          </w:p>
        </w:tc>
        <w:tc>
          <w:tcPr>
            <w:tcW w:type="dxa" w:w="2045"/>
            <w:shd w:fill="3D5942"/>
            <w:vAlign w:val="center"/>
          </w:tcPr>
          <w:p>
            <w:pPr>
              <w:spacing w:after="20" w:line="240" w:lineRule="auto"/>
            </w:pPr>
            <w:r>
              <w:rPr>
                <w:rFonts w:ascii="Aptos" w:hAnsi="Aptos"/>
                <w:color w:val="FFFFFF"/>
                <w:sz w:val="17"/>
              </w:rPr>
              <w:t>Execution Shape</w:t>
            </w:r>
          </w:p>
        </w:tc>
        <w:tc>
          <w:tcPr>
            <w:tcW w:type="dxa" w:w="2045"/>
            <w:shd w:fill="3D5942"/>
            <w:vAlign w:val="center"/>
          </w:tcPr>
          <w:p>
            <w:pPr>
              <w:spacing w:after="20" w:line="240" w:lineRule="auto"/>
            </w:pPr>
            <w:r>
              <w:rPr>
                <w:rFonts w:ascii="Aptos" w:hAnsi="Aptos"/>
                <w:color w:val="FFFFFF"/>
                <w:sz w:val="17"/>
              </w:rPr>
              <w:t>Characteristic Failure</w:t>
            </w:r>
          </w:p>
        </w:tc>
      </w:tr>
      <w:tr>
        <w:tc>
          <w:tcPr>
            <w:tcW w:type="dxa" w:w="2045"/>
            <w:vAlign w:val="center"/>
          </w:tcPr>
          <w:p>
            <w:pPr>
              <w:spacing w:after="20" w:line="240" w:lineRule="auto"/>
            </w:pPr>
            <w:r>
              <w:rPr>
                <w:rFonts w:ascii="Aptos" w:hAnsi="Aptos"/>
                <w:sz w:val="17"/>
              </w:rPr>
              <w:t>Rabbit</w:t>
            </w:r>
          </w:p>
        </w:tc>
        <w:tc>
          <w:tcPr>
            <w:tcW w:type="dxa" w:w="2045"/>
            <w:vAlign w:val="center"/>
          </w:tcPr>
          <w:p>
            <w:pPr>
              <w:spacing w:after="20" w:line="240" w:lineRule="auto"/>
            </w:pPr>
            <w:r>
              <w:rPr>
                <w:rFonts w:ascii="Aptos" w:hAnsi="Aptos"/>
                <w:sz w:val="17"/>
              </w:rPr>
              <w:t>When does the road open?</w:t>
            </w:r>
          </w:p>
        </w:tc>
        <w:tc>
          <w:tcPr>
            <w:tcW w:type="dxa" w:w="2045"/>
            <w:vAlign w:val="center"/>
          </w:tcPr>
          <w:p>
            <w:pPr>
              <w:spacing w:after="20" w:line="240" w:lineRule="auto"/>
            </w:pPr>
            <w:r>
              <w:rPr>
                <w:rFonts w:ascii="Aptos" w:hAnsi="Aptos"/>
                <w:sz w:val="17"/>
              </w:rPr>
              <w:t>One macro traffic window and broad line</w:t>
            </w:r>
          </w:p>
        </w:tc>
        <w:tc>
          <w:tcPr>
            <w:tcW w:type="dxa" w:w="2045"/>
            <w:vAlign w:val="center"/>
          </w:tcPr>
          <w:p>
            <w:pPr>
              <w:spacing w:after="20" w:line="240" w:lineRule="auto"/>
            </w:pPr>
            <w:r>
              <w:rPr>
                <w:rFonts w:ascii="Aptos" w:hAnsi="Aptos"/>
                <w:sz w:val="17"/>
              </w:rPr>
              <w:t>One full-carriageway sprint</w:t>
            </w:r>
          </w:p>
        </w:tc>
        <w:tc>
          <w:tcPr>
            <w:tcW w:type="dxa" w:w="2045"/>
            <w:vAlign w:val="center"/>
          </w:tcPr>
          <w:p>
            <w:pPr>
              <w:spacing w:after="20" w:line="240" w:lineRule="auto"/>
            </w:pPr>
            <w:r>
              <w:rPr>
                <w:rFonts w:ascii="Aptos" w:hAnsi="Aptos"/>
                <w:sz w:val="17"/>
              </w:rPr>
              <w:t>The inferred window does not remain sufficient for the whole party</w:t>
            </w:r>
          </w:p>
        </w:tc>
      </w:tr>
      <w:tr>
        <w:tc>
          <w:tcPr>
            <w:tcW w:type="dxa" w:w="2045"/>
            <w:vAlign w:val="center"/>
          </w:tcPr>
          <w:p>
            <w:pPr>
              <w:spacing w:after="20" w:line="240" w:lineRule="auto"/>
            </w:pPr>
            <w:r>
              <w:rPr>
                <w:rFonts w:ascii="Aptos" w:hAnsi="Aptos"/>
                <w:sz w:val="17"/>
              </w:rPr>
              <w:t>Mouse</w:t>
            </w:r>
          </w:p>
        </w:tc>
        <w:tc>
          <w:tcPr>
            <w:tcW w:type="dxa" w:w="2045"/>
            <w:vAlign w:val="center"/>
          </w:tcPr>
          <w:p>
            <w:pPr>
              <w:spacing w:after="20" w:line="240" w:lineRule="auto"/>
            </w:pPr>
            <w:r>
              <w:rPr>
                <w:rFonts w:ascii="Aptos" w:hAnsi="Aptos"/>
                <w:sz w:val="17"/>
              </w:rPr>
              <w:t>Where can continuity be made?</w:t>
            </w:r>
          </w:p>
        </w:tc>
        <w:tc>
          <w:tcPr>
            <w:tcW w:type="dxa" w:w="2045"/>
            <w:vAlign w:val="center"/>
          </w:tcPr>
          <w:p>
            <w:pPr>
              <w:spacing w:after="20" w:line="240" w:lineRule="auto"/>
            </w:pPr>
            <w:r>
              <w:rPr>
                <w:rFonts w:ascii="Aptos" w:hAnsi="Aptos"/>
                <w:sz w:val="17"/>
              </w:rPr>
              <w:t>A chain of 3–6 pavement-scale waypoints</w:t>
            </w:r>
          </w:p>
        </w:tc>
        <w:tc>
          <w:tcPr>
            <w:tcW w:type="dxa" w:w="2045"/>
            <w:vAlign w:val="center"/>
          </w:tcPr>
          <w:p>
            <w:pPr>
              <w:spacing w:after="20" w:line="240" w:lineRule="auto"/>
            </w:pPr>
            <w:r>
              <w:rPr>
                <w:rFonts w:ascii="Aptos" w:hAnsi="Aptos"/>
                <w:sz w:val="17"/>
              </w:rPr>
              <w:t>One continuous chained scurry</w:t>
            </w:r>
          </w:p>
        </w:tc>
        <w:tc>
          <w:tcPr>
            <w:tcW w:type="dxa" w:w="2045"/>
            <w:vAlign w:val="center"/>
          </w:tcPr>
          <w:p>
            <w:pPr>
              <w:spacing w:after="20" w:line="240" w:lineRule="auto"/>
            </w:pPr>
            <w:r>
              <w:rPr>
                <w:rFonts w:ascii="Aptos" w:hAnsi="Aptos"/>
                <w:sz w:val="17"/>
              </w:rPr>
              <w:t>The route loses contact, legibility, or viable continuity</w:t>
            </w:r>
          </w:p>
        </w:tc>
      </w:tr>
      <w:tr>
        <w:tc>
          <w:tcPr>
            <w:tcW w:type="dxa" w:w="2045"/>
            <w:vAlign w:val="center"/>
          </w:tcPr>
          <w:p>
            <w:pPr>
              <w:spacing w:after="20" w:line="240" w:lineRule="auto"/>
            </w:pPr>
            <w:r>
              <w:rPr>
                <w:rFonts w:ascii="Aptos" w:hAnsi="Aptos"/>
                <w:sz w:val="17"/>
              </w:rPr>
              <w:t>Squirrel</w:t>
            </w:r>
          </w:p>
        </w:tc>
        <w:tc>
          <w:tcPr>
            <w:tcW w:type="dxa" w:w="2045"/>
            <w:vAlign w:val="center"/>
          </w:tcPr>
          <w:p>
            <w:pPr>
              <w:spacing w:after="20" w:line="240" w:lineRule="auto"/>
            </w:pPr>
            <w:r>
              <w:rPr>
                <w:rFonts w:ascii="Aptos" w:hAnsi="Aptos"/>
                <w:sz w:val="17"/>
              </w:rPr>
              <w:t>How does the route move through traffic?</w:t>
            </w:r>
          </w:p>
        </w:tc>
        <w:tc>
          <w:tcPr>
            <w:tcW w:type="dxa" w:w="2045"/>
            <w:vAlign w:val="center"/>
          </w:tcPr>
          <w:p>
            <w:pPr>
              <w:spacing w:after="20" w:line="240" w:lineRule="auto"/>
            </w:pPr>
            <w:r>
              <w:rPr>
                <w:rFonts w:ascii="Aptos" w:hAnsi="Aptos"/>
                <w:sz w:val="17"/>
              </w:rPr>
              <w:t>A flowing trajectory with limited predeclared redirection</w:t>
            </w:r>
          </w:p>
        </w:tc>
        <w:tc>
          <w:tcPr>
            <w:tcW w:type="dxa" w:w="2045"/>
            <w:vAlign w:val="center"/>
          </w:tcPr>
          <w:p>
            <w:pPr>
              <w:spacing w:after="20" w:line="240" w:lineRule="auto"/>
            </w:pPr>
            <w:r>
              <w:rPr>
                <w:rFonts w:ascii="Aptos" w:hAnsi="Aptos"/>
                <w:sz w:val="17"/>
              </w:rPr>
              <w:t>One continuous vector run</w:t>
            </w:r>
          </w:p>
        </w:tc>
        <w:tc>
          <w:tcPr>
            <w:tcW w:type="dxa" w:w="2045"/>
            <w:vAlign w:val="center"/>
          </w:tcPr>
          <w:p>
            <w:pPr>
              <w:spacing w:after="20" w:line="240" w:lineRule="auto"/>
            </w:pPr>
            <w:r>
              <w:rPr>
                <w:rFonts w:ascii="Aptos" w:hAnsi="Aptos"/>
                <w:sz w:val="17"/>
              </w:rPr>
              <w:t>The moving trajectory ceases to remain viable</w:t>
            </w:r>
          </w:p>
        </w:tc>
      </w:tr>
    </w:tbl>
    <w:p>
      <w:pPr>
        <w:pStyle w:val="Heading2"/>
        <w:spacing w:after="80" w:line="252" w:lineRule="auto"/>
      </w:pPr>
      <w:r>
        <w:t>4.1 Rabbit — Macro Timing</w:t>
      </w:r>
    </w:p>
    <w:p>
      <w:pPr>
        <w:spacing w:after="80" w:line="252" w:lineRule="auto"/>
      </w:pPr>
      <w:r>
        <w:t>Rabbit Crossing treats the highway as one temporal opening. During planning, the Rabbit remains visibly still while repeated vehicle echoes, blur, and overlapping motion traces accumulate into readable traffic patterns. The player selects a launch moment, broad crossing line, and far-side destination, then commits to one complete sprint.</w:t>
      </w:r>
    </w:p>
    <w:p>
      <w:pPr>
        <w:pStyle w:val="ListBullet"/>
        <w:spacing w:after="80" w:line="252" w:lineRule="auto"/>
      </w:pPr>
      <w:r>
        <w:t>The blur represents accumulated observation and Rabbit stillness, not literal foresight.</w:t>
      </w:r>
    </w:p>
    <w:p>
      <w:pPr>
        <w:pStyle w:val="ListBullet"/>
        <w:spacing w:after="80" w:line="252" w:lineRule="auto"/>
      </w:pPr>
      <w:r>
        <w:t>Execution should be brief, fast, and minimally revisable.</w:t>
      </w:r>
    </w:p>
    <w:p>
      <w:pPr>
        <w:pStyle w:val="ListBullet"/>
        <w:spacing w:after="80" w:line="252" w:lineRule="auto"/>
      </w:pPr>
      <w:r>
        <w:t>Rabbit Field speed is pro-rated by Rabbit body units in the party; the exact conversion from Rabbit composition to Crossing acuity remains provisional.</w:t>
      </w:r>
    </w:p>
    <w:p>
      <w:pPr>
        <w:pStyle w:val="Heading2"/>
        <w:spacing w:after="80" w:line="252" w:lineRule="auto"/>
      </w:pPr>
      <w:r>
        <w:t>4.2 Mouse — Micro-Geographic Continuity</w:t>
      </w:r>
    </w:p>
    <w:p>
      <w:pPr>
        <w:spacing w:after="80" w:line="252" w:lineRule="auto"/>
      </w:pPr>
      <w:r>
        <w:t>Mouse Crossing zooms from the whole roadway into pavement-scale topology. The player designates a limited chain of meaningful waypoints such as cracks, seams, depressions, paint edges, small debris, drainage cuts, curb defects, or stable shadow boundaries.</w:t>
      </w:r>
    </w:p>
    <w:p>
      <w:pPr>
        <w:pStyle w:val="ListBullet"/>
        <w:spacing w:after="80" w:line="252" w:lineRule="auto"/>
      </w:pPr>
      <w:r>
        <w:t>Waypoints may provide true refuge, tactile contact, orientation, or only temporary legibility; they are not universal safety tiles.</w:t>
      </w:r>
    </w:p>
    <w:p>
      <w:pPr>
        <w:pStyle w:val="ListBullet"/>
        <w:spacing w:after="80" w:line="252" w:lineRule="auto"/>
      </w:pPr>
      <w:r>
        <w:t>More waypoints can improve continuity but also lengthen exposure or produce awkward deviations.</w:t>
      </w:r>
    </w:p>
    <w:p>
      <w:pPr>
        <w:pStyle w:val="ListBullet"/>
        <w:spacing w:after="80" w:line="252" w:lineRule="auto"/>
      </w:pPr>
      <w:r>
        <w:t>After commitment, the Mouse party executes the whole chain continuously; planning does not reopen at each point.</w:t>
      </w:r>
    </w:p>
    <w:p>
      <w:pPr>
        <w:spacing w:after="80" w:line="252" w:lineRule="auto"/>
      </w:pPr>
      <w:r>
        <w:t>Mouse subjective time may expand during execution: vibration, shadow, tire noise, and short distances become densely perceptible. This grants no extra actions or decisions. Mouse perceives more moments; the player does not receive more turns.</w:t>
      </w:r>
    </w:p>
    <w:p>
      <w:pPr>
        <w:pStyle w:val="Heading2"/>
        <w:spacing w:after="80" w:line="252" w:lineRule="auto"/>
      </w:pPr>
      <w:r>
        <w:t>4.3 Squirrel — Moving Trajectory</w:t>
      </w:r>
    </w:p>
    <w:p>
      <w:pPr>
        <w:spacing w:after="80" w:line="252" w:lineRule="auto"/>
      </w:pPr>
      <w:r>
        <w:t>Squirrel does not require convenient vertical anchors in the middle of an ordinary highway. Its current Crossing distinction is a flowing route through moving traffic geometry: the player defines a trajectory, potentially with one or two predeclared redirects, that exploits vehicle wakes, relative motion, and a far-side climbable refuge or anchor.</w:t>
      </w:r>
    </w:p>
    <w:p>
      <w:pPr>
        <w:pStyle w:val="ListBullet"/>
        <w:spacing w:after="80" w:line="252" w:lineRule="auto"/>
      </w:pPr>
      <w:r>
        <w:t>Rabbit waits for a sufficiently broad window across the highway.</w:t>
      </w:r>
    </w:p>
    <w:p>
      <w:pPr>
        <w:pStyle w:val="ListBullet"/>
        <w:spacing w:after="80" w:line="252" w:lineRule="auto"/>
      </w:pPr>
      <w:r>
        <w:t>Mouse assembles continuity from fixed micro-features.</w:t>
      </w:r>
    </w:p>
    <w:p>
      <w:pPr>
        <w:pStyle w:val="ListBullet"/>
        <w:spacing w:after="80" w:line="252" w:lineRule="auto"/>
      </w:pPr>
      <w:r>
        <w:t>Squirrel seeks a window that moves through the highway.</w:t>
      </w:r>
    </w:p>
    <w:p>
      <w:pPr>
        <w:spacing w:after="80" w:line="252" w:lineRule="auto"/>
      </w:pPr>
      <w:r>
        <w:t>This grammar is promising but remains the least settled. It must be refined until it is more than Rabbit with a diagonal line.</w:t>
      </w:r>
    </w:p>
    <w:p>
      <w:pPr>
        <w:pStyle w:val="Heading1"/>
        <w:spacing w:after="80" w:line="252" w:lineRule="auto"/>
      </w:pPr>
      <w:r>
        <w:t>5. Global Resolution and Individual Adversity</w:t>
      </w:r>
    </w:p>
    <w:p>
      <w:pPr>
        <w:spacing w:after="80" w:line="252" w:lineRule="auto"/>
      </w:pPr>
      <w:r>
        <w:t>Crossing resolves the expedition globally, but Exposure-equivalent adversity is allocated to individual creatures. The exact probabilities and severity ladder remain tuning values.</w:t>
      </w:r>
    </w:p>
    <w:p>
      <w:pPr>
        <w:pStyle w:val="ListBullet"/>
        <w:spacing w:after="80" w:line="252" w:lineRule="auto"/>
      </w:pPr>
      <w:r>
        <w:t>Rabbit and Squirrel Citizens use the standard full-body adversity rate.</w:t>
      </w:r>
    </w:p>
    <w:p>
      <w:pPr>
        <w:pStyle w:val="ListBullet"/>
        <w:spacing w:after="80" w:line="252" w:lineRule="auto"/>
      </w:pPr>
      <w:r>
        <w:t>Each Mouse uses half the standard individual rate; two Mice together therefore approximate one full body unit’s adversity frequency.</w:t>
      </w:r>
    </w:p>
    <w:p>
      <w:pPr>
        <w:pStyle w:val="ListBullet"/>
        <w:spacing w:after="80" w:line="252" w:lineRule="auto"/>
      </w:pPr>
      <w:r>
        <w:t>A normal Mouse adversity result affects one named Mouse, not an entire body unit. Mouse strength is distributed vulnerability, not immunity.</w:t>
      </w:r>
    </w:p>
    <w:p>
      <w:pPr>
        <w:pStyle w:val="ListBullet"/>
        <w:spacing w:after="80" w:line="252" w:lineRule="auto"/>
      </w:pPr>
      <w:r>
        <w:t>Clean global success can still include individual adversity under harsh conditions; severe disruption may open MEET.</w:t>
      </w:r>
    </w:p>
    <w:p>
      <w:pPr>
        <w:pStyle w:val="Heading1"/>
        <w:spacing w:after="80" w:line="252" w:lineRule="auto"/>
      </w:pPr>
      <w:r>
        <w:t>6. Squirrel Strained Carry and Jostle</w:t>
      </w:r>
    </w:p>
    <w:p>
      <w:pPr>
        <w:spacing w:after="80" w:line="252" w:lineRule="auto"/>
      </w:pPr>
      <w:r>
        <w:t>Each Squirrel body unit contributes 10 slots to the party-wide Strained Inventory in addition to ordinary secured Carry. A mixed party therefore receives Strained capacity only from its actual Squirrel body units.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D5942"/>
            <w:vAlign w:val="center"/>
          </w:tcPr>
          <w:p>
            <w:pPr>
              <w:spacing w:after="20" w:line="240" w:lineRule="auto"/>
            </w:pPr>
            <w:r>
              <w:rPr>
                <w:rFonts w:ascii="Aptos" w:hAnsi="Aptos"/>
                <w:color w:val="FFFFFF"/>
                <w:sz w:val="17"/>
              </w:rPr>
              <w:t>Party Composition</w:t>
            </w:r>
          </w:p>
        </w:tc>
        <w:tc>
          <w:tcPr>
            <w:tcW w:type="dxa" w:w="3408"/>
            <w:shd w:fill="3D5942"/>
            <w:vAlign w:val="center"/>
          </w:tcPr>
          <w:p>
            <w:pPr>
              <w:spacing w:after="20" w:line="240" w:lineRule="auto"/>
            </w:pPr>
            <w:r>
              <w:rPr>
                <w:rFonts w:ascii="Aptos" w:hAnsi="Aptos"/>
                <w:color w:val="FFFFFF"/>
                <w:sz w:val="17"/>
              </w:rPr>
              <w:t>Shared Strained Capacity</w:t>
            </w:r>
          </w:p>
        </w:tc>
        <w:tc>
          <w:tcPr>
            <w:tcW w:type="dxa" w:w="3408"/>
            <w:shd w:fill="3D5942"/>
            <w:vAlign w:val="center"/>
          </w:tcPr>
          <w:p>
            <w:pPr>
              <w:spacing w:after="20" w:line="240" w:lineRule="auto"/>
            </w:pPr>
            <w:r>
              <w:rPr>
                <w:rFonts w:ascii="Aptos" w:hAnsi="Aptos"/>
                <w:color w:val="FFFFFF"/>
                <w:sz w:val="17"/>
              </w:rPr>
              <w:t>Jostle Checks per Lane</w:t>
            </w:r>
          </w:p>
        </w:tc>
      </w:tr>
      <w:tr>
        <w:tc>
          <w:tcPr>
            <w:tcW w:type="dxa" w:w="3408"/>
            <w:vAlign w:val="center"/>
          </w:tcPr>
          <w:p>
            <w:pPr>
              <w:spacing w:after="20" w:line="240" w:lineRule="auto"/>
            </w:pPr>
            <w:r>
              <w:rPr>
                <w:rFonts w:ascii="Aptos" w:hAnsi="Aptos"/>
                <w:sz w:val="17"/>
              </w:rPr>
              <w:t>3 Squirrel body units</w:t>
            </w:r>
          </w:p>
        </w:tc>
        <w:tc>
          <w:tcPr>
            <w:tcW w:type="dxa" w:w="3408"/>
            <w:vAlign w:val="center"/>
          </w:tcPr>
          <w:p>
            <w:pPr>
              <w:spacing w:after="20" w:line="240" w:lineRule="auto"/>
            </w:pPr>
            <w:r>
              <w:rPr>
                <w:rFonts w:ascii="Aptos" w:hAnsi="Aptos"/>
                <w:sz w:val="17"/>
              </w:rPr>
              <w:t>30</w:t>
            </w:r>
          </w:p>
        </w:tc>
        <w:tc>
          <w:tcPr>
            <w:tcW w:type="dxa" w:w="3408"/>
            <w:vAlign w:val="center"/>
          </w:tcPr>
          <w:p>
            <w:pPr>
              <w:spacing w:after="20" w:line="240" w:lineRule="auto"/>
            </w:pPr>
            <w:r>
              <w:rPr>
                <w:rFonts w:ascii="Aptos" w:hAnsi="Aptos"/>
                <w:sz w:val="17"/>
              </w:rPr>
              <w:t>3</w:t>
            </w:r>
          </w:p>
        </w:tc>
      </w:tr>
      <w:tr>
        <w:tc>
          <w:tcPr>
            <w:tcW w:type="dxa" w:w="3408"/>
            <w:vAlign w:val="center"/>
          </w:tcPr>
          <w:p>
            <w:pPr>
              <w:spacing w:after="20" w:line="240" w:lineRule="auto"/>
            </w:pPr>
            <w:r>
              <w:rPr>
                <w:rFonts w:ascii="Aptos" w:hAnsi="Aptos"/>
                <w:sz w:val="17"/>
              </w:rPr>
              <w:t>2 Squirrels + 1 Guest</w:t>
            </w:r>
          </w:p>
        </w:tc>
        <w:tc>
          <w:tcPr>
            <w:tcW w:type="dxa" w:w="3408"/>
            <w:vAlign w:val="center"/>
          </w:tcPr>
          <w:p>
            <w:pPr>
              <w:spacing w:after="20" w:line="240" w:lineRule="auto"/>
            </w:pPr>
            <w:r>
              <w:rPr>
                <w:rFonts w:ascii="Aptos" w:hAnsi="Aptos"/>
                <w:sz w:val="17"/>
              </w:rPr>
              <w:t>20</w:t>
            </w:r>
          </w:p>
        </w:tc>
        <w:tc>
          <w:tcPr>
            <w:tcW w:type="dxa" w:w="3408"/>
            <w:vAlign w:val="center"/>
          </w:tcPr>
          <w:p>
            <w:pPr>
              <w:spacing w:after="20" w:line="240" w:lineRule="auto"/>
            </w:pPr>
            <w:r>
              <w:rPr>
                <w:rFonts w:ascii="Aptos" w:hAnsi="Aptos"/>
                <w:sz w:val="17"/>
              </w:rPr>
              <w:t>2</w:t>
            </w:r>
          </w:p>
        </w:tc>
      </w:tr>
      <w:tr>
        <w:tc>
          <w:tcPr>
            <w:tcW w:type="dxa" w:w="3408"/>
            <w:vAlign w:val="center"/>
          </w:tcPr>
          <w:p>
            <w:pPr>
              <w:spacing w:after="20" w:line="240" w:lineRule="auto"/>
            </w:pPr>
            <w:r>
              <w:rPr>
                <w:rFonts w:ascii="Aptos" w:hAnsi="Aptos"/>
                <w:sz w:val="17"/>
              </w:rPr>
              <w:t>1 Squirrel + 2 Guests</w:t>
            </w:r>
          </w:p>
        </w:tc>
        <w:tc>
          <w:tcPr>
            <w:tcW w:type="dxa" w:w="3408"/>
            <w:vAlign w:val="center"/>
          </w:tcPr>
          <w:p>
            <w:pPr>
              <w:spacing w:after="20" w:line="240" w:lineRule="auto"/>
            </w:pPr>
            <w:r>
              <w:rPr>
                <w:rFonts w:ascii="Aptos" w:hAnsi="Aptos"/>
                <w:sz w:val="17"/>
              </w:rPr>
              <w:t>10</w:t>
            </w:r>
          </w:p>
        </w:tc>
        <w:tc>
          <w:tcPr>
            <w:tcW w:type="dxa" w:w="3408"/>
            <w:vAlign w:val="center"/>
          </w:tcPr>
          <w:p>
            <w:pPr>
              <w:spacing w:after="20" w:line="240" w:lineRule="auto"/>
            </w:pPr>
            <w:r>
              <w:rPr>
                <w:rFonts w:ascii="Aptos" w:hAnsi="Aptos"/>
                <w:sz w:val="17"/>
              </w:rPr>
              <w:t>1</w:t>
            </w:r>
          </w:p>
        </w:tc>
      </w:tr>
    </w:tbl>
    <w:p>
      <w:pPr>
        <w:spacing w:after="80" w:line="252" w:lineRule="auto"/>
      </w:pPr>
      <w:r>
        <w:t>At each lane, the system runs one hidden Jostle check per Squirrel body unit. Each check uses the current fill proportion of the shared Strained Inventory:</w:t>
      </w:r>
    </w:p>
    <w:p>
      <w:pPr>
        <w:spacing w:after="80" w:line="252" w:lineRule="auto"/>
        <w:jc w:val="center"/>
      </w:pPr>
      <w:r>
        <w:rPr>
          <w:b/>
        </w:rPr>
        <w:t>Jostle chance per check = 50% × (current Strained Cargo ÷ maximum Strained capacity)</w:t>
      </w:r>
    </w:p>
    <w:p>
      <w:pPr>
        <w:pStyle w:val="ListBullet"/>
        <w:spacing w:after="80" w:line="252" w:lineRule="auto"/>
      </w:pPr>
      <w:r>
        <w:t>Full Strained Inventory: 50% per check.</w:t>
      </w:r>
    </w:p>
    <w:p>
      <w:pPr>
        <w:pStyle w:val="ListBullet"/>
        <w:spacing w:after="80" w:line="252" w:lineRule="auto"/>
      </w:pPr>
      <w:r>
        <w:t>Half-full: 25% per check.</w:t>
      </w:r>
    </w:p>
    <w:p>
      <w:pPr>
        <w:pStyle w:val="ListBullet"/>
        <w:spacing w:after="80" w:line="252" w:lineRule="auto"/>
      </w:pPr>
      <w:r>
        <w:t>Empty: no Jostle procedure.</w:t>
      </w:r>
    </w:p>
    <w:p>
      <w:pPr>
        <w:pStyle w:val="ListBullet"/>
        <w:spacing w:after="80" w:line="252" w:lineRule="auto"/>
      </w:pPr>
      <w:r>
        <w:t>Each successful check drops one randomly selected ordinary Cargo from the shared Strained Inventory, immediately reducing later probability.</w:t>
      </w:r>
    </w:p>
    <w:p>
      <w:pPr>
        <w:spacing w:after="80" w:line="252" w:lineRule="auto"/>
      </w:pPr>
      <w:r>
        <w:t>The procedure remains entirely under the hood during Crossing. The run may show cheeks bulging, bundles shifting, or small items shaking loose, but no percentages, roll prompts, or inventory interruptions appear. Homecoming performs the exact accounting.</w:t>
      </w:r>
    </w:p>
    <w:p>
      <w:pPr>
        <w:spacing w:after="80" w:line="252" w:lineRule="auto"/>
      </w:pPr>
      <w:r>
        <w:t>Artifacts and other attachment-bearing named objects are categorically excluded from hidden Jostle selection. Fungible material may be lost statistically; named and meaning-bearing objects require visible, player-aware consequences.</w:t>
      </w:r>
    </w:p>
    <w:p>
      <w:pPr>
        <w:pStyle w:val="Heading1"/>
        <w:spacing w:after="80" w:line="252" w:lineRule="auto"/>
      </w:pPr>
      <w:r>
        <w:t>7. Guest Citizens in Crossing</w:t>
      </w:r>
    </w:p>
    <w:p>
      <w:pPr>
        <w:pStyle w:val="Heading2"/>
        <w:spacing w:after="80" w:line="252" w:lineRule="auto"/>
      </w:pPr>
      <w:r>
        <w:t>7.1 Land-Bound Guests</w:t>
      </w:r>
    </w:p>
    <w:p>
      <w:pPr>
        <w:spacing w:after="80" w:line="252" w:lineRule="auto"/>
      </w:pPr>
      <w:r>
        <w:t>The Core Species determines the party’s Crossing grammar. Most land-bound Guests occupy body units and are drawn through that grammar rather than introducing separate locomotion systems.</w:t>
      </w:r>
    </w:p>
    <w:p>
      <w:pPr>
        <w:pStyle w:val="ListBullet"/>
        <w:spacing w:after="80" w:line="252" w:lineRule="auto"/>
      </w:pPr>
      <w:r>
        <w:t>A Guest replaces a Core body unit and therefore reduces any pro-rated Core trait contribution.</w:t>
      </w:r>
    </w:p>
    <w:p>
      <w:pPr>
        <w:pStyle w:val="ListBullet"/>
        <w:spacing w:after="80" w:line="252" w:lineRule="auto"/>
      </w:pPr>
      <w:r>
        <w:t>Guest anatomy remains visible through animation, staging, and individual consequence.</w:t>
      </w:r>
    </w:p>
    <w:p>
      <w:pPr>
        <w:pStyle w:val="ListBullet"/>
        <w:spacing w:after="80" w:line="252" w:lineRule="auto"/>
      </w:pPr>
      <w:r>
        <w:t>Dramaturgical exceptions are permitted when ignoring the body would make the scene visibly absurd or erase a defining physical fact.</w:t>
      </w:r>
    </w:p>
    <w:p>
      <w:pPr>
        <w:pStyle w:val="ListBullet"/>
        <w:spacing w:after="80" w:line="252" w:lineRule="auto"/>
      </w:pPr>
      <w:r>
        <w:t>Exceptions should use existing systems or authored constraints rather than permanent Guest-specific Crossing tables.</w:t>
      </w:r>
    </w:p>
    <w:p>
      <w:pPr>
        <w:spacing w:after="80" w:line="252" w:lineRule="auto"/>
      </w:pPr>
      <w:r>
        <w:t>Guiding doctrine: the Core Species supplies the grammar; hospitality changes the sentence.</w:t>
      </w:r>
    </w:p>
    <w:p>
      <w:pPr>
        <w:pStyle w:val="Heading2"/>
        <w:spacing w:after="80" w:line="252" w:lineRule="auto"/>
      </w:pPr>
      <w:r>
        <w:t>7.2 Crow Guest — Parallel Auto-Cross</w:t>
      </w:r>
    </w:p>
    <w:p>
      <w:pPr>
        <w:spacing w:after="80" w:line="252" w:lineRule="auto"/>
      </w:pPr>
      <w:r>
        <w:t>A Crow does not use the ground party’s route. It auto-crosses in parallel and resolves a distinct hidden avian adjudication modified by River Spume, the vehicle-generated turbulence, pressure shifts, and debris-lift above the roadway.</w:t>
      </w:r>
    </w:p>
    <w:p>
      <w:pPr>
        <w:pStyle w:val="ListBullet"/>
        <w:spacing w:after="80" w:line="252" w:lineRule="auto"/>
      </w:pPr>
      <w:r>
        <w:t>Crow may provide a small universal benefit to ground-party planning clarity or underlying success through aerial observation.</w:t>
      </w:r>
    </w:p>
    <w:p>
      <w:pPr>
        <w:pStyle w:val="ListBullet"/>
        <w:spacing w:after="80" w:line="252" w:lineRule="auto"/>
      </w:pPr>
      <w:r>
        <w:t>The benefit is intentionally modest and need not be balanced against every other Expedition Guest.</w:t>
      </w:r>
    </w:p>
    <w:p>
      <w:pPr>
        <w:pStyle w:val="ListBullet"/>
        <w:spacing w:after="80" w:line="252" w:lineRule="auto"/>
      </w:pPr>
      <w:r>
        <w:t>Crow’s own result is independent of the ground party’s result.</w:t>
      </w:r>
    </w:p>
    <w:tbl>
      <w:tblPr>
        <w:tblStyle w:val="TableGrid"/>
        <w:tblW w:type="auto" w:w="0"/>
        <w:jc w:val="center"/>
        <w:tblLook w:firstColumn="1" w:firstRow="1" w:lastColumn="0" w:lastRow="0" w:noHBand="0" w:noVBand="1" w:val="04A0"/>
      </w:tblPr>
      <w:tblGrid>
        <w:gridCol w:w="5112"/>
        <w:gridCol w:w="5112"/>
      </w:tblGrid>
      <w:tr>
        <w:tc>
          <w:tcPr>
            <w:tcW w:type="dxa" w:w="5112"/>
            <w:shd w:fill="3D5942"/>
            <w:vAlign w:val="center"/>
          </w:tcPr>
          <w:p>
            <w:pPr>
              <w:spacing w:after="20" w:line="240" w:lineRule="auto"/>
            </w:pPr>
            <w:r>
              <w:rPr>
                <w:rFonts w:ascii="Aptos" w:hAnsi="Aptos"/>
                <w:color w:val="FFFFFF"/>
                <w:sz w:val="17"/>
              </w:rPr>
              <w:t>Crow Outcome</w:t>
            </w:r>
          </w:p>
        </w:tc>
        <w:tc>
          <w:tcPr>
            <w:tcW w:type="dxa" w:w="5112"/>
            <w:shd w:fill="3D5942"/>
            <w:vAlign w:val="center"/>
          </w:tcPr>
          <w:p>
            <w:pPr>
              <w:spacing w:after="20" w:line="240" w:lineRule="auto"/>
            </w:pPr>
            <w:r>
              <w:rPr>
                <w:rFonts w:ascii="Aptos" w:hAnsi="Aptos"/>
                <w:color w:val="FFFFFF"/>
                <w:sz w:val="17"/>
              </w:rPr>
              <w:t>System Expression</w:t>
            </w:r>
          </w:p>
        </w:tc>
      </w:tr>
      <w:tr>
        <w:tc>
          <w:tcPr>
            <w:tcW w:type="dxa" w:w="5112"/>
            <w:vAlign w:val="center"/>
          </w:tcPr>
          <w:p>
            <w:pPr>
              <w:spacing w:after="20" w:line="240" w:lineRule="auto"/>
            </w:pPr>
            <w:r>
              <w:rPr>
                <w:rFonts w:ascii="Aptos" w:hAnsi="Aptos"/>
                <w:sz w:val="17"/>
              </w:rPr>
              <w:t>Clean Flight</w:t>
            </w:r>
          </w:p>
        </w:tc>
        <w:tc>
          <w:tcPr>
            <w:tcW w:type="dxa" w:w="5112"/>
            <w:vAlign w:val="center"/>
          </w:tcPr>
          <w:p>
            <w:pPr>
              <w:spacing w:after="20" w:line="240" w:lineRule="auto"/>
            </w:pPr>
            <w:r>
              <w:rPr>
                <w:rFonts w:ascii="Aptos" w:hAnsi="Aptos"/>
                <w:sz w:val="17"/>
              </w:rPr>
              <w:t>No consequence.</w:t>
            </w:r>
          </w:p>
        </w:tc>
      </w:tr>
      <w:tr>
        <w:tc>
          <w:tcPr>
            <w:tcW w:type="dxa" w:w="5112"/>
            <w:vAlign w:val="center"/>
          </w:tcPr>
          <w:p>
            <w:pPr>
              <w:spacing w:after="20" w:line="240" w:lineRule="auto"/>
            </w:pPr>
            <w:r>
              <w:rPr>
                <w:rFonts w:ascii="Aptos" w:hAnsi="Aptos"/>
                <w:sz w:val="17"/>
              </w:rPr>
              <w:t>Buffeted</w:t>
            </w:r>
          </w:p>
        </w:tc>
        <w:tc>
          <w:tcPr>
            <w:tcW w:type="dxa" w:w="5112"/>
            <w:vAlign w:val="center"/>
          </w:tcPr>
          <w:p>
            <w:pPr>
              <w:spacing w:after="20" w:line="240" w:lineRule="auto"/>
            </w:pPr>
            <w:r>
              <w:rPr>
                <w:rFonts w:ascii="Aptos" w:hAnsi="Aptos"/>
                <w:sz w:val="17"/>
              </w:rPr>
              <w:t>Existing Exposure-equivalent personal consequence.</w:t>
            </w:r>
          </w:p>
        </w:tc>
      </w:tr>
      <w:tr>
        <w:tc>
          <w:tcPr>
            <w:tcW w:type="dxa" w:w="5112"/>
            <w:vAlign w:val="center"/>
          </w:tcPr>
          <w:p>
            <w:pPr>
              <w:spacing w:after="20" w:line="240" w:lineRule="auto"/>
            </w:pPr>
            <w:r>
              <w:rPr>
                <w:rFonts w:ascii="Aptos" w:hAnsi="Aptos"/>
                <w:sz w:val="17"/>
              </w:rPr>
              <w:t>Cargo Drop</w:t>
            </w:r>
          </w:p>
        </w:tc>
        <w:tc>
          <w:tcPr>
            <w:tcW w:type="dxa" w:w="5112"/>
            <w:vAlign w:val="center"/>
          </w:tcPr>
          <w:p>
            <w:pPr>
              <w:spacing w:after="20" w:line="240" w:lineRule="auto"/>
            </w:pPr>
            <w:r>
              <w:rPr>
                <w:rFonts w:ascii="Aptos" w:hAnsi="Aptos"/>
                <w:sz w:val="17"/>
              </w:rPr>
              <w:t>Loss of one eligible ordinary carried item; never an Artifact.</w:t>
            </w:r>
          </w:p>
        </w:tc>
      </w:tr>
      <w:tr>
        <w:tc>
          <w:tcPr>
            <w:tcW w:type="dxa" w:w="5112"/>
            <w:vAlign w:val="center"/>
          </w:tcPr>
          <w:p>
            <w:pPr>
              <w:spacing w:after="20" w:line="240" w:lineRule="auto"/>
            </w:pPr>
            <w:r>
              <w:rPr>
                <w:rFonts w:ascii="Aptos" w:hAnsi="Aptos"/>
                <w:sz w:val="17"/>
              </w:rPr>
              <w:t>Injury</w:t>
            </w:r>
          </w:p>
        </w:tc>
        <w:tc>
          <w:tcPr>
            <w:tcW w:type="dxa" w:w="5112"/>
            <w:vAlign w:val="center"/>
          </w:tcPr>
          <w:p>
            <w:pPr>
              <w:spacing w:after="20" w:line="240" w:lineRule="auto"/>
            </w:pPr>
            <w:r>
              <w:rPr>
                <w:rFonts w:ascii="Aptos" w:hAnsi="Aptos"/>
                <w:sz w:val="17"/>
              </w:rPr>
              <w:t>Existing wound or injury state.</w:t>
            </w:r>
          </w:p>
        </w:tc>
      </w:tr>
    </w:tbl>
    <w:p>
      <w:pPr>
        <w:spacing w:after="80" w:line="252" w:lineRule="auto"/>
      </w:pPr>
      <w:r>
        <w:t>No special displacement, regrouping, landing-location, or avian rescue subsystem is introduced. This preserves Conservation of System.</w:t>
      </w:r>
    </w:p>
    <w:p>
      <w:pPr>
        <w:pStyle w:val="Heading1"/>
        <w:spacing w:after="80" w:line="252" w:lineRule="auto"/>
      </w:pPr>
      <w:r>
        <w:t>8. Information and Presentation Doctrine</w:t>
      </w:r>
    </w:p>
    <w:p>
      <w:pPr>
        <w:spacing w:after="80" w:line="252" w:lineRule="auto"/>
      </w:pPr>
      <w:r>
        <w:t>Planning must support informed commitment without displaying exact hidden probabilities.</w:t>
      </w:r>
    </w:p>
    <w:p>
      <w:pPr>
        <w:pStyle w:val="ListBullet"/>
        <w:spacing w:after="80" w:line="252" w:lineRule="auto"/>
      </w:pPr>
      <w:r>
        <w:t>Show traffic behavior, route geometry, party composition, wounds or fear, load, Strained fill, and the chosen species-specific plan.</w:t>
      </w:r>
    </w:p>
    <w:p>
      <w:pPr>
        <w:pStyle w:val="ListBullet"/>
        <w:spacing w:after="80" w:line="252" w:lineRule="auto"/>
      </w:pPr>
      <w:r>
        <w:t>Do not show exact personal adversity odds, Jostle rolls, Crow outcome odds, or predetermined losses.</w:t>
      </w:r>
    </w:p>
    <w:p>
      <w:pPr>
        <w:pStyle w:val="ListBullet"/>
        <w:spacing w:after="80" w:line="252" w:lineRule="auto"/>
      </w:pPr>
      <w:r>
        <w:t>A poor plan should look poor before commitment. A good plan remains uncertain because traffic and bodies are not perfectly predictable.</w:t>
      </w:r>
    </w:p>
    <w:p>
      <w:pPr>
        <w:spacing w:after="80" w:line="252" w:lineRule="auto"/>
      </w:pPr>
      <w:r>
        <w:t>Crossing presents bodies and events. Homecoming consolidates persistent facts and accounts.</w:t>
      </w:r>
    </w:p>
    <w:p>
      <w:pPr>
        <w:pStyle w:val="Heading1"/>
        <w:spacing w:after="80" w:line="252" w:lineRule="auto"/>
      </w:pPr>
      <w:r>
        <w:t>9. Homecoming Consolidation</w:t>
      </w:r>
    </w:p>
    <w:p>
      <w:pPr>
        <w:spacing w:after="80" w:line="252" w:lineRule="auto"/>
      </w:pPr>
      <w:r>
        <w:t>Homecoming reports the final expedition facts created by Crossing:</w:t>
      </w:r>
    </w:p>
    <w:p>
      <w:pPr>
        <w:pStyle w:val="ListBullet"/>
        <w:spacing w:after="80" w:line="252" w:lineRule="auto"/>
      </w:pPr>
      <w:r>
        <w:t>who returned and in what condition;</w:t>
      </w:r>
    </w:p>
    <w:p>
      <w:pPr>
        <w:pStyle w:val="ListBullet"/>
        <w:spacing w:after="80" w:line="252" w:lineRule="auto"/>
      </w:pPr>
      <w:r>
        <w:t>individual adversity, wounds, or Buffeted states;</w:t>
      </w:r>
    </w:p>
    <w:p>
      <w:pPr>
        <w:pStyle w:val="ListBullet"/>
        <w:spacing w:after="80" w:line="252" w:lineRule="auto"/>
      </w:pPr>
      <w:r>
        <w:t>ordinary Cargo returned;</w:t>
      </w:r>
    </w:p>
    <w:p>
      <w:pPr>
        <w:pStyle w:val="ListBullet"/>
        <w:spacing w:after="80" w:line="252" w:lineRule="auto"/>
      </w:pPr>
      <w:r>
        <w:t>Squirrel Strained Cargo shed during lane Jostles;</w:t>
      </w:r>
    </w:p>
    <w:p>
      <w:pPr>
        <w:pStyle w:val="ListBullet"/>
        <w:spacing w:after="80" w:line="252" w:lineRule="auto"/>
      </w:pPr>
      <w:r>
        <w:t>Crow Cargo Drop, if any;</w:t>
      </w:r>
    </w:p>
    <w:p>
      <w:pPr>
        <w:pStyle w:val="ListBullet"/>
        <w:spacing w:after="80" w:line="252" w:lineRule="auto"/>
      </w:pPr>
      <w:r>
        <w:t>any visible crisis that converted into MEET or another persistent world-state change.</w:t>
      </w:r>
    </w:p>
    <w:p>
      <w:pPr>
        <w:spacing w:after="80" w:line="252" w:lineRule="auto"/>
      </w:pPr>
      <w:r>
        <w:t>Visible catastrophe remains visible during Crossing. Homecoming does not conceal the event; it performs the final accounting.</w:t>
      </w:r>
    </w:p>
    <w:p>
      <w:pPr>
        <w:pStyle w:val="Heading1"/>
        <w:spacing w:after="80" w:line="252" w:lineRule="auto"/>
      </w:pPr>
      <w:r>
        <w:t>10. Settled Decisions</w:t>
      </w:r>
    </w:p>
    <w:p>
      <w:pPr>
        <w:pStyle w:val="ListBullet"/>
        <w:spacing w:after="80" w:line="252" w:lineRule="auto"/>
      </w:pPr>
      <w:r>
        <w:t>Crossing is a full Away Register with one planning phase and one continuous run.</w:t>
      </w:r>
    </w:p>
    <w:p>
      <w:pPr>
        <w:pStyle w:val="ListBullet"/>
        <w:spacing w:after="80" w:line="252" w:lineRule="auto"/>
      </w:pPr>
      <w:r>
        <w:t>The party is three body units and resolves globally.</w:t>
      </w:r>
    </w:p>
    <w:p>
      <w:pPr>
        <w:pStyle w:val="ListBullet"/>
        <w:spacing w:after="80" w:line="252" w:lineRule="auto"/>
      </w:pPr>
      <w:r>
        <w:t>Individual adversity is assigned to actual Citizens.</w:t>
      </w:r>
    </w:p>
    <w:p>
      <w:pPr>
        <w:pStyle w:val="ListBullet"/>
        <w:spacing w:after="80" w:line="252" w:lineRule="auto"/>
      </w:pPr>
      <w:r>
        <w:t>Rabbit plans through macro timing; Mouse through micro-geographic continuity.</w:t>
      </w:r>
    </w:p>
    <w:p>
      <w:pPr>
        <w:pStyle w:val="ListBullet"/>
        <w:spacing w:after="80" w:line="252" w:lineRule="auto"/>
      </w:pPr>
      <w:r>
        <w:t>Mouse subjective time does not grant extra decisions.</w:t>
      </w:r>
    </w:p>
    <w:p>
      <w:pPr>
        <w:pStyle w:val="ListBullet"/>
        <w:spacing w:after="80" w:line="252" w:lineRule="auto"/>
      </w:pPr>
      <w:r>
        <w:t>Squirrel Strained Carry is party-wide, pro-rated by Squirrel body units, and exposed to hidden lane-based Jostle checks.</w:t>
      </w:r>
    </w:p>
    <w:p>
      <w:pPr>
        <w:pStyle w:val="ListBullet"/>
        <w:spacing w:after="80" w:line="252" w:lineRule="auto"/>
      </w:pPr>
      <w:r>
        <w:t>Artifacts are never randomly hazarded by hidden procedures.</w:t>
      </w:r>
    </w:p>
    <w:p>
      <w:pPr>
        <w:pStyle w:val="ListBullet"/>
        <w:spacing w:after="80" w:line="252" w:lineRule="auto"/>
      </w:pPr>
      <w:r>
        <w:t>Most land-bound Guests follow the Core Species grammar.</w:t>
      </w:r>
    </w:p>
    <w:p>
      <w:pPr>
        <w:pStyle w:val="ListBullet"/>
        <w:spacing w:after="80" w:line="252" w:lineRule="auto"/>
      </w:pPr>
      <w:r>
        <w:t>Crow auto-crosses separately under River Spume and has only Clean Flight, Buffeted, Cargo Drop, or Injury outcomes.</w:t>
      </w:r>
    </w:p>
    <w:p>
      <w:pPr>
        <w:pStyle w:val="ListBullet"/>
        <w:spacing w:after="80" w:line="252" w:lineRule="auto"/>
      </w:pPr>
      <w:r>
        <w:t>Crow may confer a small aerial-information advantage to the ground party.</w:t>
      </w:r>
    </w:p>
    <w:p>
      <w:pPr>
        <w:pStyle w:val="ListBullet"/>
        <w:spacing w:after="80" w:line="252" w:lineRule="auto"/>
      </w:pPr>
      <w:r>
        <w:t>Exact material and personal accounting is consolidated at Homecoming.</w:t>
      </w:r>
    </w:p>
    <w:p>
      <w:pPr>
        <w:pStyle w:val="Heading1"/>
        <w:spacing w:after="80" w:line="252" w:lineRule="auto"/>
      </w:pPr>
      <w:r>
        <w:t>11. Open Design Questions</w:t>
      </w:r>
    </w:p>
    <w:p>
      <w:pPr>
        <w:pStyle w:val="ListBullet"/>
        <w:spacing w:after="80" w:line="252" w:lineRule="auto"/>
      </w:pPr>
      <w:r>
        <w:t>The final Squirrel planning affordance and characteristic failure geometry.</w:t>
      </w:r>
    </w:p>
    <w:p>
      <w:pPr>
        <w:pStyle w:val="ListBullet"/>
        <w:spacing w:after="80" w:line="252" w:lineRule="auto"/>
      </w:pPr>
      <w:r>
        <w:t>The degree and form of execution input after commitment.</w:t>
      </w:r>
    </w:p>
    <w:p>
      <w:pPr>
        <w:pStyle w:val="ListBullet"/>
        <w:spacing w:after="80" w:line="252" w:lineRule="auto"/>
      </w:pPr>
      <w:r>
        <w:t>The exact adversity procedure, rates, and severity selection.</w:t>
      </w:r>
    </w:p>
    <w:p>
      <w:pPr>
        <w:pStyle w:val="ListBullet"/>
        <w:spacing w:after="80" w:line="252" w:lineRule="auto"/>
      </w:pPr>
      <w:r>
        <w:t>How Rabbit body-unit pro-rating modifies Crossing acuity.</w:t>
      </w:r>
    </w:p>
    <w:p>
      <w:pPr>
        <w:pStyle w:val="ListBullet"/>
        <w:spacing w:after="80" w:line="252" w:lineRule="auto"/>
      </w:pPr>
      <w:r>
        <w:t>When familiar, low-burden crossings compress versus use the full Register.</w:t>
      </w:r>
    </w:p>
    <w:p>
      <w:pPr>
        <w:pStyle w:val="ListBullet"/>
        <w:spacing w:after="80" w:line="252" w:lineRule="auto"/>
      </w:pPr>
      <w:r>
        <w:t>The exact size and presentation of Crow’s aerial-planning benefit.</w:t>
      </w:r>
    </w:p>
    <w:p>
      <w:pPr>
        <w:pStyle w:val="ListBullet"/>
        <w:spacing w:after="80" w:line="252" w:lineRule="auto"/>
      </w:pPr>
      <w:r>
        <w:t>Whether general Cargo Loss remains necessary in addition to Squirrel Jostle and Crow Cargo Drop.</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MEDIAN v0.5.0 • Crossing Register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74F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861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